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54B22" w14:textId="0BD1504D" w:rsidR="27F7DB21" w:rsidRDefault="27F7DB21" w:rsidP="049DC277">
      <w:pPr>
        <w:ind w:left="1701" w:right="1587"/>
        <w:jc w:val="both"/>
      </w:pPr>
      <w:r w:rsidRPr="049DC277">
        <w:rPr>
          <w:rFonts w:ascii="Arial" w:eastAsia="Arial" w:hAnsi="Arial" w:cs="Arial"/>
          <w:b/>
          <w:bCs/>
          <w:color w:val="FF0000"/>
          <w:sz w:val="20"/>
          <w:szCs w:val="20"/>
          <w:lang w:val="es-MX"/>
        </w:rPr>
        <w:t>Nota:</w:t>
      </w:r>
      <w:r w:rsidRPr="049DC277">
        <w:rPr>
          <w:rFonts w:ascii="Arial" w:eastAsia="Arial" w:hAnsi="Arial" w:cs="Arial"/>
          <w:color w:val="FF0000"/>
          <w:sz w:val="20"/>
          <w:szCs w:val="20"/>
          <w:lang w:val="es-MX"/>
        </w:rPr>
        <w:t xml:space="preserve"> la siguiente norma se trascribe completa, pero de ella la Agencia Nacional de Contratación Pública –Colombia Compra Eficiente– solo ha emitido conceptos que interpretan las siguientes disposiciones relacionadas con la contratación estatal: </w:t>
      </w:r>
    </w:p>
    <w:p w14:paraId="02937684" w14:textId="263AF4C1" w:rsidR="27F7DB21" w:rsidRDefault="27F7DB21" w:rsidP="00AB55D5">
      <w:pPr>
        <w:ind w:left="1701" w:right="1587"/>
        <w:jc w:val="both"/>
      </w:pPr>
      <w:r w:rsidRPr="049DC277">
        <w:rPr>
          <w:rFonts w:ascii="Arial" w:eastAsia="Arial" w:hAnsi="Arial" w:cs="Arial"/>
          <w:color w:val="FF0000"/>
          <w:sz w:val="20"/>
          <w:szCs w:val="20"/>
          <w:lang w:val="es-MX"/>
        </w:rPr>
        <w:t xml:space="preserve"> Los conceptos se relacionan al pie de cada disposición, y abren dando “clic” en el hipervínculo.</w:t>
      </w:r>
    </w:p>
    <w:p w14:paraId="763DF3CB" w14:textId="41BEBA71" w:rsidR="00F0360B" w:rsidRDefault="00F0360B" w:rsidP="00F0360B">
      <w:pPr>
        <w:spacing w:after="0" w:line="270" w:lineRule="atLeast"/>
        <w:jc w:val="center"/>
        <w:rPr>
          <w:rStyle w:val="normaltextrun"/>
          <w:rFonts w:ascii="Arial" w:hAnsi="Arial" w:cs="Arial"/>
          <w:color w:val="FF0000"/>
          <w:shd w:val="clear" w:color="auto" w:fill="FFFFFF"/>
          <w:lang w:val="es-MX"/>
        </w:rPr>
      </w:pPr>
    </w:p>
    <w:p w14:paraId="4D035917" w14:textId="77777777" w:rsidR="00F0360B" w:rsidRPr="00AB55D5" w:rsidRDefault="00F0360B" w:rsidP="00AB55D5">
      <w:pPr>
        <w:spacing w:after="0" w:line="240" w:lineRule="auto"/>
        <w:jc w:val="center"/>
        <w:rPr>
          <w:rStyle w:val="normaltextrun"/>
          <w:rFonts w:ascii="Arial" w:hAnsi="Arial" w:cs="Arial"/>
          <w:color w:val="FF0000"/>
          <w:shd w:val="clear" w:color="auto" w:fill="FFFFFF"/>
          <w:lang w:val="es-MX"/>
        </w:rPr>
      </w:pPr>
    </w:p>
    <w:p w14:paraId="7D5F9865" w14:textId="4D93AB56" w:rsidR="00FE4760" w:rsidRPr="00AB55D5" w:rsidRDefault="00FE4760" w:rsidP="00AB55D5">
      <w:pPr>
        <w:spacing w:after="0" w:line="240" w:lineRule="auto"/>
        <w:jc w:val="center"/>
        <w:rPr>
          <w:rFonts w:ascii="Arial" w:eastAsia="Times New Roman" w:hAnsi="Arial" w:cs="Arial"/>
          <w:b/>
          <w:bCs/>
          <w:lang w:eastAsia="es-CO"/>
        </w:rPr>
      </w:pPr>
      <w:r w:rsidRPr="00AB55D5">
        <w:rPr>
          <w:rFonts w:ascii="Arial" w:eastAsia="Times New Roman" w:hAnsi="Arial" w:cs="Arial"/>
          <w:b/>
          <w:bCs/>
          <w:lang w:eastAsia="es-CO"/>
        </w:rPr>
        <w:t>LEY 901 DE 2004</w:t>
      </w:r>
    </w:p>
    <w:p w14:paraId="4A0832BE" w14:textId="4505474E" w:rsidR="049DC277" w:rsidRPr="00AB55D5" w:rsidRDefault="049DC277" w:rsidP="00AB55D5">
      <w:pPr>
        <w:spacing w:after="0" w:line="240" w:lineRule="auto"/>
        <w:jc w:val="center"/>
        <w:rPr>
          <w:rFonts w:ascii="Arial" w:eastAsia="Times New Roman" w:hAnsi="Arial" w:cs="Arial"/>
          <w:b/>
          <w:bCs/>
          <w:lang w:eastAsia="es-CO"/>
        </w:rPr>
      </w:pPr>
    </w:p>
    <w:p w14:paraId="357FF2FA" w14:textId="77777777" w:rsidR="00FE4760" w:rsidRPr="00AB55D5" w:rsidRDefault="00FE4760" w:rsidP="00AB55D5">
      <w:pPr>
        <w:spacing w:before="100" w:beforeAutospacing="1" w:after="100" w:afterAutospacing="1" w:line="240" w:lineRule="auto"/>
        <w:jc w:val="center"/>
        <w:rPr>
          <w:rFonts w:ascii="Arial" w:eastAsia="Times New Roman" w:hAnsi="Arial" w:cs="Arial"/>
          <w:b/>
          <w:bCs/>
          <w:lang w:eastAsia="es-CO"/>
        </w:rPr>
      </w:pPr>
      <w:r w:rsidRPr="00AB55D5">
        <w:rPr>
          <w:rFonts w:ascii="Arial" w:eastAsia="Times New Roman" w:hAnsi="Arial" w:cs="Arial"/>
          <w:b/>
          <w:bCs/>
          <w:lang w:eastAsia="es-CO"/>
        </w:rPr>
        <w:t>Por medio de la cual se prorroga la vigencia de la Ley </w:t>
      </w:r>
      <w:hyperlink r:id="rId7" w:anchor="1">
        <w:r w:rsidRPr="00AB55D5">
          <w:rPr>
            <w:rFonts w:ascii="Arial" w:eastAsia="Times New Roman" w:hAnsi="Arial" w:cs="Arial"/>
            <w:b/>
            <w:bCs/>
            <w:lang w:eastAsia="es-CO"/>
          </w:rPr>
          <w:t>716</w:t>
        </w:r>
      </w:hyperlink>
      <w:r w:rsidRPr="00AB55D5">
        <w:rPr>
          <w:rFonts w:ascii="Arial" w:eastAsia="Times New Roman" w:hAnsi="Arial" w:cs="Arial"/>
          <w:b/>
          <w:bCs/>
          <w:lang w:eastAsia="es-CO"/>
        </w:rPr>
        <w:t> de 2001, prorrogada y modificada por la Ley </w:t>
      </w:r>
      <w:hyperlink r:id="rId8" w:anchor="1">
        <w:r w:rsidRPr="00AB55D5">
          <w:rPr>
            <w:rFonts w:ascii="Arial" w:eastAsia="Times New Roman" w:hAnsi="Arial" w:cs="Arial"/>
            <w:b/>
            <w:bCs/>
            <w:lang w:eastAsia="es-CO"/>
          </w:rPr>
          <w:t>863</w:t>
        </w:r>
      </w:hyperlink>
      <w:r w:rsidRPr="00AB55D5">
        <w:rPr>
          <w:rFonts w:ascii="Arial" w:eastAsia="Times New Roman" w:hAnsi="Arial" w:cs="Arial"/>
          <w:b/>
          <w:bCs/>
          <w:lang w:eastAsia="es-CO"/>
        </w:rPr>
        <w:t> de 2003 y se modifican algunas de sus disposiciones.</w:t>
      </w:r>
    </w:p>
    <w:p w14:paraId="77BDA907" w14:textId="77777777" w:rsidR="00FE4760" w:rsidRPr="00AB55D5" w:rsidRDefault="00FE4760" w:rsidP="00AB55D5">
      <w:pPr>
        <w:spacing w:before="100" w:beforeAutospacing="1" w:after="100" w:afterAutospacing="1" w:line="240" w:lineRule="auto"/>
        <w:jc w:val="center"/>
        <w:rPr>
          <w:rFonts w:ascii="Arial" w:eastAsia="Times New Roman" w:hAnsi="Arial" w:cs="Arial"/>
          <w:b/>
          <w:bCs/>
          <w:lang w:eastAsia="es-CO"/>
        </w:rPr>
      </w:pPr>
      <w:r w:rsidRPr="00AB55D5">
        <w:rPr>
          <w:rFonts w:ascii="Arial" w:eastAsia="Times New Roman" w:hAnsi="Arial" w:cs="Arial"/>
          <w:b/>
          <w:bCs/>
          <w:lang w:eastAsia="es-CO"/>
        </w:rPr>
        <w:t>EL CONGRESO DE COLOMBIA</w:t>
      </w:r>
    </w:p>
    <w:p w14:paraId="420A7B43" w14:textId="77777777" w:rsidR="00FE4760" w:rsidRPr="00AB55D5" w:rsidRDefault="00FE4760" w:rsidP="00AB55D5">
      <w:pPr>
        <w:spacing w:before="100" w:beforeAutospacing="1" w:after="100" w:afterAutospacing="1" w:line="240" w:lineRule="auto"/>
        <w:jc w:val="center"/>
        <w:rPr>
          <w:rFonts w:ascii="Arial" w:eastAsia="Times New Roman" w:hAnsi="Arial" w:cs="Arial"/>
          <w:b/>
          <w:bCs/>
          <w:lang w:eastAsia="es-CO"/>
        </w:rPr>
      </w:pPr>
      <w:r w:rsidRPr="00AB55D5">
        <w:rPr>
          <w:rFonts w:ascii="Arial" w:eastAsia="Times New Roman" w:hAnsi="Arial" w:cs="Arial"/>
          <w:b/>
          <w:bCs/>
          <w:lang w:eastAsia="es-CO"/>
        </w:rPr>
        <w:t>DECRETA:</w:t>
      </w:r>
    </w:p>
    <w:p w14:paraId="27278DC9" w14:textId="77777777" w:rsidR="00FE4760" w:rsidRPr="00AB55D5" w:rsidRDefault="00FE4760" w:rsidP="00AB55D5">
      <w:pPr>
        <w:spacing w:before="100" w:beforeAutospacing="1" w:after="100" w:afterAutospacing="1" w:line="240" w:lineRule="auto"/>
        <w:jc w:val="both"/>
        <w:rPr>
          <w:rFonts w:ascii="Arial" w:eastAsia="Times New Roman" w:hAnsi="Arial" w:cs="Arial"/>
          <w:lang w:eastAsia="es-CO"/>
        </w:rPr>
      </w:pPr>
      <w:bookmarkStart w:id="0" w:name="1"/>
      <w:r w:rsidRPr="00AB55D5">
        <w:rPr>
          <w:rFonts w:ascii="Arial" w:eastAsia="Times New Roman" w:hAnsi="Arial" w:cs="Arial"/>
          <w:lang w:eastAsia="es-CO"/>
        </w:rPr>
        <w:t>ARTÍCULO 1o.</w:t>
      </w:r>
      <w:bookmarkEnd w:id="0"/>
      <w:r w:rsidRPr="00AB55D5">
        <w:rPr>
          <w:rFonts w:ascii="Arial" w:eastAsia="Times New Roman" w:hAnsi="Arial" w:cs="Arial"/>
          <w:lang w:eastAsia="es-CO"/>
        </w:rPr>
        <w:t>  Prorróguese hasta el 31 de diciembre de 2005, la vigencia de los artículos </w:t>
      </w:r>
      <w:hyperlink r:id="rId9" w:anchor="1">
        <w:r w:rsidRPr="00AB55D5">
          <w:rPr>
            <w:rFonts w:ascii="Arial" w:eastAsia="Times New Roman" w:hAnsi="Arial" w:cs="Arial"/>
            <w:lang w:eastAsia="es-CO"/>
          </w:rPr>
          <w:t>1</w:t>
        </w:r>
      </w:hyperlink>
      <w:r w:rsidRPr="00AB55D5">
        <w:rPr>
          <w:rFonts w:ascii="Arial" w:eastAsia="Times New Roman" w:hAnsi="Arial" w:cs="Arial"/>
          <w:lang w:eastAsia="es-CO"/>
        </w:rPr>
        <w:t>o, </w:t>
      </w:r>
      <w:hyperlink r:id="rId10" w:anchor="2">
        <w:r w:rsidRPr="00AB55D5">
          <w:rPr>
            <w:rFonts w:ascii="Arial" w:eastAsia="Times New Roman" w:hAnsi="Arial" w:cs="Arial"/>
            <w:lang w:eastAsia="es-CO"/>
          </w:rPr>
          <w:t>2</w:t>
        </w:r>
      </w:hyperlink>
      <w:r w:rsidRPr="00AB55D5">
        <w:rPr>
          <w:rFonts w:ascii="Arial" w:eastAsia="Times New Roman" w:hAnsi="Arial" w:cs="Arial"/>
          <w:lang w:eastAsia="es-CO"/>
        </w:rPr>
        <w:t>o, </w:t>
      </w:r>
      <w:hyperlink r:id="rId11" w:anchor="3">
        <w:r w:rsidRPr="00AB55D5">
          <w:rPr>
            <w:rFonts w:ascii="Arial" w:eastAsia="Times New Roman" w:hAnsi="Arial" w:cs="Arial"/>
            <w:lang w:eastAsia="es-CO"/>
          </w:rPr>
          <w:t>3</w:t>
        </w:r>
      </w:hyperlink>
      <w:r w:rsidRPr="00AB55D5">
        <w:rPr>
          <w:rFonts w:ascii="Arial" w:eastAsia="Times New Roman" w:hAnsi="Arial" w:cs="Arial"/>
          <w:lang w:eastAsia="es-CO"/>
        </w:rPr>
        <w:t>o, </w:t>
      </w:r>
      <w:hyperlink r:id="rId12" w:anchor="4">
        <w:r w:rsidRPr="00AB55D5">
          <w:rPr>
            <w:rFonts w:ascii="Arial" w:eastAsia="Times New Roman" w:hAnsi="Arial" w:cs="Arial"/>
            <w:lang w:eastAsia="es-CO"/>
          </w:rPr>
          <w:t>4</w:t>
        </w:r>
      </w:hyperlink>
      <w:r w:rsidRPr="00AB55D5">
        <w:rPr>
          <w:rFonts w:ascii="Arial" w:eastAsia="Times New Roman" w:hAnsi="Arial" w:cs="Arial"/>
          <w:lang w:eastAsia="es-CO"/>
        </w:rPr>
        <w:t>o, </w:t>
      </w:r>
      <w:hyperlink r:id="rId13" w:anchor="5">
        <w:r w:rsidRPr="00AB55D5">
          <w:rPr>
            <w:rFonts w:ascii="Arial" w:eastAsia="Times New Roman" w:hAnsi="Arial" w:cs="Arial"/>
            <w:lang w:eastAsia="es-CO"/>
          </w:rPr>
          <w:t>5</w:t>
        </w:r>
      </w:hyperlink>
      <w:r w:rsidRPr="00AB55D5">
        <w:rPr>
          <w:rFonts w:ascii="Arial" w:eastAsia="Times New Roman" w:hAnsi="Arial" w:cs="Arial"/>
          <w:lang w:eastAsia="es-CO"/>
        </w:rPr>
        <w:t>o, </w:t>
      </w:r>
      <w:hyperlink r:id="rId14" w:anchor="6">
        <w:r w:rsidRPr="00AB55D5">
          <w:rPr>
            <w:rFonts w:ascii="Arial" w:eastAsia="Times New Roman" w:hAnsi="Arial" w:cs="Arial"/>
            <w:lang w:eastAsia="es-CO"/>
          </w:rPr>
          <w:t>6</w:t>
        </w:r>
      </w:hyperlink>
      <w:r w:rsidRPr="00AB55D5">
        <w:rPr>
          <w:rFonts w:ascii="Arial" w:eastAsia="Times New Roman" w:hAnsi="Arial" w:cs="Arial"/>
          <w:lang w:eastAsia="es-CO"/>
        </w:rPr>
        <w:t>o, </w:t>
      </w:r>
      <w:hyperlink r:id="rId15" w:anchor="7">
        <w:r w:rsidRPr="00AB55D5">
          <w:rPr>
            <w:rFonts w:ascii="Arial" w:eastAsia="Times New Roman" w:hAnsi="Arial" w:cs="Arial"/>
            <w:lang w:eastAsia="es-CO"/>
          </w:rPr>
          <w:t>7</w:t>
        </w:r>
      </w:hyperlink>
      <w:r w:rsidRPr="00AB55D5">
        <w:rPr>
          <w:rFonts w:ascii="Arial" w:eastAsia="Times New Roman" w:hAnsi="Arial" w:cs="Arial"/>
          <w:lang w:eastAsia="es-CO"/>
        </w:rPr>
        <w:t>o, </w:t>
      </w:r>
      <w:hyperlink r:id="rId16" w:anchor="8">
        <w:r w:rsidRPr="00AB55D5">
          <w:rPr>
            <w:rFonts w:ascii="Arial" w:eastAsia="Times New Roman" w:hAnsi="Arial" w:cs="Arial"/>
            <w:lang w:eastAsia="es-CO"/>
          </w:rPr>
          <w:t>8</w:t>
        </w:r>
      </w:hyperlink>
      <w:r w:rsidRPr="00AB55D5">
        <w:rPr>
          <w:rFonts w:ascii="Arial" w:eastAsia="Times New Roman" w:hAnsi="Arial" w:cs="Arial"/>
          <w:lang w:eastAsia="es-CO"/>
        </w:rPr>
        <w:t>o, </w:t>
      </w:r>
      <w:hyperlink r:id="rId17" w:anchor="9">
        <w:r w:rsidRPr="00AB55D5">
          <w:rPr>
            <w:rFonts w:ascii="Arial" w:eastAsia="Times New Roman" w:hAnsi="Arial" w:cs="Arial"/>
            <w:lang w:eastAsia="es-CO"/>
          </w:rPr>
          <w:t>9</w:t>
        </w:r>
      </w:hyperlink>
      <w:r w:rsidRPr="00AB55D5">
        <w:rPr>
          <w:rFonts w:ascii="Arial" w:eastAsia="Times New Roman" w:hAnsi="Arial" w:cs="Arial"/>
          <w:lang w:eastAsia="es-CO"/>
        </w:rPr>
        <w:t>o, </w:t>
      </w:r>
      <w:hyperlink r:id="rId18" w:anchor="10">
        <w:r w:rsidRPr="00AB55D5">
          <w:rPr>
            <w:rFonts w:ascii="Arial" w:eastAsia="Times New Roman" w:hAnsi="Arial" w:cs="Arial"/>
            <w:lang w:eastAsia="es-CO"/>
          </w:rPr>
          <w:t>10</w:t>
        </w:r>
      </w:hyperlink>
      <w:r w:rsidRPr="00AB55D5">
        <w:rPr>
          <w:rFonts w:ascii="Arial" w:eastAsia="Times New Roman" w:hAnsi="Arial" w:cs="Arial"/>
          <w:lang w:eastAsia="es-CO"/>
        </w:rPr>
        <w:t>, </w:t>
      </w:r>
      <w:hyperlink r:id="rId19" w:anchor="11">
        <w:r w:rsidRPr="00AB55D5">
          <w:rPr>
            <w:rFonts w:ascii="Arial" w:eastAsia="Times New Roman" w:hAnsi="Arial" w:cs="Arial"/>
            <w:lang w:eastAsia="es-CO"/>
          </w:rPr>
          <w:t>11</w:t>
        </w:r>
      </w:hyperlink>
      <w:r w:rsidRPr="00AB55D5">
        <w:rPr>
          <w:rFonts w:ascii="Arial" w:eastAsia="Times New Roman" w:hAnsi="Arial" w:cs="Arial"/>
          <w:lang w:eastAsia="es-CO"/>
        </w:rPr>
        <w:t> y </w:t>
      </w:r>
      <w:hyperlink r:id="rId20" w:anchor="17">
        <w:r w:rsidRPr="00AB55D5">
          <w:rPr>
            <w:rFonts w:ascii="Arial" w:eastAsia="Times New Roman" w:hAnsi="Arial" w:cs="Arial"/>
            <w:lang w:eastAsia="es-CO"/>
          </w:rPr>
          <w:t>17</w:t>
        </w:r>
      </w:hyperlink>
      <w:r w:rsidRPr="00AB55D5">
        <w:rPr>
          <w:rFonts w:ascii="Arial" w:eastAsia="Times New Roman" w:hAnsi="Arial" w:cs="Arial"/>
          <w:lang w:eastAsia="es-CO"/>
        </w:rPr>
        <w:t> de la Ley 716 de 2001.</w:t>
      </w:r>
    </w:p>
    <w:p w14:paraId="337726B2" w14:textId="77777777" w:rsidR="00FE4760" w:rsidRPr="00AB55D5" w:rsidRDefault="00FE4760" w:rsidP="00AB55D5">
      <w:pPr>
        <w:spacing w:before="100" w:beforeAutospacing="1" w:after="100" w:afterAutospacing="1" w:line="240" w:lineRule="auto"/>
        <w:jc w:val="both"/>
        <w:rPr>
          <w:rFonts w:ascii="Arial" w:eastAsia="Times New Roman" w:hAnsi="Arial" w:cs="Arial"/>
          <w:lang w:eastAsia="es-CO"/>
        </w:rPr>
      </w:pPr>
      <w:r w:rsidRPr="00AB55D5">
        <w:rPr>
          <w:rFonts w:ascii="Arial" w:eastAsia="Times New Roman" w:hAnsi="Arial" w:cs="Arial"/>
          <w:lang w:eastAsia="es-CO"/>
        </w:rPr>
        <w:t>PARÁGRAFO. La Procuraduría General de la Nación y demás autoridades disciplinarias realizarán, en el marco de lo dispuesto por la Ley 734 de 2001, las correspondientes investigaciones en contra de los representantes legales y miembros del máximo órgano colegiado dirección, donde aplique, por no haber adelantado el proceso de saneamiento contable de las entidades y organismos públicos bajo su dirección en la vigencia inicial de la ley, con base en los informes remitidos por la Contaduría General de la Nación, la Contraloría General de la República o por la autoridad fiscal correspondiente.</w:t>
      </w:r>
    </w:p>
    <w:p w14:paraId="11768830" w14:textId="77777777" w:rsidR="00FE4760" w:rsidRPr="00AB55D5" w:rsidRDefault="00FE4760" w:rsidP="00AB55D5">
      <w:pPr>
        <w:spacing w:before="100" w:beforeAutospacing="1" w:after="100" w:afterAutospacing="1" w:line="240" w:lineRule="auto"/>
        <w:jc w:val="both"/>
        <w:rPr>
          <w:rFonts w:ascii="Arial" w:eastAsia="Times New Roman" w:hAnsi="Arial" w:cs="Arial"/>
          <w:lang w:eastAsia="es-CO"/>
        </w:rPr>
      </w:pPr>
      <w:bookmarkStart w:id="1" w:name="2"/>
      <w:r w:rsidRPr="00AB55D5">
        <w:rPr>
          <w:rFonts w:ascii="Arial" w:eastAsia="Times New Roman" w:hAnsi="Arial" w:cs="Arial"/>
          <w:lang w:eastAsia="es-CO"/>
        </w:rPr>
        <w:t>ARTÍCULO 2o.</w:t>
      </w:r>
      <w:bookmarkEnd w:id="1"/>
      <w:r w:rsidRPr="00AB55D5">
        <w:rPr>
          <w:rFonts w:ascii="Arial" w:eastAsia="Times New Roman" w:hAnsi="Arial" w:cs="Arial"/>
          <w:lang w:eastAsia="es-CO"/>
        </w:rPr>
        <w:t> Modifíquese y adiciónese al artículo </w:t>
      </w:r>
      <w:hyperlink r:id="rId21" w:anchor="4">
        <w:r w:rsidRPr="00AB55D5">
          <w:rPr>
            <w:rFonts w:ascii="Arial" w:eastAsia="Times New Roman" w:hAnsi="Arial" w:cs="Arial"/>
            <w:lang w:eastAsia="es-CO"/>
          </w:rPr>
          <w:t>4</w:t>
        </w:r>
      </w:hyperlink>
      <w:r w:rsidRPr="00AB55D5">
        <w:rPr>
          <w:rFonts w:ascii="Arial" w:eastAsia="Times New Roman" w:hAnsi="Arial" w:cs="Arial"/>
          <w:lang w:eastAsia="es-CO"/>
        </w:rPr>
        <w:t>o de la Ley 716 de 2001, el cual quedará así:</w:t>
      </w:r>
    </w:p>
    <w:p w14:paraId="0B534BCB" w14:textId="77777777" w:rsidR="00FE4760" w:rsidRPr="00AB55D5" w:rsidRDefault="00FE4760" w:rsidP="00AB55D5">
      <w:pPr>
        <w:spacing w:before="100" w:beforeAutospacing="1" w:after="100" w:afterAutospacing="1" w:line="240" w:lineRule="auto"/>
        <w:jc w:val="both"/>
        <w:rPr>
          <w:rFonts w:ascii="Arial" w:eastAsia="Times New Roman" w:hAnsi="Arial" w:cs="Arial"/>
          <w:lang w:eastAsia="es-CO"/>
        </w:rPr>
      </w:pPr>
      <w:r w:rsidRPr="00AB55D5">
        <w:rPr>
          <w:rFonts w:ascii="Arial" w:eastAsia="Times New Roman" w:hAnsi="Arial" w:cs="Arial"/>
          <w:lang w:eastAsia="es-CO"/>
        </w:rPr>
        <w:t>Artículo 4o. Depuración de saldos contables. Las entidades públicas llevarán a cabo las gestiones necesarias que permitan depurar los valores contables que resulten de la actuación anterior, cuando corresponda a alguna de las siguientes condiciones:</w:t>
      </w:r>
    </w:p>
    <w:p w14:paraId="158F609F" w14:textId="77777777" w:rsidR="00FE4760" w:rsidRPr="00AB55D5" w:rsidRDefault="00FE4760" w:rsidP="00AB55D5">
      <w:pPr>
        <w:spacing w:before="100" w:beforeAutospacing="1" w:after="100" w:afterAutospacing="1" w:line="240" w:lineRule="auto"/>
        <w:jc w:val="both"/>
        <w:rPr>
          <w:rFonts w:ascii="Arial" w:eastAsia="Times New Roman" w:hAnsi="Arial" w:cs="Arial"/>
          <w:lang w:eastAsia="es-CO"/>
        </w:rPr>
      </w:pPr>
      <w:r w:rsidRPr="00AB55D5">
        <w:rPr>
          <w:rFonts w:ascii="Arial" w:eastAsia="Times New Roman" w:hAnsi="Arial" w:cs="Arial"/>
          <w:lang w:eastAsia="es-CO"/>
        </w:rPr>
        <w:t>a) Valores que afecten la situación patrimonial y no representen derechos, bienes u obligaciones ciertos para la entidad;</w:t>
      </w:r>
    </w:p>
    <w:p w14:paraId="387A7E3E" w14:textId="77777777" w:rsidR="00FE4760" w:rsidRPr="00AB55D5" w:rsidRDefault="00FE4760" w:rsidP="00AB55D5">
      <w:pPr>
        <w:spacing w:before="100" w:beforeAutospacing="1" w:after="100" w:afterAutospacing="1" w:line="240" w:lineRule="auto"/>
        <w:jc w:val="both"/>
        <w:rPr>
          <w:rFonts w:ascii="Arial" w:eastAsia="Times New Roman" w:hAnsi="Arial" w:cs="Arial"/>
          <w:lang w:eastAsia="es-CO"/>
        </w:rPr>
      </w:pPr>
      <w:r w:rsidRPr="00AB55D5">
        <w:rPr>
          <w:rFonts w:ascii="Arial" w:eastAsia="Times New Roman" w:hAnsi="Arial" w:cs="Arial"/>
          <w:lang w:eastAsia="es-CO"/>
        </w:rPr>
        <w:t>b) Derechos u obligaciones que no obstante su existencia no es posible realizarlos mediante la jurisdicción coactiva;</w:t>
      </w:r>
    </w:p>
    <w:p w14:paraId="4E49D921" w14:textId="77777777" w:rsidR="00FE4760" w:rsidRPr="00AB55D5" w:rsidRDefault="00FE4760" w:rsidP="00AB55D5">
      <w:pPr>
        <w:spacing w:before="100" w:beforeAutospacing="1" w:after="100" w:afterAutospacing="1" w:line="240" w:lineRule="auto"/>
        <w:jc w:val="both"/>
        <w:rPr>
          <w:rFonts w:ascii="Arial" w:eastAsia="Times New Roman" w:hAnsi="Arial" w:cs="Arial"/>
          <w:lang w:eastAsia="es-CO"/>
        </w:rPr>
      </w:pPr>
      <w:r w:rsidRPr="00AB55D5">
        <w:rPr>
          <w:rFonts w:ascii="Arial" w:eastAsia="Times New Roman" w:hAnsi="Arial" w:cs="Arial"/>
          <w:lang w:eastAsia="es-CO"/>
        </w:rPr>
        <w:t>c) Derechos u obligaciones respecto de los cuales no es posible ejercer su cobro o pago, por cuanto opera alguna causal relacionada con su extinción, según sea el caso;</w:t>
      </w:r>
    </w:p>
    <w:p w14:paraId="021BA135" w14:textId="478C8053" w:rsidR="00FE4760" w:rsidRPr="00AB55D5" w:rsidRDefault="00FE4760" w:rsidP="00AB55D5">
      <w:pPr>
        <w:spacing w:before="100" w:beforeAutospacing="1" w:after="100" w:afterAutospacing="1" w:line="240" w:lineRule="auto"/>
        <w:jc w:val="both"/>
        <w:rPr>
          <w:rFonts w:ascii="Arial" w:eastAsia="Times New Roman" w:hAnsi="Arial" w:cs="Arial"/>
          <w:lang w:eastAsia="es-CO"/>
        </w:rPr>
      </w:pPr>
      <w:r w:rsidRPr="00AB55D5">
        <w:rPr>
          <w:rFonts w:ascii="Arial" w:eastAsia="Times New Roman" w:hAnsi="Arial" w:cs="Arial"/>
          <w:lang w:eastAsia="es-CO"/>
        </w:rPr>
        <w:t>d) Derechos u obligaciones que carecen de documentos soporte idóneos a través de los cuales se puedan adelantar los procedimientos pertinentes para obtener su cobro o pago;</w:t>
      </w:r>
    </w:p>
    <w:p w14:paraId="7904160A" w14:textId="77777777" w:rsidR="00FE4760" w:rsidRPr="00AB55D5" w:rsidRDefault="00FE4760" w:rsidP="00AB55D5">
      <w:pPr>
        <w:spacing w:before="100" w:beforeAutospacing="1" w:after="100" w:afterAutospacing="1" w:line="240" w:lineRule="auto"/>
        <w:jc w:val="both"/>
        <w:rPr>
          <w:rFonts w:ascii="Arial" w:eastAsia="Times New Roman" w:hAnsi="Arial" w:cs="Arial"/>
          <w:lang w:eastAsia="es-CO"/>
        </w:rPr>
      </w:pPr>
      <w:r w:rsidRPr="00AB55D5">
        <w:rPr>
          <w:rFonts w:ascii="Arial" w:eastAsia="Times New Roman" w:hAnsi="Arial" w:cs="Arial"/>
          <w:lang w:eastAsia="es-CO"/>
        </w:rPr>
        <w:lastRenderedPageBreak/>
        <w:t>e) Cuando no haya sido legalmente posible imputarle a alguna persona el valor por la pérdida de los bienes o derechos;</w:t>
      </w:r>
    </w:p>
    <w:p w14:paraId="2CCE68C9" w14:textId="77777777" w:rsidR="00FE4760" w:rsidRPr="00AB55D5" w:rsidRDefault="00FE4760" w:rsidP="00AB55D5">
      <w:pPr>
        <w:spacing w:before="100" w:beforeAutospacing="1" w:after="100" w:afterAutospacing="1" w:line="240" w:lineRule="auto"/>
        <w:jc w:val="both"/>
        <w:rPr>
          <w:rFonts w:ascii="Arial" w:eastAsia="Times New Roman" w:hAnsi="Arial" w:cs="Arial"/>
          <w:lang w:eastAsia="es-CO"/>
        </w:rPr>
      </w:pPr>
      <w:r w:rsidRPr="00AB55D5">
        <w:rPr>
          <w:rFonts w:ascii="Arial" w:eastAsia="Times New Roman" w:hAnsi="Arial" w:cs="Arial"/>
          <w:lang w:eastAsia="es-CO"/>
        </w:rPr>
        <w:t>f) Cuando evaluada y establecida la relación costo beneficio resulte más oneroso adelantar el proceso de que se trate;</w:t>
      </w:r>
    </w:p>
    <w:p w14:paraId="0596A7D6" w14:textId="77777777" w:rsidR="00FE4760" w:rsidRPr="00AB55D5" w:rsidRDefault="00FE4760" w:rsidP="00AB55D5">
      <w:pPr>
        <w:spacing w:before="100" w:beforeAutospacing="1" w:after="100" w:afterAutospacing="1" w:line="240" w:lineRule="auto"/>
        <w:jc w:val="both"/>
        <w:rPr>
          <w:rFonts w:ascii="Arial" w:eastAsia="Times New Roman" w:hAnsi="Arial" w:cs="Arial"/>
          <w:lang w:eastAsia="es-CO"/>
        </w:rPr>
      </w:pPr>
      <w:r w:rsidRPr="00AB55D5">
        <w:rPr>
          <w:rFonts w:ascii="Arial" w:eastAsia="Times New Roman" w:hAnsi="Arial" w:cs="Arial"/>
          <w:lang w:eastAsia="es-CO"/>
        </w:rPr>
        <w:t>g) Los inmuebles que carecen de título de propiedad idóneo y respecto de los cuales sea necesario llevar a cabo el proceso de titulación para incorporar o eliminar de la información contable, según corresponda.</w:t>
      </w:r>
    </w:p>
    <w:p w14:paraId="7FB174C9" w14:textId="77777777" w:rsidR="00FE4760" w:rsidRPr="00AB55D5" w:rsidRDefault="00FE4760" w:rsidP="00AB55D5">
      <w:pPr>
        <w:spacing w:before="100" w:beforeAutospacing="1" w:after="100" w:afterAutospacing="1" w:line="240" w:lineRule="auto"/>
        <w:jc w:val="both"/>
        <w:rPr>
          <w:rFonts w:ascii="Arial" w:eastAsia="Times New Roman" w:hAnsi="Arial" w:cs="Arial"/>
          <w:lang w:eastAsia="es-CO"/>
        </w:rPr>
      </w:pPr>
      <w:r w:rsidRPr="00AB55D5">
        <w:rPr>
          <w:rFonts w:ascii="Arial" w:eastAsia="Times New Roman" w:hAnsi="Arial" w:cs="Arial"/>
          <w:lang w:eastAsia="es-CO"/>
        </w:rPr>
        <w:t>PARÁGRAFO 1o. Para efectos del cumplimiento de lo dispuesto en esta ley, las entidades podrán contratar la realización del proceso de depuración contable con contadores públicos, firmas de contadores o con universidades que tengan facultad de contaduría pública debidamente reconocida por el Gobierno Nacional.</w:t>
      </w:r>
    </w:p>
    <w:p w14:paraId="55DA3E20" w14:textId="77777777" w:rsidR="00FE4760" w:rsidRPr="00AB55D5" w:rsidRDefault="00FE4760" w:rsidP="00AB55D5">
      <w:pPr>
        <w:spacing w:before="100" w:beforeAutospacing="1" w:after="100" w:afterAutospacing="1" w:line="240" w:lineRule="auto"/>
        <w:jc w:val="both"/>
        <w:rPr>
          <w:rFonts w:ascii="Arial" w:eastAsia="Times New Roman" w:hAnsi="Arial" w:cs="Arial"/>
          <w:lang w:eastAsia="es-CO"/>
        </w:rPr>
      </w:pPr>
      <w:r w:rsidRPr="00AB55D5">
        <w:rPr>
          <w:rFonts w:ascii="Arial" w:eastAsia="Times New Roman" w:hAnsi="Arial" w:cs="Arial"/>
          <w:lang w:eastAsia="es-CO"/>
        </w:rPr>
        <w:t>PARÁGRAFO 2o. Los derechos y obligaciones de que trata el presente artículo, y cuya cuantía sea igual o inferior a cinco (5) salarios mínimos legales mensuales vigentes, solo requerirán prueba sumaria para que sean depurados de los registros contables de las entidades públicas.</w:t>
      </w:r>
    </w:p>
    <w:p w14:paraId="308E3C40" w14:textId="77777777" w:rsidR="00FE4760" w:rsidRPr="00AB55D5" w:rsidRDefault="00FE4760" w:rsidP="00AB55D5">
      <w:pPr>
        <w:spacing w:before="100" w:beforeAutospacing="1" w:after="100" w:afterAutospacing="1" w:line="240" w:lineRule="auto"/>
        <w:jc w:val="both"/>
        <w:rPr>
          <w:rFonts w:ascii="Arial" w:eastAsia="Times New Roman" w:hAnsi="Arial" w:cs="Arial"/>
          <w:lang w:eastAsia="es-CO"/>
        </w:rPr>
      </w:pPr>
      <w:r w:rsidRPr="00AB55D5">
        <w:rPr>
          <w:rFonts w:ascii="Arial" w:eastAsia="Times New Roman" w:hAnsi="Arial" w:cs="Arial"/>
          <w:lang w:eastAsia="es-CO"/>
        </w:rPr>
        <w:t xml:space="preserve">PARÁGRAFO 3o. Las entidades estatales para relacionar las acreencias a su favor pendientes de pago deberán permanentemente en forma semestral, elaborar un boletín de deudores morosos, cuando el valor de las acreencias supere un plazo de seis (6) meses y una cuantía mayor a cinco (5) salarios mínimos legales vigentes. Este boletín deberá contener la identificación plena del deudor moroso, bien sea persona natural o jurídica, la identificación y monto del acto generador de la obligación, su fecha de vencimiento y el término de extinción de </w:t>
      </w:r>
      <w:proofErr w:type="gramStart"/>
      <w:r w:rsidRPr="00AB55D5">
        <w:rPr>
          <w:rFonts w:ascii="Arial" w:eastAsia="Times New Roman" w:hAnsi="Arial" w:cs="Arial"/>
          <w:lang w:eastAsia="es-CO"/>
        </w:rPr>
        <w:t>la misma</w:t>
      </w:r>
      <w:proofErr w:type="gramEnd"/>
      <w:r w:rsidRPr="00AB55D5">
        <w:rPr>
          <w:rFonts w:ascii="Arial" w:eastAsia="Times New Roman" w:hAnsi="Arial" w:cs="Arial"/>
          <w:lang w:eastAsia="es-CO"/>
        </w:rPr>
        <w:t>.</w:t>
      </w:r>
    </w:p>
    <w:p w14:paraId="4CF93A54" w14:textId="77777777" w:rsidR="00FE4760" w:rsidRPr="00AB55D5" w:rsidRDefault="00FE4760" w:rsidP="00AB55D5">
      <w:pPr>
        <w:spacing w:after="0" w:line="240" w:lineRule="auto"/>
        <w:jc w:val="both"/>
        <w:rPr>
          <w:rFonts w:ascii="Arial" w:eastAsia="Times New Roman" w:hAnsi="Arial" w:cs="Arial"/>
          <w:lang w:eastAsia="es-CO"/>
        </w:rPr>
      </w:pPr>
      <w:r w:rsidRPr="00AB55D5">
        <w:rPr>
          <w:rFonts w:ascii="Arial" w:eastAsia="Times New Roman" w:hAnsi="Arial" w:cs="Arial"/>
          <w:lang w:eastAsia="es-CO"/>
        </w:rPr>
        <w:t xml:space="preserve">El boletín será remitido al Contador General de la Nación durante los primeros diez (10) días calendario de los meses de </w:t>
      </w:r>
      <w:proofErr w:type="gramStart"/>
      <w:r w:rsidRPr="00AB55D5">
        <w:rPr>
          <w:rFonts w:ascii="Arial" w:eastAsia="Times New Roman" w:hAnsi="Arial" w:cs="Arial"/>
          <w:lang w:eastAsia="es-CO"/>
        </w:rPr>
        <w:t>Junio</w:t>
      </w:r>
      <w:proofErr w:type="gramEnd"/>
      <w:r w:rsidRPr="00AB55D5">
        <w:rPr>
          <w:rFonts w:ascii="Arial" w:eastAsia="Times New Roman" w:hAnsi="Arial" w:cs="Arial"/>
          <w:lang w:eastAsia="es-CO"/>
        </w:rPr>
        <w:t xml:space="preserve"> y Diciembre de cada anualidad fiscal. La Contaduría General de la Nación consolidará y posteriormente publicará en su página Web el boletín de deudores morosos del Estado, los días 30 de julio y 30 de enero del año correspondiente.</w:t>
      </w:r>
    </w:p>
    <w:p w14:paraId="387775DF" w14:textId="77777777" w:rsidR="00FE4760" w:rsidRPr="00AB55D5" w:rsidRDefault="00FE4760" w:rsidP="00AB55D5">
      <w:pPr>
        <w:spacing w:before="100" w:beforeAutospacing="1" w:after="100" w:afterAutospacing="1" w:line="240" w:lineRule="auto"/>
        <w:jc w:val="both"/>
        <w:rPr>
          <w:rFonts w:ascii="Arial" w:eastAsia="Times New Roman" w:hAnsi="Arial" w:cs="Arial"/>
          <w:lang w:eastAsia="es-CO"/>
        </w:rPr>
      </w:pPr>
      <w:r w:rsidRPr="00AB55D5">
        <w:rPr>
          <w:rFonts w:ascii="Arial" w:eastAsia="Times New Roman" w:hAnsi="Arial" w:cs="Arial"/>
          <w:lang w:eastAsia="es-CO"/>
        </w:rPr>
        <w:t>La Contraloría General de la República y demás órganos de control fiscal verificarán el cumplimiento por parte de las entidades estatales de la presente obligación.</w:t>
      </w:r>
    </w:p>
    <w:p w14:paraId="5F0C1FD9" w14:textId="77777777" w:rsidR="00C64E84" w:rsidRPr="00AB55D5" w:rsidRDefault="00C64E84" w:rsidP="00AB55D5">
      <w:pPr>
        <w:pStyle w:val="NormalWeb"/>
        <w:jc w:val="both"/>
        <w:rPr>
          <w:rFonts w:ascii="Arial" w:hAnsi="Arial" w:cs="Arial"/>
          <w:sz w:val="22"/>
          <w:szCs w:val="22"/>
        </w:rPr>
      </w:pPr>
      <w:bookmarkStart w:id="2" w:name="3"/>
      <w:r w:rsidRPr="00AB55D5">
        <w:rPr>
          <w:rFonts w:ascii="Arial" w:hAnsi="Arial" w:cs="Arial"/>
          <w:sz w:val="22"/>
          <w:szCs w:val="22"/>
        </w:rPr>
        <w:t>ARTÍCULO 3o. TITULACIÓN DE BIENES INMUEBLES.</w:t>
      </w:r>
      <w:bookmarkEnd w:id="2"/>
      <w:r w:rsidRPr="00AB55D5">
        <w:rPr>
          <w:rFonts w:ascii="Arial" w:hAnsi="Arial" w:cs="Arial"/>
          <w:sz w:val="22"/>
          <w:szCs w:val="22"/>
        </w:rPr>
        <w:t> Para dar cumplimiento al literal g) del artículo </w:t>
      </w:r>
      <w:hyperlink r:id="rId22" w:anchor="4">
        <w:r w:rsidRPr="00AB55D5">
          <w:rPr>
            <w:rStyle w:val="Hipervnculo"/>
            <w:rFonts w:ascii="Arial" w:hAnsi="Arial" w:cs="Arial"/>
            <w:color w:val="auto"/>
            <w:sz w:val="22"/>
            <w:szCs w:val="22"/>
          </w:rPr>
          <w:t>4</w:t>
        </w:r>
      </w:hyperlink>
      <w:r w:rsidRPr="00AB55D5">
        <w:rPr>
          <w:rFonts w:ascii="Arial" w:hAnsi="Arial" w:cs="Arial"/>
          <w:sz w:val="22"/>
          <w:szCs w:val="22"/>
        </w:rPr>
        <w:t>o de la Ley 716 de 2001, las entidades públicas podrán obtener título de propiedad idóneo, respecto de aquellos bienes inmuebles que aparezcan registrados contablemente, y de los cuales se carezca del derecho de dominio, o que, teniéndolo por expresa disposición legal, carezcan de identidad catastral y de existencia jurídica en el registro inmobiliario, siempre que se cumpla alguno de los siguientes requisitos:</w:t>
      </w:r>
    </w:p>
    <w:p w14:paraId="6F2EB91F" w14:textId="77777777" w:rsidR="00C64E84" w:rsidRPr="00AB55D5" w:rsidRDefault="00C64E84" w:rsidP="00AB55D5">
      <w:pPr>
        <w:pStyle w:val="NormalWeb"/>
        <w:jc w:val="both"/>
        <w:rPr>
          <w:rFonts w:ascii="Arial" w:hAnsi="Arial" w:cs="Arial"/>
          <w:sz w:val="22"/>
          <w:szCs w:val="22"/>
        </w:rPr>
      </w:pPr>
      <w:r w:rsidRPr="00AB55D5">
        <w:rPr>
          <w:rFonts w:ascii="Arial" w:hAnsi="Arial" w:cs="Arial"/>
          <w:sz w:val="22"/>
          <w:szCs w:val="22"/>
        </w:rPr>
        <w:t>a) Que el bien inmueble objeto de titulación se encuentre plenamente identificado, de acuerdo con la reglamentación catastral y de registro vigentes;</w:t>
      </w:r>
    </w:p>
    <w:p w14:paraId="6E80CCAD" w14:textId="77777777" w:rsidR="00C64E84" w:rsidRPr="00AB55D5" w:rsidRDefault="00C64E84" w:rsidP="00AB55D5">
      <w:pPr>
        <w:pStyle w:val="NormalWeb"/>
        <w:jc w:val="both"/>
        <w:rPr>
          <w:rFonts w:ascii="Arial" w:hAnsi="Arial" w:cs="Arial"/>
          <w:sz w:val="22"/>
          <w:szCs w:val="22"/>
        </w:rPr>
      </w:pPr>
      <w:r w:rsidRPr="00AB55D5">
        <w:rPr>
          <w:rFonts w:ascii="Arial" w:hAnsi="Arial" w:cs="Arial"/>
          <w:sz w:val="22"/>
          <w:szCs w:val="22"/>
        </w:rPr>
        <w:t>b) Que el ente público haya ejercido la ocupación o posesión del inmueble con ánimo de dueño por un período no menor a diez (10) años;</w:t>
      </w:r>
    </w:p>
    <w:p w14:paraId="5E38F0C6" w14:textId="77777777" w:rsidR="00C64E84" w:rsidRPr="00AB55D5" w:rsidRDefault="00C64E84" w:rsidP="00AB55D5">
      <w:pPr>
        <w:pStyle w:val="NormalWeb"/>
        <w:jc w:val="both"/>
        <w:rPr>
          <w:rFonts w:ascii="Arial" w:hAnsi="Arial" w:cs="Arial"/>
          <w:sz w:val="22"/>
          <w:szCs w:val="22"/>
        </w:rPr>
      </w:pPr>
      <w:r w:rsidRPr="00AB55D5">
        <w:rPr>
          <w:rFonts w:ascii="Arial" w:hAnsi="Arial" w:cs="Arial"/>
          <w:sz w:val="22"/>
          <w:szCs w:val="22"/>
        </w:rPr>
        <w:lastRenderedPageBreak/>
        <w:t>c) Que el bien esté destinado a la prestación de un servicio público o afectado a proyectos de desarrollo en beneficio de la comunidad;</w:t>
      </w:r>
    </w:p>
    <w:p w14:paraId="4979B35F" w14:textId="77777777" w:rsidR="00C64E84" w:rsidRPr="00AB55D5" w:rsidRDefault="00C64E84" w:rsidP="00AB55D5">
      <w:pPr>
        <w:pStyle w:val="NormalWeb"/>
        <w:jc w:val="both"/>
        <w:rPr>
          <w:rFonts w:ascii="Arial" w:hAnsi="Arial" w:cs="Arial"/>
          <w:sz w:val="22"/>
          <w:szCs w:val="22"/>
        </w:rPr>
      </w:pPr>
      <w:r w:rsidRPr="00AB55D5">
        <w:rPr>
          <w:rFonts w:ascii="Arial" w:hAnsi="Arial" w:cs="Arial"/>
          <w:sz w:val="22"/>
          <w:szCs w:val="22"/>
        </w:rPr>
        <w:t>d) Cuando el bien ocupado o poseído esté registrado a nombre de otra entidad pública, para lo cual se procederá a realizar la respectiva transferencia, mediante acta, suscrita por los representantes legales de las entidades involucradas, la cual por sí sola será título registrable para la transferencia de la propiedad;</w:t>
      </w:r>
    </w:p>
    <w:p w14:paraId="5CE31C60" w14:textId="77777777" w:rsidR="00C64E84" w:rsidRPr="00AB55D5" w:rsidRDefault="00C64E84" w:rsidP="00AB55D5">
      <w:pPr>
        <w:pStyle w:val="NormalWeb"/>
        <w:jc w:val="both"/>
        <w:rPr>
          <w:rFonts w:ascii="Arial" w:hAnsi="Arial" w:cs="Arial"/>
          <w:sz w:val="22"/>
          <w:szCs w:val="22"/>
        </w:rPr>
      </w:pPr>
      <w:r w:rsidRPr="00AB55D5">
        <w:rPr>
          <w:rFonts w:ascii="Arial" w:hAnsi="Arial" w:cs="Arial"/>
          <w:sz w:val="22"/>
          <w:szCs w:val="22"/>
        </w:rPr>
        <w:t>e) Cuando se trate de bienes cuyo titular sea una colectividad, la comunidad o un tercero público o privado, cuya intención es trasladar el dominio a título gratuito, en favor de la entidad u organismo público, se procederá a la suscripción del instrumento respectivo ante la autoridad notarial correspondiente;</w:t>
      </w:r>
    </w:p>
    <w:p w14:paraId="7F64A9F5" w14:textId="43EE73E6" w:rsidR="00C64E84" w:rsidRPr="00AB55D5" w:rsidRDefault="00C64E84" w:rsidP="00AB55D5">
      <w:pPr>
        <w:pStyle w:val="NormalWeb"/>
        <w:jc w:val="both"/>
        <w:rPr>
          <w:rFonts w:ascii="Arial" w:hAnsi="Arial" w:cs="Arial"/>
          <w:sz w:val="22"/>
          <w:szCs w:val="22"/>
        </w:rPr>
      </w:pPr>
      <w:r w:rsidRPr="00AB55D5">
        <w:rPr>
          <w:rFonts w:ascii="Arial" w:hAnsi="Arial" w:cs="Arial"/>
          <w:sz w:val="22"/>
          <w:szCs w:val="22"/>
        </w:rPr>
        <w:t xml:space="preserve">f) El acta de liquidación del contrato de obra o el documento que haga sus veces, bastará para incorporar o depurar la información contable respecto de las construcciones que carecen de título de propiedad idóneo, a la fecha de </w:t>
      </w:r>
      <w:proofErr w:type="gramStart"/>
      <w:r w:rsidRPr="00AB55D5">
        <w:rPr>
          <w:rFonts w:ascii="Arial" w:hAnsi="Arial" w:cs="Arial"/>
          <w:sz w:val="22"/>
          <w:szCs w:val="22"/>
        </w:rPr>
        <w:t>entrada en vigencia</w:t>
      </w:r>
      <w:proofErr w:type="gramEnd"/>
      <w:r w:rsidRPr="00AB55D5">
        <w:rPr>
          <w:rFonts w:ascii="Arial" w:hAnsi="Arial" w:cs="Arial"/>
          <w:sz w:val="22"/>
          <w:szCs w:val="22"/>
        </w:rPr>
        <w:t xml:space="preserve"> de la presente ley.</w:t>
      </w:r>
      <w:r w:rsidR="00A97167" w:rsidRPr="00AB55D5">
        <w:rPr>
          <w:rFonts w:ascii="Arial" w:hAnsi="Arial" w:cs="Arial"/>
          <w:sz w:val="22"/>
          <w:szCs w:val="22"/>
        </w:rPr>
        <w:t xml:space="preserve"> </w:t>
      </w:r>
    </w:p>
    <w:p w14:paraId="53D90BB9" w14:textId="77777777" w:rsidR="00C64E84" w:rsidRPr="00AB55D5" w:rsidRDefault="00C64E84" w:rsidP="00AB55D5">
      <w:pPr>
        <w:pStyle w:val="NormalWeb"/>
        <w:jc w:val="both"/>
        <w:rPr>
          <w:rFonts w:ascii="Arial" w:hAnsi="Arial" w:cs="Arial"/>
          <w:sz w:val="22"/>
          <w:szCs w:val="22"/>
        </w:rPr>
      </w:pPr>
      <w:bookmarkStart w:id="3" w:name="4"/>
      <w:r w:rsidRPr="00AB55D5">
        <w:rPr>
          <w:rFonts w:ascii="Arial" w:hAnsi="Arial" w:cs="Arial"/>
          <w:sz w:val="22"/>
          <w:szCs w:val="22"/>
        </w:rPr>
        <w:t>ARTÍCULO 4o. DERECHOS NOTARIALES, GASTOS DE REGISTRO E IMPUESTOS.</w:t>
      </w:r>
      <w:bookmarkEnd w:id="3"/>
      <w:r w:rsidRPr="00AB55D5">
        <w:rPr>
          <w:rFonts w:ascii="Arial" w:hAnsi="Arial" w:cs="Arial"/>
          <w:sz w:val="22"/>
          <w:szCs w:val="22"/>
        </w:rPr>
        <w:t> Solo para los efectos de cumplimiento de la presente ley, los procesos de titulación de bienes inmuebles de que trata su artículo 4o&lt;sic&gt;, no se causará ningún valor por concepto de derechos notariales, de registro, ni impuestos.</w:t>
      </w:r>
    </w:p>
    <w:p w14:paraId="4529B369" w14:textId="77777777" w:rsidR="00C64E84" w:rsidRPr="00AB55D5" w:rsidRDefault="00C64E84" w:rsidP="00AB55D5">
      <w:pPr>
        <w:pStyle w:val="NormalWeb"/>
        <w:jc w:val="both"/>
        <w:rPr>
          <w:rFonts w:ascii="Arial" w:hAnsi="Arial" w:cs="Arial"/>
          <w:sz w:val="22"/>
          <w:szCs w:val="22"/>
        </w:rPr>
      </w:pPr>
      <w:bookmarkStart w:id="4" w:name="5"/>
      <w:r w:rsidRPr="00AB55D5">
        <w:rPr>
          <w:rFonts w:ascii="Arial" w:hAnsi="Arial" w:cs="Arial"/>
          <w:sz w:val="22"/>
          <w:szCs w:val="22"/>
        </w:rPr>
        <w:t>ARTÍCULO 5o. AVALÚOS Y AVALUADORES.</w:t>
      </w:r>
      <w:bookmarkEnd w:id="4"/>
      <w:r w:rsidRPr="00AB55D5">
        <w:rPr>
          <w:rFonts w:ascii="Arial" w:hAnsi="Arial" w:cs="Arial"/>
          <w:sz w:val="22"/>
          <w:szCs w:val="22"/>
        </w:rPr>
        <w:t> Solo para los efectos de la presente ley, y sin perjuicio de la competencia que en materia de avalúos corresponde al Instituto Geográfico Agustín Codazzi y a los catastros municipales, distritales y departamentales autorizados por la ley, los avalúos que se requieran para los trámites de titulación de inmuebles no tendrán costo alguno, serán realizados por personas pertenecientes a una lista cuya integración corresponderá elaborar a la Superintendencia de Notariado y Registro, con sujeción a los requisitos de idoneidad profesional, solvencia moral, independencia y responsabilidad, en los términos que determine el Gobierno Nacional. Dicho proceso lo podrán realizar Universidades Públicas.</w:t>
      </w:r>
    </w:p>
    <w:p w14:paraId="5920E3FD" w14:textId="77777777" w:rsidR="00C64E84" w:rsidRPr="00AB55D5" w:rsidRDefault="00C64E84" w:rsidP="00AB55D5">
      <w:pPr>
        <w:pStyle w:val="NormalWeb"/>
        <w:jc w:val="both"/>
        <w:rPr>
          <w:rFonts w:ascii="Arial" w:hAnsi="Arial" w:cs="Arial"/>
          <w:sz w:val="22"/>
          <w:szCs w:val="22"/>
        </w:rPr>
      </w:pPr>
      <w:bookmarkStart w:id="5" w:name="6"/>
      <w:r w:rsidRPr="00AB55D5">
        <w:rPr>
          <w:rFonts w:ascii="Arial" w:hAnsi="Arial" w:cs="Arial"/>
          <w:sz w:val="22"/>
          <w:szCs w:val="22"/>
        </w:rPr>
        <w:t>ARTÍCULO 6o. APOYO FINANCIERO AL SANEAMIENTO CONTABLE.</w:t>
      </w:r>
      <w:bookmarkEnd w:id="5"/>
      <w:r w:rsidRPr="00AB55D5">
        <w:rPr>
          <w:rFonts w:ascii="Arial" w:hAnsi="Arial" w:cs="Arial"/>
          <w:sz w:val="22"/>
          <w:szCs w:val="22"/>
        </w:rPr>
        <w:t> Para llevar a cabo el proceso de saneamiento contable, las entidades públicas que lo requieran podrán contratar créditos en condiciones blandas, con entidades financieras públicas de redescuento del nivel nacional o territorial, o Instituto de Fomento y Desarrollo Regional, quienes implementarán una línea de crédito para tal fin, de acuerdo con lo establecido en las Leyes </w:t>
      </w:r>
      <w:hyperlink r:id="rId23" w:anchor="1">
        <w:r w:rsidRPr="00AB55D5">
          <w:rPr>
            <w:rStyle w:val="Hipervnculo"/>
            <w:rFonts w:ascii="Arial" w:hAnsi="Arial" w:cs="Arial"/>
            <w:color w:val="auto"/>
            <w:sz w:val="22"/>
            <w:szCs w:val="22"/>
          </w:rPr>
          <w:t>358</w:t>
        </w:r>
      </w:hyperlink>
      <w:r w:rsidRPr="00AB55D5">
        <w:rPr>
          <w:rFonts w:ascii="Arial" w:hAnsi="Arial" w:cs="Arial"/>
          <w:sz w:val="22"/>
          <w:szCs w:val="22"/>
        </w:rPr>
        <w:t> de 1997 y </w:t>
      </w:r>
      <w:hyperlink r:id="rId24" w:anchor="1">
        <w:r w:rsidRPr="00AB55D5">
          <w:rPr>
            <w:rStyle w:val="Hipervnculo"/>
            <w:rFonts w:ascii="Arial" w:hAnsi="Arial" w:cs="Arial"/>
            <w:color w:val="auto"/>
            <w:sz w:val="22"/>
            <w:szCs w:val="22"/>
          </w:rPr>
          <w:t>617</w:t>
        </w:r>
      </w:hyperlink>
      <w:r w:rsidRPr="00AB55D5">
        <w:rPr>
          <w:rFonts w:ascii="Arial" w:hAnsi="Arial" w:cs="Arial"/>
          <w:sz w:val="22"/>
          <w:szCs w:val="22"/>
        </w:rPr>
        <w:t> de 2000.</w:t>
      </w:r>
    </w:p>
    <w:p w14:paraId="290BFA59" w14:textId="77777777" w:rsidR="00C64E84" w:rsidRPr="00AB55D5" w:rsidRDefault="00C64E84" w:rsidP="00AB55D5">
      <w:pPr>
        <w:pStyle w:val="NormalWeb"/>
        <w:jc w:val="both"/>
        <w:rPr>
          <w:rFonts w:ascii="Arial" w:hAnsi="Arial" w:cs="Arial"/>
          <w:sz w:val="22"/>
          <w:szCs w:val="22"/>
        </w:rPr>
      </w:pPr>
      <w:bookmarkStart w:id="6" w:name="7"/>
      <w:r w:rsidRPr="00AB55D5">
        <w:rPr>
          <w:rFonts w:ascii="Arial" w:hAnsi="Arial" w:cs="Arial"/>
          <w:sz w:val="22"/>
          <w:szCs w:val="22"/>
        </w:rPr>
        <w:t>ARTÍCULO 7o. VERIFICACIÓN DEL SANEAMIENTO CONTABLE.</w:t>
      </w:r>
      <w:bookmarkEnd w:id="6"/>
      <w:r w:rsidRPr="00AB55D5">
        <w:rPr>
          <w:rFonts w:ascii="Arial" w:hAnsi="Arial" w:cs="Arial"/>
          <w:sz w:val="22"/>
          <w:szCs w:val="22"/>
        </w:rPr>
        <w:t> La Contaduría General de la Nación solicitará, en cualquier momento, durante la vigencia de la presente ley, información relativa al proceso de saneamiento contable de las entidades públicas, y realizará inspecciones y verificaciones a los sistemas contables de las mismas, para determinar que se hayan cumplido a satisfacción las disposiciones relacionadas con el proceso de saneamiento contable y, en consecuencia, que los entes públicos suministran información contable que refleja la realidad económica, financiera y social.</w:t>
      </w:r>
    </w:p>
    <w:p w14:paraId="6E096B28" w14:textId="77777777" w:rsidR="00C64E84" w:rsidRPr="00AB55D5" w:rsidRDefault="00C64E84" w:rsidP="00AB55D5">
      <w:pPr>
        <w:pStyle w:val="NormalWeb"/>
        <w:jc w:val="both"/>
        <w:rPr>
          <w:rFonts w:ascii="Arial" w:hAnsi="Arial" w:cs="Arial"/>
          <w:sz w:val="22"/>
          <w:szCs w:val="22"/>
        </w:rPr>
      </w:pPr>
      <w:bookmarkStart w:id="7" w:name="8"/>
      <w:r w:rsidRPr="00AB55D5">
        <w:rPr>
          <w:rFonts w:ascii="Arial" w:hAnsi="Arial" w:cs="Arial"/>
          <w:sz w:val="22"/>
          <w:szCs w:val="22"/>
        </w:rPr>
        <w:t>ARTÍCULO 8o.</w:t>
      </w:r>
      <w:bookmarkEnd w:id="7"/>
      <w:r w:rsidRPr="00AB55D5">
        <w:rPr>
          <w:rFonts w:ascii="Arial" w:hAnsi="Arial" w:cs="Arial"/>
          <w:sz w:val="22"/>
          <w:szCs w:val="22"/>
        </w:rPr>
        <w:t> Modifíquese y adiciónese el artículo </w:t>
      </w:r>
      <w:hyperlink r:id="rId25" w:anchor="5">
        <w:r w:rsidRPr="00AB55D5">
          <w:rPr>
            <w:rStyle w:val="Hipervnculo"/>
            <w:rFonts w:ascii="Arial" w:hAnsi="Arial" w:cs="Arial"/>
            <w:color w:val="auto"/>
            <w:sz w:val="22"/>
            <w:szCs w:val="22"/>
          </w:rPr>
          <w:t>5</w:t>
        </w:r>
      </w:hyperlink>
      <w:r w:rsidRPr="00AB55D5">
        <w:rPr>
          <w:rFonts w:ascii="Arial" w:hAnsi="Arial" w:cs="Arial"/>
          <w:sz w:val="22"/>
          <w:szCs w:val="22"/>
        </w:rPr>
        <w:t>o de la Ley 716 de 2001, el cual quedará así:</w:t>
      </w:r>
    </w:p>
    <w:p w14:paraId="7A60BFC2" w14:textId="77777777" w:rsidR="00C64E84" w:rsidRPr="00AB55D5" w:rsidRDefault="00C64E84" w:rsidP="00AB55D5">
      <w:pPr>
        <w:pStyle w:val="NormalWeb"/>
        <w:jc w:val="both"/>
        <w:rPr>
          <w:rFonts w:ascii="Arial" w:hAnsi="Arial" w:cs="Arial"/>
          <w:sz w:val="22"/>
          <w:szCs w:val="22"/>
        </w:rPr>
      </w:pPr>
      <w:r w:rsidRPr="00AB55D5">
        <w:rPr>
          <w:rFonts w:ascii="Arial" w:hAnsi="Arial" w:cs="Arial"/>
          <w:sz w:val="22"/>
          <w:szCs w:val="22"/>
        </w:rPr>
        <w:lastRenderedPageBreak/>
        <w:t xml:space="preserve">Artículo 5o. Competencia y responsabilidad administrativa. La responsabilidad sobre la depuración de los valores contables estará a cargo del </w:t>
      </w:r>
      <w:proofErr w:type="gramStart"/>
      <w:r w:rsidRPr="00AB55D5">
        <w:rPr>
          <w:rFonts w:ascii="Arial" w:hAnsi="Arial" w:cs="Arial"/>
          <w:sz w:val="22"/>
          <w:szCs w:val="22"/>
        </w:rPr>
        <w:t>Jefe</w:t>
      </w:r>
      <w:proofErr w:type="gramEnd"/>
      <w:r w:rsidRPr="00AB55D5">
        <w:rPr>
          <w:rFonts w:ascii="Arial" w:hAnsi="Arial" w:cs="Arial"/>
          <w:sz w:val="22"/>
          <w:szCs w:val="22"/>
        </w:rPr>
        <w:t xml:space="preserve"> o Director de la entidad; tratándose de entidades del sector central de conformidad con la reglamentación que para el efecto expida el Gobierno Nacional. En los organismos descentralizados de los distintos órdenes la competencia recaerá sobre el máximo organismo colegiado de dirección, llámese consejo directivo, junta directiva, consejo superior o quienes hagan sus veces y por el director, el gerente o el presidente, según se denomine.</w:t>
      </w:r>
    </w:p>
    <w:p w14:paraId="6CA97AC6" w14:textId="77777777" w:rsidR="00C64E84" w:rsidRPr="00AB55D5" w:rsidRDefault="00C64E84" w:rsidP="00AB55D5">
      <w:pPr>
        <w:pStyle w:val="NormalWeb"/>
        <w:jc w:val="both"/>
        <w:rPr>
          <w:rFonts w:ascii="Arial" w:hAnsi="Arial" w:cs="Arial"/>
          <w:sz w:val="22"/>
          <w:szCs w:val="22"/>
        </w:rPr>
      </w:pPr>
      <w:r w:rsidRPr="00AB55D5">
        <w:rPr>
          <w:rStyle w:val="baj"/>
          <w:rFonts w:ascii="Arial" w:hAnsi="Arial" w:cs="Arial"/>
          <w:sz w:val="22"/>
          <w:szCs w:val="22"/>
        </w:rPr>
        <w:t>PARÁGRAFO 1o.</w:t>
      </w:r>
      <w:r w:rsidRPr="00AB55D5">
        <w:rPr>
          <w:rFonts w:ascii="Arial" w:hAnsi="Arial" w:cs="Arial"/>
          <w:sz w:val="22"/>
          <w:szCs w:val="22"/>
        </w:rPr>
        <w:t xml:space="preserve"> Los </w:t>
      </w:r>
      <w:proofErr w:type="gramStart"/>
      <w:r w:rsidRPr="00AB55D5">
        <w:rPr>
          <w:rFonts w:ascii="Arial" w:hAnsi="Arial" w:cs="Arial"/>
          <w:sz w:val="22"/>
          <w:szCs w:val="22"/>
        </w:rPr>
        <w:t>Jefes</w:t>
      </w:r>
      <w:proofErr w:type="gramEnd"/>
      <w:r w:rsidRPr="00AB55D5">
        <w:rPr>
          <w:rFonts w:ascii="Arial" w:hAnsi="Arial" w:cs="Arial"/>
          <w:sz w:val="22"/>
          <w:szCs w:val="22"/>
        </w:rPr>
        <w:t xml:space="preserve"> o Directores de entidades y los comités, juntas o consejos directivos deberán informar detalladamente anualmente sobre la depuración al Congreso de la República, asambleas departamentales y concejos municipales y distritales sobre el resultado de la gestión realizada para el cumplimiento de la presente ley, cuando se deriven de actuaciones en el sector nacional, departamental, distrital y municipal respectivamente.</w:t>
      </w:r>
    </w:p>
    <w:p w14:paraId="3CD7DD2A" w14:textId="77777777" w:rsidR="00C64E84" w:rsidRPr="00AB55D5" w:rsidRDefault="00C64E84" w:rsidP="00AB55D5">
      <w:pPr>
        <w:pStyle w:val="NormalWeb"/>
        <w:jc w:val="both"/>
        <w:rPr>
          <w:rFonts w:ascii="Arial" w:hAnsi="Arial" w:cs="Arial"/>
          <w:sz w:val="22"/>
          <w:szCs w:val="22"/>
        </w:rPr>
      </w:pPr>
      <w:r w:rsidRPr="00AB55D5">
        <w:rPr>
          <w:rStyle w:val="baj"/>
          <w:rFonts w:ascii="Arial" w:hAnsi="Arial" w:cs="Arial"/>
          <w:sz w:val="22"/>
          <w:szCs w:val="22"/>
        </w:rPr>
        <w:t>PARÁGRAFO 2o.</w:t>
      </w:r>
      <w:r w:rsidRPr="00AB55D5">
        <w:rPr>
          <w:rFonts w:ascii="Arial" w:hAnsi="Arial" w:cs="Arial"/>
          <w:sz w:val="22"/>
          <w:szCs w:val="22"/>
        </w:rPr>
        <w:t xml:space="preserve"> Los servidores públicos competentes serán responsables administrativa y disciplinariamente en el evento en que la entidad pública que </w:t>
      </w:r>
      <w:proofErr w:type="gramStart"/>
      <w:r w:rsidRPr="00AB55D5">
        <w:rPr>
          <w:rFonts w:ascii="Arial" w:hAnsi="Arial" w:cs="Arial"/>
          <w:sz w:val="22"/>
          <w:szCs w:val="22"/>
        </w:rPr>
        <w:t>representan,</w:t>
      </w:r>
      <w:proofErr w:type="gramEnd"/>
      <w:r w:rsidRPr="00AB55D5">
        <w:rPr>
          <w:rFonts w:ascii="Arial" w:hAnsi="Arial" w:cs="Arial"/>
          <w:sz w:val="22"/>
          <w:szCs w:val="22"/>
        </w:rPr>
        <w:t xml:space="preserve"> no haya utilizado o haya utilizado indebidamente, las facultades otorgadas por la presente ley para sanear la información contable pública y revelar en forma fidedigna su realidad económica y financiera.</w:t>
      </w:r>
    </w:p>
    <w:p w14:paraId="4E650F8C" w14:textId="77777777" w:rsidR="00C64E84" w:rsidRPr="00AB55D5" w:rsidRDefault="00C64E84" w:rsidP="00AB55D5">
      <w:pPr>
        <w:pStyle w:val="NormalWeb"/>
        <w:jc w:val="both"/>
        <w:rPr>
          <w:rFonts w:ascii="Arial" w:hAnsi="Arial" w:cs="Arial"/>
          <w:sz w:val="22"/>
          <w:szCs w:val="22"/>
        </w:rPr>
      </w:pPr>
      <w:bookmarkStart w:id="8" w:name="9"/>
      <w:r w:rsidRPr="00AB55D5">
        <w:rPr>
          <w:rFonts w:ascii="Arial" w:hAnsi="Arial" w:cs="Arial"/>
          <w:sz w:val="22"/>
          <w:szCs w:val="22"/>
        </w:rPr>
        <w:t>ARTÍCULO 9o.</w:t>
      </w:r>
      <w:bookmarkEnd w:id="8"/>
      <w:r w:rsidRPr="00AB55D5">
        <w:rPr>
          <w:rFonts w:ascii="Arial" w:hAnsi="Arial" w:cs="Arial"/>
          <w:sz w:val="22"/>
          <w:szCs w:val="22"/>
        </w:rPr>
        <w:t> Modifíquese y adiciónese el artículo </w:t>
      </w:r>
      <w:hyperlink r:id="rId26" w:anchor="8">
        <w:r w:rsidRPr="00AB55D5">
          <w:rPr>
            <w:rStyle w:val="Hipervnculo"/>
            <w:rFonts w:ascii="Arial" w:hAnsi="Arial" w:cs="Arial"/>
            <w:color w:val="auto"/>
            <w:sz w:val="22"/>
            <w:szCs w:val="22"/>
          </w:rPr>
          <w:t>8</w:t>
        </w:r>
      </w:hyperlink>
      <w:r w:rsidRPr="00AB55D5">
        <w:rPr>
          <w:rFonts w:ascii="Arial" w:hAnsi="Arial" w:cs="Arial"/>
          <w:sz w:val="22"/>
          <w:szCs w:val="22"/>
        </w:rPr>
        <w:t>o de la Ley 716 de 2001, el cual quedará así:</w:t>
      </w:r>
    </w:p>
    <w:p w14:paraId="161252F1" w14:textId="77777777" w:rsidR="00C64E84" w:rsidRPr="00AB55D5" w:rsidRDefault="00C64E84" w:rsidP="00AB55D5">
      <w:pPr>
        <w:pStyle w:val="NormalWeb"/>
        <w:jc w:val="both"/>
        <w:rPr>
          <w:rFonts w:ascii="Arial" w:hAnsi="Arial" w:cs="Arial"/>
          <w:sz w:val="22"/>
          <w:szCs w:val="22"/>
        </w:rPr>
      </w:pPr>
      <w:r w:rsidRPr="00AB55D5">
        <w:rPr>
          <w:rFonts w:ascii="Arial" w:hAnsi="Arial" w:cs="Arial"/>
          <w:sz w:val="22"/>
          <w:szCs w:val="22"/>
        </w:rPr>
        <w:t>Artículo 8o. Vigilancia y control. Las oficinas y Jefes de Control Interno, Auditores o quien haga sus veces de conformidad con lo establecido en los artículos </w:t>
      </w:r>
      <w:hyperlink r:id="rId27" w:anchor="2">
        <w:r w:rsidRPr="00AB55D5">
          <w:rPr>
            <w:rStyle w:val="Hipervnculo"/>
            <w:rFonts w:ascii="Arial" w:hAnsi="Arial" w:cs="Arial"/>
            <w:color w:val="auto"/>
            <w:sz w:val="22"/>
            <w:szCs w:val="22"/>
          </w:rPr>
          <w:t>2</w:t>
        </w:r>
      </w:hyperlink>
      <w:r w:rsidRPr="00AB55D5">
        <w:rPr>
          <w:rFonts w:ascii="Arial" w:hAnsi="Arial" w:cs="Arial"/>
          <w:sz w:val="22"/>
          <w:szCs w:val="22"/>
        </w:rPr>
        <w:t>o, </w:t>
      </w:r>
      <w:hyperlink r:id="rId28" w:anchor="3">
        <w:r w:rsidRPr="00AB55D5">
          <w:rPr>
            <w:rStyle w:val="Hipervnculo"/>
            <w:rFonts w:ascii="Arial" w:hAnsi="Arial" w:cs="Arial"/>
            <w:color w:val="auto"/>
            <w:sz w:val="22"/>
            <w:szCs w:val="22"/>
          </w:rPr>
          <w:t>3</w:t>
        </w:r>
      </w:hyperlink>
      <w:r w:rsidRPr="00AB55D5">
        <w:rPr>
          <w:rFonts w:ascii="Arial" w:hAnsi="Arial" w:cs="Arial"/>
          <w:sz w:val="22"/>
          <w:szCs w:val="22"/>
        </w:rPr>
        <w:t>o y </w:t>
      </w:r>
      <w:hyperlink r:id="rId29" w:anchor="12">
        <w:r w:rsidRPr="00AB55D5">
          <w:rPr>
            <w:rStyle w:val="Hipervnculo"/>
            <w:rFonts w:ascii="Arial" w:hAnsi="Arial" w:cs="Arial"/>
            <w:color w:val="auto"/>
            <w:sz w:val="22"/>
            <w:szCs w:val="22"/>
          </w:rPr>
          <w:t>12</w:t>
        </w:r>
      </w:hyperlink>
      <w:r w:rsidRPr="00AB55D5">
        <w:rPr>
          <w:rFonts w:ascii="Arial" w:hAnsi="Arial" w:cs="Arial"/>
          <w:sz w:val="22"/>
          <w:szCs w:val="22"/>
        </w:rPr>
        <w:t>, de la Ley 87 de 1993, deberán evaluar en forma separada, independiente y objetiva el cumplimiento de la presente ley, informando a la máxima autoridad competente del organismo o entidad sobre las deficiencias o irregularidades encontradas.</w:t>
      </w:r>
    </w:p>
    <w:p w14:paraId="6473538D" w14:textId="4B8F5D9C" w:rsidR="049DC277" w:rsidRPr="00AB55D5" w:rsidRDefault="049DC277" w:rsidP="00AB55D5">
      <w:pPr>
        <w:pStyle w:val="NormalWeb"/>
        <w:jc w:val="both"/>
        <w:rPr>
          <w:rFonts w:ascii="Arial" w:hAnsi="Arial" w:cs="Arial"/>
          <w:sz w:val="22"/>
          <w:szCs w:val="22"/>
        </w:rPr>
      </w:pPr>
    </w:p>
    <w:p w14:paraId="58049C4D" w14:textId="77777777" w:rsidR="00C64E84" w:rsidRPr="00AB55D5" w:rsidRDefault="00C64E84" w:rsidP="00AB55D5">
      <w:pPr>
        <w:pStyle w:val="NormalWeb"/>
        <w:jc w:val="both"/>
        <w:rPr>
          <w:rFonts w:ascii="Arial" w:hAnsi="Arial" w:cs="Arial"/>
          <w:sz w:val="22"/>
          <w:szCs w:val="22"/>
        </w:rPr>
      </w:pPr>
      <w:r w:rsidRPr="00AB55D5">
        <w:rPr>
          <w:rFonts w:ascii="Arial" w:hAnsi="Arial" w:cs="Arial"/>
          <w:sz w:val="22"/>
          <w:szCs w:val="22"/>
        </w:rPr>
        <w:t>Los órganos de control fiscal, en el ámbito de su jurisdicción, revisarán y evaluarán la gestión, los estudios, documentos y resultados que amparan las acciones y decisiones de las entidades Públicas en aplicación de la presente ley, para lo cual realizarán auditorías de carácter especial.</w:t>
      </w:r>
    </w:p>
    <w:p w14:paraId="77CC7882" w14:textId="77777777" w:rsidR="00C64E84" w:rsidRPr="00AB55D5" w:rsidRDefault="00C64E84" w:rsidP="00AB55D5">
      <w:pPr>
        <w:pStyle w:val="NormalWeb"/>
        <w:jc w:val="both"/>
        <w:rPr>
          <w:rFonts w:ascii="Arial" w:hAnsi="Arial" w:cs="Arial"/>
          <w:sz w:val="22"/>
          <w:szCs w:val="22"/>
        </w:rPr>
      </w:pPr>
      <w:bookmarkStart w:id="9" w:name="10"/>
      <w:r w:rsidRPr="00AB55D5">
        <w:rPr>
          <w:rFonts w:ascii="Arial" w:hAnsi="Arial" w:cs="Arial"/>
          <w:sz w:val="22"/>
          <w:szCs w:val="22"/>
        </w:rPr>
        <w:t>ARTÍCULO 10.</w:t>
      </w:r>
      <w:bookmarkEnd w:id="9"/>
      <w:r w:rsidRPr="00AB55D5">
        <w:rPr>
          <w:rFonts w:ascii="Arial" w:hAnsi="Arial" w:cs="Arial"/>
          <w:sz w:val="22"/>
          <w:szCs w:val="22"/>
        </w:rPr>
        <w:t> Para garantizar el recaudo de los derechos generados por la expedición de los certificados relacionados con el boletín de los deudores morosos establecidos en esta ley, la Dirección General del Presupuesto del Ministerio de Hacienda y Crédito Público, asignará un código de identificación rentística en la estructura de la unidad presupuestal correspondiente a la Unidad Administrativa Especial, UAE, Contaduría General de la Nación.</w:t>
      </w:r>
    </w:p>
    <w:p w14:paraId="5384FDC2" w14:textId="77777777" w:rsidR="00C64E84" w:rsidRPr="00AB55D5" w:rsidRDefault="00C64E84" w:rsidP="00AB55D5">
      <w:pPr>
        <w:pStyle w:val="NormalWeb"/>
        <w:jc w:val="both"/>
        <w:rPr>
          <w:rFonts w:ascii="Arial" w:hAnsi="Arial" w:cs="Arial"/>
          <w:sz w:val="22"/>
          <w:szCs w:val="22"/>
        </w:rPr>
      </w:pPr>
      <w:bookmarkStart w:id="10" w:name="11"/>
      <w:r w:rsidRPr="00AB55D5">
        <w:rPr>
          <w:rFonts w:ascii="Arial" w:hAnsi="Arial" w:cs="Arial"/>
          <w:sz w:val="22"/>
          <w:szCs w:val="22"/>
        </w:rPr>
        <w:t>ARTÍCULO 11. VIGENCIA Y DEROGATORIAS.</w:t>
      </w:r>
      <w:bookmarkEnd w:id="10"/>
      <w:r w:rsidRPr="00AB55D5">
        <w:rPr>
          <w:rFonts w:ascii="Arial" w:hAnsi="Arial" w:cs="Arial"/>
          <w:sz w:val="22"/>
          <w:szCs w:val="22"/>
        </w:rPr>
        <w:t> La presente ley rige a partir de la fecha de su publicación, su vigencia será hasta el treinta y uno (31) de diciembre de dos mil cinco (2005), con excepción del parágrafo 3o del artículo </w:t>
      </w:r>
      <w:hyperlink r:id="rId30" w:anchor="4">
        <w:r w:rsidRPr="00AB55D5">
          <w:rPr>
            <w:rStyle w:val="Hipervnculo"/>
            <w:rFonts w:ascii="Arial" w:hAnsi="Arial" w:cs="Arial"/>
            <w:color w:val="auto"/>
            <w:sz w:val="22"/>
            <w:szCs w:val="22"/>
          </w:rPr>
          <w:t>4</w:t>
        </w:r>
      </w:hyperlink>
      <w:r w:rsidRPr="00AB55D5">
        <w:rPr>
          <w:rFonts w:ascii="Arial" w:hAnsi="Arial" w:cs="Arial"/>
          <w:sz w:val="22"/>
          <w:szCs w:val="22"/>
        </w:rPr>
        <w:t>o y el artículo </w:t>
      </w:r>
      <w:hyperlink r:id="rId31" w:anchor="17">
        <w:r w:rsidRPr="00AB55D5">
          <w:rPr>
            <w:rStyle w:val="Hipervnculo"/>
            <w:rFonts w:ascii="Arial" w:hAnsi="Arial" w:cs="Arial"/>
            <w:color w:val="auto"/>
            <w:sz w:val="22"/>
            <w:szCs w:val="22"/>
          </w:rPr>
          <w:t>17</w:t>
        </w:r>
      </w:hyperlink>
      <w:r w:rsidRPr="00AB55D5">
        <w:rPr>
          <w:rFonts w:ascii="Arial" w:hAnsi="Arial" w:cs="Arial"/>
          <w:sz w:val="22"/>
          <w:szCs w:val="22"/>
        </w:rPr>
        <w:t> de la Ley 716 de 2001 y los artículos </w:t>
      </w:r>
      <w:hyperlink r:id="rId32" w:anchor="10">
        <w:r w:rsidRPr="00AB55D5">
          <w:rPr>
            <w:rStyle w:val="Hipervnculo"/>
            <w:rFonts w:ascii="Arial" w:hAnsi="Arial" w:cs="Arial"/>
            <w:color w:val="auto"/>
            <w:sz w:val="22"/>
            <w:szCs w:val="22"/>
          </w:rPr>
          <w:t>10</w:t>
        </w:r>
      </w:hyperlink>
      <w:r w:rsidRPr="00AB55D5">
        <w:rPr>
          <w:rFonts w:ascii="Arial" w:hAnsi="Arial" w:cs="Arial"/>
          <w:sz w:val="22"/>
          <w:szCs w:val="22"/>
        </w:rPr>
        <w:t> y </w:t>
      </w:r>
      <w:hyperlink r:id="rId33" w:anchor="11">
        <w:r w:rsidRPr="00AB55D5">
          <w:rPr>
            <w:rStyle w:val="Hipervnculo"/>
            <w:rFonts w:ascii="Arial" w:hAnsi="Arial" w:cs="Arial"/>
            <w:color w:val="auto"/>
            <w:sz w:val="22"/>
            <w:szCs w:val="22"/>
          </w:rPr>
          <w:t>11</w:t>
        </w:r>
      </w:hyperlink>
      <w:r w:rsidRPr="00AB55D5">
        <w:rPr>
          <w:rFonts w:ascii="Arial" w:hAnsi="Arial" w:cs="Arial"/>
          <w:sz w:val="22"/>
          <w:szCs w:val="22"/>
        </w:rPr>
        <w:t> de la presente ley y deroga las demás normas que le sean contrarias.</w:t>
      </w:r>
    </w:p>
    <w:p w14:paraId="5EA0583C" w14:textId="113668DD" w:rsidR="049DC277" w:rsidRPr="00AB55D5" w:rsidRDefault="049DC277" w:rsidP="00AB55D5">
      <w:pPr>
        <w:pStyle w:val="centrado"/>
        <w:jc w:val="center"/>
        <w:rPr>
          <w:rFonts w:ascii="Arial" w:hAnsi="Arial" w:cs="Arial"/>
          <w:sz w:val="22"/>
          <w:szCs w:val="22"/>
        </w:rPr>
      </w:pPr>
    </w:p>
    <w:p w14:paraId="0EC55586" w14:textId="77777777" w:rsidR="00C64E84" w:rsidRPr="00AB55D5" w:rsidRDefault="00C64E84" w:rsidP="00AB55D5">
      <w:pPr>
        <w:pStyle w:val="centrado"/>
        <w:jc w:val="center"/>
        <w:rPr>
          <w:rFonts w:ascii="Arial" w:hAnsi="Arial" w:cs="Arial"/>
          <w:sz w:val="22"/>
          <w:szCs w:val="22"/>
        </w:rPr>
      </w:pPr>
      <w:r w:rsidRPr="00AB55D5">
        <w:rPr>
          <w:rFonts w:ascii="Arial" w:hAnsi="Arial" w:cs="Arial"/>
          <w:sz w:val="22"/>
          <w:szCs w:val="22"/>
        </w:rPr>
        <w:lastRenderedPageBreak/>
        <w:t xml:space="preserve">El </w:t>
      </w:r>
      <w:proofErr w:type="gramStart"/>
      <w:r w:rsidRPr="00AB55D5">
        <w:rPr>
          <w:rFonts w:ascii="Arial" w:hAnsi="Arial" w:cs="Arial"/>
          <w:sz w:val="22"/>
          <w:szCs w:val="22"/>
        </w:rPr>
        <w:t>Presidente</w:t>
      </w:r>
      <w:proofErr w:type="gramEnd"/>
      <w:r w:rsidRPr="00AB55D5">
        <w:rPr>
          <w:rFonts w:ascii="Arial" w:hAnsi="Arial" w:cs="Arial"/>
          <w:sz w:val="22"/>
          <w:szCs w:val="22"/>
        </w:rPr>
        <w:t xml:space="preserve"> del honorable Senado de la República,</w:t>
      </w:r>
    </w:p>
    <w:p w14:paraId="61C6B8EB" w14:textId="09FB4B07" w:rsidR="049DC277" w:rsidRPr="00AB55D5" w:rsidRDefault="049DC277" w:rsidP="00AB55D5">
      <w:pPr>
        <w:pStyle w:val="centrado"/>
        <w:jc w:val="center"/>
        <w:rPr>
          <w:rStyle w:val="baj"/>
          <w:rFonts w:ascii="Arial" w:hAnsi="Arial" w:cs="Arial"/>
          <w:sz w:val="22"/>
          <w:szCs w:val="22"/>
        </w:rPr>
      </w:pPr>
    </w:p>
    <w:p w14:paraId="436EC03C" w14:textId="77777777" w:rsidR="00C64E84" w:rsidRPr="00AB55D5" w:rsidRDefault="00C64E84" w:rsidP="00AB55D5">
      <w:pPr>
        <w:pStyle w:val="centrado"/>
        <w:jc w:val="center"/>
        <w:rPr>
          <w:rFonts w:ascii="Arial" w:hAnsi="Arial" w:cs="Arial"/>
          <w:sz w:val="22"/>
          <w:szCs w:val="22"/>
        </w:rPr>
      </w:pPr>
      <w:r w:rsidRPr="00AB55D5">
        <w:rPr>
          <w:rStyle w:val="baj"/>
          <w:rFonts w:ascii="Arial" w:hAnsi="Arial" w:cs="Arial"/>
          <w:sz w:val="22"/>
          <w:szCs w:val="22"/>
        </w:rPr>
        <w:t>GERMÁN VARGAS LLERAS.</w:t>
      </w:r>
    </w:p>
    <w:p w14:paraId="57C3D1FB" w14:textId="5EDDB85D" w:rsidR="049DC277" w:rsidRPr="00AB55D5" w:rsidRDefault="049DC277" w:rsidP="00AB55D5">
      <w:pPr>
        <w:pStyle w:val="centrado"/>
        <w:jc w:val="center"/>
        <w:rPr>
          <w:rFonts w:ascii="Arial" w:hAnsi="Arial" w:cs="Arial"/>
          <w:sz w:val="22"/>
          <w:szCs w:val="22"/>
        </w:rPr>
      </w:pPr>
    </w:p>
    <w:p w14:paraId="0AD18D60" w14:textId="77777777" w:rsidR="00C64E84" w:rsidRPr="00AB55D5" w:rsidRDefault="00C64E84" w:rsidP="00AB55D5">
      <w:pPr>
        <w:pStyle w:val="centrado"/>
        <w:jc w:val="center"/>
        <w:rPr>
          <w:rFonts w:ascii="Arial" w:hAnsi="Arial" w:cs="Arial"/>
          <w:sz w:val="22"/>
          <w:szCs w:val="22"/>
        </w:rPr>
      </w:pPr>
      <w:r w:rsidRPr="00AB55D5">
        <w:rPr>
          <w:rFonts w:ascii="Arial" w:hAnsi="Arial" w:cs="Arial"/>
          <w:sz w:val="22"/>
          <w:szCs w:val="22"/>
        </w:rPr>
        <w:t xml:space="preserve">El </w:t>
      </w:r>
      <w:proofErr w:type="gramStart"/>
      <w:r w:rsidRPr="00AB55D5">
        <w:rPr>
          <w:rFonts w:ascii="Arial" w:hAnsi="Arial" w:cs="Arial"/>
          <w:sz w:val="22"/>
          <w:szCs w:val="22"/>
        </w:rPr>
        <w:t>Secretario General</w:t>
      </w:r>
      <w:proofErr w:type="gramEnd"/>
      <w:r w:rsidRPr="00AB55D5">
        <w:rPr>
          <w:rFonts w:ascii="Arial" w:hAnsi="Arial" w:cs="Arial"/>
          <w:sz w:val="22"/>
          <w:szCs w:val="22"/>
        </w:rPr>
        <w:t xml:space="preserve"> del honorable Senado de la República,</w:t>
      </w:r>
    </w:p>
    <w:p w14:paraId="137A91DB" w14:textId="6632269C" w:rsidR="049DC277" w:rsidRPr="00AB55D5" w:rsidRDefault="049DC277" w:rsidP="00AB55D5">
      <w:pPr>
        <w:pStyle w:val="centrado"/>
        <w:jc w:val="center"/>
        <w:rPr>
          <w:rStyle w:val="baj"/>
          <w:rFonts w:ascii="Arial" w:hAnsi="Arial" w:cs="Arial"/>
          <w:sz w:val="22"/>
          <w:szCs w:val="22"/>
        </w:rPr>
      </w:pPr>
    </w:p>
    <w:p w14:paraId="24294B9B" w14:textId="77777777" w:rsidR="00C64E84" w:rsidRPr="00AB55D5" w:rsidRDefault="00C64E84" w:rsidP="00AB55D5">
      <w:pPr>
        <w:pStyle w:val="centrado"/>
        <w:jc w:val="center"/>
        <w:rPr>
          <w:rFonts w:ascii="Arial" w:hAnsi="Arial" w:cs="Arial"/>
          <w:sz w:val="22"/>
          <w:szCs w:val="22"/>
        </w:rPr>
      </w:pPr>
      <w:r w:rsidRPr="00AB55D5">
        <w:rPr>
          <w:rStyle w:val="baj"/>
          <w:rFonts w:ascii="Arial" w:hAnsi="Arial" w:cs="Arial"/>
          <w:sz w:val="22"/>
          <w:szCs w:val="22"/>
        </w:rPr>
        <w:t>EMILIO RAMÓN OTERO DAJUD.</w:t>
      </w:r>
    </w:p>
    <w:p w14:paraId="4504CB25" w14:textId="3A44450C" w:rsidR="049DC277" w:rsidRPr="00AB55D5" w:rsidRDefault="049DC277" w:rsidP="00AB55D5">
      <w:pPr>
        <w:pStyle w:val="centrado"/>
        <w:jc w:val="center"/>
        <w:rPr>
          <w:rFonts w:ascii="Arial" w:hAnsi="Arial" w:cs="Arial"/>
          <w:sz w:val="22"/>
          <w:szCs w:val="22"/>
        </w:rPr>
      </w:pPr>
    </w:p>
    <w:p w14:paraId="5F4647D5" w14:textId="77777777" w:rsidR="00C64E84" w:rsidRPr="00AB55D5" w:rsidRDefault="00C64E84" w:rsidP="00AB55D5">
      <w:pPr>
        <w:pStyle w:val="centrado"/>
        <w:jc w:val="center"/>
        <w:rPr>
          <w:rFonts w:ascii="Arial" w:hAnsi="Arial" w:cs="Arial"/>
          <w:sz w:val="22"/>
          <w:szCs w:val="22"/>
        </w:rPr>
      </w:pPr>
      <w:r w:rsidRPr="00AB55D5">
        <w:rPr>
          <w:rFonts w:ascii="Arial" w:hAnsi="Arial" w:cs="Arial"/>
          <w:sz w:val="22"/>
          <w:szCs w:val="22"/>
        </w:rPr>
        <w:t xml:space="preserve">El </w:t>
      </w:r>
      <w:proofErr w:type="gramStart"/>
      <w:r w:rsidRPr="00AB55D5">
        <w:rPr>
          <w:rFonts w:ascii="Arial" w:hAnsi="Arial" w:cs="Arial"/>
          <w:sz w:val="22"/>
          <w:szCs w:val="22"/>
        </w:rPr>
        <w:t>Presidente</w:t>
      </w:r>
      <w:proofErr w:type="gramEnd"/>
      <w:r w:rsidRPr="00AB55D5">
        <w:rPr>
          <w:rFonts w:ascii="Arial" w:hAnsi="Arial" w:cs="Arial"/>
          <w:sz w:val="22"/>
          <w:szCs w:val="22"/>
        </w:rPr>
        <w:t xml:space="preserve"> de la honorable Cámara de Representantes,</w:t>
      </w:r>
    </w:p>
    <w:p w14:paraId="22900278" w14:textId="6D90D8DA" w:rsidR="049DC277" w:rsidRPr="00AB55D5" w:rsidRDefault="049DC277" w:rsidP="00AB55D5">
      <w:pPr>
        <w:pStyle w:val="centrado"/>
        <w:jc w:val="center"/>
        <w:rPr>
          <w:rStyle w:val="baj"/>
          <w:rFonts w:ascii="Arial" w:hAnsi="Arial" w:cs="Arial"/>
          <w:sz w:val="22"/>
          <w:szCs w:val="22"/>
        </w:rPr>
      </w:pPr>
    </w:p>
    <w:p w14:paraId="263E9E02" w14:textId="77777777" w:rsidR="00C64E84" w:rsidRPr="00AB55D5" w:rsidRDefault="00C64E84" w:rsidP="00AB55D5">
      <w:pPr>
        <w:pStyle w:val="centrado"/>
        <w:jc w:val="center"/>
        <w:rPr>
          <w:rFonts w:ascii="Arial" w:hAnsi="Arial" w:cs="Arial"/>
          <w:sz w:val="22"/>
          <w:szCs w:val="22"/>
        </w:rPr>
      </w:pPr>
      <w:r w:rsidRPr="00AB55D5">
        <w:rPr>
          <w:rStyle w:val="baj"/>
          <w:rFonts w:ascii="Arial" w:hAnsi="Arial" w:cs="Arial"/>
          <w:sz w:val="22"/>
          <w:szCs w:val="22"/>
        </w:rPr>
        <w:t>ALONSO ACOSTA OSIO.</w:t>
      </w:r>
    </w:p>
    <w:p w14:paraId="3F09B637" w14:textId="6A410AF9" w:rsidR="049DC277" w:rsidRPr="00AB55D5" w:rsidRDefault="049DC277" w:rsidP="00AB55D5">
      <w:pPr>
        <w:pStyle w:val="centrado"/>
        <w:jc w:val="center"/>
        <w:rPr>
          <w:rFonts w:ascii="Arial" w:hAnsi="Arial" w:cs="Arial"/>
          <w:sz w:val="22"/>
          <w:szCs w:val="22"/>
        </w:rPr>
      </w:pPr>
    </w:p>
    <w:p w14:paraId="4B406E38" w14:textId="77777777" w:rsidR="00C64E84" w:rsidRPr="00AB55D5" w:rsidRDefault="00C64E84" w:rsidP="00AB55D5">
      <w:pPr>
        <w:pStyle w:val="centrado"/>
        <w:jc w:val="center"/>
        <w:rPr>
          <w:rFonts w:ascii="Arial" w:hAnsi="Arial" w:cs="Arial"/>
          <w:sz w:val="22"/>
          <w:szCs w:val="22"/>
        </w:rPr>
      </w:pPr>
      <w:r w:rsidRPr="00AB55D5">
        <w:rPr>
          <w:rFonts w:ascii="Arial" w:hAnsi="Arial" w:cs="Arial"/>
          <w:sz w:val="22"/>
          <w:szCs w:val="22"/>
        </w:rPr>
        <w:t xml:space="preserve">El </w:t>
      </w:r>
      <w:proofErr w:type="gramStart"/>
      <w:r w:rsidRPr="00AB55D5">
        <w:rPr>
          <w:rFonts w:ascii="Arial" w:hAnsi="Arial" w:cs="Arial"/>
          <w:sz w:val="22"/>
          <w:szCs w:val="22"/>
        </w:rPr>
        <w:t>Secretario General</w:t>
      </w:r>
      <w:proofErr w:type="gramEnd"/>
      <w:r w:rsidRPr="00AB55D5">
        <w:rPr>
          <w:rFonts w:ascii="Arial" w:hAnsi="Arial" w:cs="Arial"/>
          <w:sz w:val="22"/>
          <w:szCs w:val="22"/>
        </w:rPr>
        <w:t xml:space="preserve"> de la honorable Cámara de Representantes,</w:t>
      </w:r>
    </w:p>
    <w:p w14:paraId="51FAFFDB" w14:textId="50AF57B6" w:rsidR="049DC277" w:rsidRPr="00AB55D5" w:rsidRDefault="049DC277" w:rsidP="00AB55D5">
      <w:pPr>
        <w:pStyle w:val="centrado"/>
        <w:jc w:val="center"/>
        <w:rPr>
          <w:rStyle w:val="baj"/>
          <w:rFonts w:ascii="Arial" w:hAnsi="Arial" w:cs="Arial"/>
          <w:sz w:val="22"/>
          <w:szCs w:val="22"/>
        </w:rPr>
      </w:pPr>
    </w:p>
    <w:p w14:paraId="01D13CBB" w14:textId="77777777" w:rsidR="00C64E84" w:rsidRPr="00AB55D5" w:rsidRDefault="00C64E84" w:rsidP="00AB55D5">
      <w:pPr>
        <w:pStyle w:val="centrado"/>
        <w:jc w:val="center"/>
        <w:rPr>
          <w:rFonts w:ascii="Arial" w:hAnsi="Arial" w:cs="Arial"/>
          <w:sz w:val="22"/>
          <w:szCs w:val="22"/>
        </w:rPr>
      </w:pPr>
      <w:r w:rsidRPr="00AB55D5">
        <w:rPr>
          <w:rStyle w:val="baj"/>
          <w:rFonts w:ascii="Arial" w:hAnsi="Arial" w:cs="Arial"/>
          <w:sz w:val="22"/>
          <w:szCs w:val="22"/>
        </w:rPr>
        <w:t>ANGELINO LIZCANO RIVERA.</w:t>
      </w:r>
    </w:p>
    <w:p w14:paraId="3EE2E4F4" w14:textId="686C5DA4" w:rsidR="049DC277" w:rsidRPr="00AB55D5" w:rsidRDefault="049DC277" w:rsidP="00AB55D5">
      <w:pPr>
        <w:pStyle w:val="centrado"/>
        <w:jc w:val="center"/>
        <w:rPr>
          <w:rStyle w:val="baj"/>
          <w:rFonts w:ascii="Arial" w:hAnsi="Arial" w:cs="Arial"/>
          <w:sz w:val="22"/>
          <w:szCs w:val="22"/>
        </w:rPr>
      </w:pPr>
    </w:p>
    <w:p w14:paraId="53137201" w14:textId="77777777" w:rsidR="00C64E84" w:rsidRPr="00AB55D5" w:rsidRDefault="00C64E84" w:rsidP="00AB55D5">
      <w:pPr>
        <w:pStyle w:val="centrado"/>
        <w:jc w:val="center"/>
        <w:rPr>
          <w:rFonts w:ascii="Arial" w:hAnsi="Arial" w:cs="Arial"/>
          <w:sz w:val="22"/>
          <w:szCs w:val="22"/>
        </w:rPr>
      </w:pPr>
      <w:r w:rsidRPr="00AB55D5">
        <w:rPr>
          <w:rStyle w:val="baj"/>
          <w:rFonts w:ascii="Arial" w:hAnsi="Arial" w:cs="Arial"/>
          <w:sz w:val="22"/>
          <w:szCs w:val="22"/>
        </w:rPr>
        <w:t>REPUBLICA DE COLOMBIA - GOBIERN O NACIONAL</w:t>
      </w:r>
    </w:p>
    <w:p w14:paraId="45DA882C" w14:textId="244D2D40" w:rsidR="049DC277" w:rsidRPr="00AB55D5" w:rsidRDefault="049DC277" w:rsidP="00AB55D5">
      <w:pPr>
        <w:pStyle w:val="centrado"/>
        <w:jc w:val="center"/>
        <w:rPr>
          <w:rFonts w:ascii="Arial" w:hAnsi="Arial" w:cs="Arial"/>
          <w:sz w:val="22"/>
          <w:szCs w:val="22"/>
        </w:rPr>
      </w:pPr>
    </w:p>
    <w:p w14:paraId="2C096051" w14:textId="77777777" w:rsidR="00C64E84" w:rsidRPr="00AB55D5" w:rsidRDefault="00C64E84" w:rsidP="00AB55D5">
      <w:pPr>
        <w:pStyle w:val="centrado"/>
        <w:jc w:val="center"/>
        <w:rPr>
          <w:rFonts w:ascii="Arial" w:hAnsi="Arial" w:cs="Arial"/>
          <w:sz w:val="22"/>
          <w:szCs w:val="22"/>
        </w:rPr>
      </w:pPr>
      <w:r w:rsidRPr="00AB55D5">
        <w:rPr>
          <w:rFonts w:ascii="Arial" w:hAnsi="Arial" w:cs="Arial"/>
          <w:sz w:val="22"/>
          <w:szCs w:val="22"/>
        </w:rPr>
        <w:t>PUBLÍQUESE Y CÚMPLASE.</w:t>
      </w:r>
    </w:p>
    <w:p w14:paraId="0DE92081" w14:textId="2A14233A" w:rsidR="049DC277" w:rsidRPr="00AB55D5" w:rsidRDefault="049DC277" w:rsidP="00AB55D5">
      <w:pPr>
        <w:pStyle w:val="centrado"/>
        <w:jc w:val="center"/>
        <w:rPr>
          <w:rFonts w:ascii="Arial" w:hAnsi="Arial" w:cs="Arial"/>
          <w:sz w:val="22"/>
          <w:szCs w:val="22"/>
        </w:rPr>
      </w:pPr>
    </w:p>
    <w:p w14:paraId="7EC0C6A2" w14:textId="77777777" w:rsidR="00C64E84" w:rsidRPr="00AB55D5" w:rsidRDefault="00C64E84" w:rsidP="00AB55D5">
      <w:pPr>
        <w:pStyle w:val="centrado"/>
        <w:jc w:val="center"/>
        <w:rPr>
          <w:rFonts w:ascii="Arial" w:hAnsi="Arial" w:cs="Arial"/>
          <w:sz w:val="22"/>
          <w:szCs w:val="22"/>
        </w:rPr>
      </w:pPr>
      <w:r w:rsidRPr="00AB55D5">
        <w:rPr>
          <w:rFonts w:ascii="Arial" w:hAnsi="Arial" w:cs="Arial"/>
          <w:sz w:val="22"/>
          <w:szCs w:val="22"/>
        </w:rPr>
        <w:t>Dada en Bogotá, D. C, a 26 de julio de 2004.</w:t>
      </w:r>
    </w:p>
    <w:p w14:paraId="05E2B592" w14:textId="55F3A601" w:rsidR="049DC277" w:rsidRPr="00AB55D5" w:rsidRDefault="049DC277" w:rsidP="00AB55D5">
      <w:pPr>
        <w:pStyle w:val="centrado"/>
        <w:jc w:val="center"/>
        <w:rPr>
          <w:rStyle w:val="baj"/>
          <w:rFonts w:ascii="Arial" w:hAnsi="Arial" w:cs="Arial"/>
          <w:sz w:val="22"/>
          <w:szCs w:val="22"/>
        </w:rPr>
      </w:pPr>
    </w:p>
    <w:p w14:paraId="4491326E" w14:textId="77777777" w:rsidR="00C64E84" w:rsidRPr="00AB55D5" w:rsidRDefault="00C64E84" w:rsidP="00AB55D5">
      <w:pPr>
        <w:pStyle w:val="centrado"/>
        <w:jc w:val="center"/>
        <w:rPr>
          <w:rFonts w:ascii="Arial" w:hAnsi="Arial" w:cs="Arial"/>
          <w:sz w:val="22"/>
          <w:szCs w:val="22"/>
        </w:rPr>
      </w:pPr>
      <w:r w:rsidRPr="00AB55D5">
        <w:rPr>
          <w:rStyle w:val="baj"/>
          <w:rFonts w:ascii="Arial" w:hAnsi="Arial" w:cs="Arial"/>
          <w:sz w:val="22"/>
          <w:szCs w:val="22"/>
        </w:rPr>
        <w:t>ÁLVARO URIBE VÉLEZ</w:t>
      </w:r>
    </w:p>
    <w:p w14:paraId="092A3D80" w14:textId="376143C3" w:rsidR="049DC277" w:rsidRPr="00AB55D5" w:rsidRDefault="049DC277" w:rsidP="00AB55D5">
      <w:pPr>
        <w:pStyle w:val="centrado"/>
        <w:jc w:val="center"/>
        <w:rPr>
          <w:rFonts w:ascii="Arial" w:hAnsi="Arial" w:cs="Arial"/>
          <w:sz w:val="22"/>
          <w:szCs w:val="22"/>
        </w:rPr>
      </w:pPr>
    </w:p>
    <w:p w14:paraId="1148904A" w14:textId="77777777" w:rsidR="00C64E84" w:rsidRPr="00AB55D5" w:rsidRDefault="00C64E84" w:rsidP="00AB55D5">
      <w:pPr>
        <w:pStyle w:val="centrado"/>
        <w:jc w:val="center"/>
        <w:rPr>
          <w:rFonts w:ascii="Arial" w:hAnsi="Arial" w:cs="Arial"/>
          <w:sz w:val="22"/>
          <w:szCs w:val="22"/>
        </w:rPr>
      </w:pPr>
      <w:r w:rsidRPr="00AB55D5">
        <w:rPr>
          <w:rFonts w:ascii="Arial" w:hAnsi="Arial" w:cs="Arial"/>
          <w:sz w:val="22"/>
          <w:szCs w:val="22"/>
        </w:rPr>
        <w:lastRenderedPageBreak/>
        <w:t xml:space="preserve">El </w:t>
      </w:r>
      <w:proofErr w:type="gramStart"/>
      <w:r w:rsidRPr="00AB55D5">
        <w:rPr>
          <w:rFonts w:ascii="Arial" w:hAnsi="Arial" w:cs="Arial"/>
          <w:sz w:val="22"/>
          <w:szCs w:val="22"/>
        </w:rPr>
        <w:t>Ministro</w:t>
      </w:r>
      <w:proofErr w:type="gramEnd"/>
      <w:r w:rsidRPr="00AB55D5">
        <w:rPr>
          <w:rFonts w:ascii="Arial" w:hAnsi="Arial" w:cs="Arial"/>
          <w:sz w:val="22"/>
          <w:szCs w:val="22"/>
        </w:rPr>
        <w:t xml:space="preserve"> de Hacienda y Crédito Público,</w:t>
      </w:r>
    </w:p>
    <w:p w14:paraId="6D055EE2" w14:textId="0C6A8F4B" w:rsidR="049DC277" w:rsidRPr="00AB55D5" w:rsidRDefault="049DC277" w:rsidP="00AB55D5">
      <w:pPr>
        <w:pStyle w:val="centrado"/>
        <w:jc w:val="center"/>
        <w:rPr>
          <w:rStyle w:val="baj"/>
          <w:rFonts w:ascii="Arial" w:hAnsi="Arial" w:cs="Arial"/>
          <w:sz w:val="22"/>
          <w:szCs w:val="22"/>
        </w:rPr>
      </w:pPr>
    </w:p>
    <w:p w14:paraId="27D410B2" w14:textId="77777777" w:rsidR="00C64E84" w:rsidRPr="00AB55D5" w:rsidRDefault="00C64E84" w:rsidP="00AB55D5">
      <w:pPr>
        <w:pStyle w:val="centrado"/>
        <w:jc w:val="center"/>
        <w:rPr>
          <w:rFonts w:ascii="Arial" w:hAnsi="Arial" w:cs="Arial"/>
          <w:sz w:val="22"/>
          <w:szCs w:val="22"/>
        </w:rPr>
      </w:pPr>
      <w:r w:rsidRPr="00AB55D5">
        <w:rPr>
          <w:rStyle w:val="baj"/>
          <w:rFonts w:ascii="Arial" w:hAnsi="Arial" w:cs="Arial"/>
          <w:sz w:val="22"/>
          <w:szCs w:val="22"/>
        </w:rPr>
        <w:t>ALBERTO CARRASQUILLA BARRERA.</w:t>
      </w:r>
    </w:p>
    <w:p w14:paraId="294344C2" w14:textId="77777777" w:rsidR="006C3C0D" w:rsidRPr="00AB55D5" w:rsidRDefault="006C3C0D" w:rsidP="00AB55D5">
      <w:pPr>
        <w:spacing w:line="240" w:lineRule="auto"/>
        <w:rPr>
          <w:rFonts w:ascii="Arial" w:hAnsi="Arial" w:cs="Arial"/>
          <w:b/>
          <w:bCs/>
        </w:rPr>
      </w:pPr>
    </w:p>
    <w:sectPr w:rsidR="006C3C0D" w:rsidRPr="00AB55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60"/>
    <w:rsid w:val="00001DD6"/>
    <w:rsid w:val="00181B68"/>
    <w:rsid w:val="00304C93"/>
    <w:rsid w:val="0048791E"/>
    <w:rsid w:val="00510BD8"/>
    <w:rsid w:val="00687570"/>
    <w:rsid w:val="006A5868"/>
    <w:rsid w:val="006C3C0D"/>
    <w:rsid w:val="00760A69"/>
    <w:rsid w:val="0078087A"/>
    <w:rsid w:val="008870EF"/>
    <w:rsid w:val="00A97167"/>
    <w:rsid w:val="00AA4FC6"/>
    <w:rsid w:val="00AB55D5"/>
    <w:rsid w:val="00C64E84"/>
    <w:rsid w:val="00CA7EAA"/>
    <w:rsid w:val="00D86E02"/>
    <w:rsid w:val="00DA53D7"/>
    <w:rsid w:val="00E37375"/>
    <w:rsid w:val="00E67B62"/>
    <w:rsid w:val="00F0360B"/>
    <w:rsid w:val="00FE4760"/>
    <w:rsid w:val="021522D5"/>
    <w:rsid w:val="049DC277"/>
    <w:rsid w:val="0EC0FC38"/>
    <w:rsid w:val="1ECDE1EA"/>
    <w:rsid w:val="27F7DB21"/>
    <w:rsid w:val="418171EF"/>
    <w:rsid w:val="4DE5E7A5"/>
    <w:rsid w:val="528C10E7"/>
    <w:rsid w:val="55765C79"/>
    <w:rsid w:val="5A8DFC87"/>
    <w:rsid w:val="75000507"/>
    <w:rsid w:val="774157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E86B"/>
  <w15:chartTrackingRefBased/>
  <w15:docId w15:val="{7C789EA9-0C07-4289-994F-BAE390DF7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E4760"/>
    <w:rPr>
      <w:color w:val="0563C1" w:themeColor="hyperlink"/>
      <w:u w:val="single"/>
    </w:rPr>
  </w:style>
  <w:style w:type="character" w:styleId="Mencinsinresolver">
    <w:name w:val="Unresolved Mention"/>
    <w:basedOn w:val="Fuentedeprrafopredeter"/>
    <w:uiPriority w:val="99"/>
    <w:semiHidden/>
    <w:unhideWhenUsed/>
    <w:rsid w:val="00FE4760"/>
    <w:rPr>
      <w:color w:val="605E5C"/>
      <w:shd w:val="clear" w:color="auto" w:fill="E1DFDD"/>
    </w:rPr>
  </w:style>
  <w:style w:type="paragraph" w:styleId="NormalWeb">
    <w:name w:val="Normal (Web)"/>
    <w:basedOn w:val="Normal"/>
    <w:uiPriority w:val="99"/>
    <w:unhideWhenUsed/>
    <w:rsid w:val="00C64E8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C64E84"/>
  </w:style>
  <w:style w:type="paragraph" w:customStyle="1" w:styleId="centrado">
    <w:name w:val="centrado"/>
    <w:basedOn w:val="Normal"/>
    <w:rsid w:val="00C64E8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CA7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863773">
      <w:bodyDiv w:val="1"/>
      <w:marLeft w:val="0"/>
      <w:marRight w:val="0"/>
      <w:marTop w:val="0"/>
      <w:marBottom w:val="0"/>
      <w:divBdr>
        <w:top w:val="none" w:sz="0" w:space="0" w:color="auto"/>
        <w:left w:val="none" w:sz="0" w:space="0" w:color="auto"/>
        <w:bottom w:val="none" w:sz="0" w:space="0" w:color="auto"/>
        <w:right w:val="none" w:sz="0" w:space="0" w:color="auto"/>
      </w:divBdr>
    </w:div>
    <w:div w:id="943657047">
      <w:bodyDiv w:val="1"/>
      <w:marLeft w:val="0"/>
      <w:marRight w:val="0"/>
      <w:marTop w:val="0"/>
      <w:marBottom w:val="0"/>
      <w:divBdr>
        <w:top w:val="none" w:sz="0" w:space="0" w:color="auto"/>
        <w:left w:val="none" w:sz="0" w:space="0" w:color="auto"/>
        <w:bottom w:val="none" w:sz="0" w:space="0" w:color="auto"/>
        <w:right w:val="none" w:sz="0" w:space="0" w:color="auto"/>
      </w:divBdr>
    </w:div>
    <w:div w:id="1248612682">
      <w:bodyDiv w:val="1"/>
      <w:marLeft w:val="0"/>
      <w:marRight w:val="0"/>
      <w:marTop w:val="0"/>
      <w:marBottom w:val="0"/>
      <w:divBdr>
        <w:top w:val="none" w:sz="0" w:space="0" w:color="auto"/>
        <w:left w:val="none" w:sz="0" w:space="0" w:color="auto"/>
        <w:bottom w:val="none" w:sz="0" w:space="0" w:color="auto"/>
        <w:right w:val="none" w:sz="0" w:space="0" w:color="auto"/>
      </w:divBdr>
    </w:div>
    <w:div w:id="1356273525">
      <w:bodyDiv w:val="1"/>
      <w:marLeft w:val="0"/>
      <w:marRight w:val="0"/>
      <w:marTop w:val="0"/>
      <w:marBottom w:val="0"/>
      <w:divBdr>
        <w:top w:val="none" w:sz="0" w:space="0" w:color="auto"/>
        <w:left w:val="none" w:sz="0" w:space="0" w:color="auto"/>
        <w:bottom w:val="none" w:sz="0" w:space="0" w:color="auto"/>
        <w:right w:val="none" w:sz="0" w:space="0" w:color="auto"/>
      </w:divBdr>
    </w:div>
    <w:div w:id="1395813542">
      <w:bodyDiv w:val="1"/>
      <w:marLeft w:val="0"/>
      <w:marRight w:val="0"/>
      <w:marTop w:val="0"/>
      <w:marBottom w:val="0"/>
      <w:divBdr>
        <w:top w:val="none" w:sz="0" w:space="0" w:color="auto"/>
        <w:left w:val="none" w:sz="0" w:space="0" w:color="auto"/>
        <w:bottom w:val="none" w:sz="0" w:space="0" w:color="auto"/>
        <w:right w:val="none" w:sz="0" w:space="0" w:color="auto"/>
      </w:divBdr>
    </w:div>
    <w:div w:id="156198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cretariasenado.gov.co/senado/basedoc/ley_0716_2001.html" TargetMode="External"/><Relationship Id="rId18" Type="http://schemas.openxmlformats.org/officeDocument/2006/relationships/hyperlink" Target="http://www.secretariasenado.gov.co/senado/basedoc/ley_0716_2001.html" TargetMode="External"/><Relationship Id="rId26" Type="http://schemas.openxmlformats.org/officeDocument/2006/relationships/hyperlink" Target="http://www.secretariasenado.gov.co/senado/basedoc/ley_0716_2001.html" TargetMode="External"/><Relationship Id="rId3" Type="http://schemas.openxmlformats.org/officeDocument/2006/relationships/customXml" Target="../customXml/item3.xml"/><Relationship Id="rId21" Type="http://schemas.openxmlformats.org/officeDocument/2006/relationships/hyperlink" Target="http://www.secretariasenado.gov.co/senado/basedoc/ley_0716_2001.html" TargetMode="External"/><Relationship Id="rId34" Type="http://schemas.openxmlformats.org/officeDocument/2006/relationships/fontTable" Target="fontTable.xml"/><Relationship Id="rId7" Type="http://schemas.openxmlformats.org/officeDocument/2006/relationships/hyperlink" Target="http://www.secretariasenado.gov.co/senado/basedoc/ley_0716_2001.html" TargetMode="External"/><Relationship Id="rId12" Type="http://schemas.openxmlformats.org/officeDocument/2006/relationships/hyperlink" Target="http://www.secretariasenado.gov.co/senado/basedoc/ley_0716_2001.html" TargetMode="External"/><Relationship Id="rId17" Type="http://schemas.openxmlformats.org/officeDocument/2006/relationships/hyperlink" Target="http://www.secretariasenado.gov.co/senado/basedoc/ley_0716_2001.html" TargetMode="External"/><Relationship Id="rId25" Type="http://schemas.openxmlformats.org/officeDocument/2006/relationships/hyperlink" Target="http://www.secretariasenado.gov.co/senado/basedoc/ley_0716_2001.html" TargetMode="External"/><Relationship Id="rId33" Type="http://schemas.openxmlformats.org/officeDocument/2006/relationships/hyperlink" Target="http://www.secretariasenado.gov.co/senado/basedoc/ley_0901_2004.html" TargetMode="External"/><Relationship Id="rId2" Type="http://schemas.openxmlformats.org/officeDocument/2006/relationships/customXml" Target="../customXml/item2.xml"/><Relationship Id="rId16" Type="http://schemas.openxmlformats.org/officeDocument/2006/relationships/hyperlink" Target="http://www.secretariasenado.gov.co/senado/basedoc/ley_0716_2001.html" TargetMode="External"/><Relationship Id="rId20" Type="http://schemas.openxmlformats.org/officeDocument/2006/relationships/hyperlink" Target="http://www.secretariasenado.gov.co/senado/basedoc/ley_0716_2001.html" TargetMode="External"/><Relationship Id="rId29" Type="http://schemas.openxmlformats.org/officeDocument/2006/relationships/hyperlink" Target="http://www.secretariasenado.gov.co/senado/basedoc/ley_0087_1993.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retariasenado.gov.co/senado/basedoc/ley_0716_2001.html" TargetMode="External"/><Relationship Id="rId24" Type="http://schemas.openxmlformats.org/officeDocument/2006/relationships/hyperlink" Target="http://www.secretariasenado.gov.co/senado/basedoc/ley_0617_2000.html" TargetMode="External"/><Relationship Id="rId32" Type="http://schemas.openxmlformats.org/officeDocument/2006/relationships/hyperlink" Target="http://www.secretariasenado.gov.co/senado/basedoc/ley_0901_2004.html" TargetMode="External"/><Relationship Id="rId5" Type="http://schemas.openxmlformats.org/officeDocument/2006/relationships/settings" Target="settings.xml"/><Relationship Id="rId15" Type="http://schemas.openxmlformats.org/officeDocument/2006/relationships/hyperlink" Target="http://www.secretariasenado.gov.co/senado/basedoc/ley_0716_2001.html" TargetMode="External"/><Relationship Id="rId23" Type="http://schemas.openxmlformats.org/officeDocument/2006/relationships/hyperlink" Target="http://www.secretariasenado.gov.co/senado/basedoc/ley_0358_1997.html" TargetMode="External"/><Relationship Id="rId28" Type="http://schemas.openxmlformats.org/officeDocument/2006/relationships/hyperlink" Target="http://www.secretariasenado.gov.co/senado/basedoc/ley_0087_1993.html" TargetMode="External"/><Relationship Id="rId10" Type="http://schemas.openxmlformats.org/officeDocument/2006/relationships/hyperlink" Target="http://www.secretariasenado.gov.co/senado/basedoc/ley_0716_2001.html" TargetMode="External"/><Relationship Id="rId19" Type="http://schemas.openxmlformats.org/officeDocument/2006/relationships/hyperlink" Target="http://www.secretariasenado.gov.co/senado/basedoc/ley_0716_2001.html" TargetMode="External"/><Relationship Id="rId31" Type="http://schemas.openxmlformats.org/officeDocument/2006/relationships/hyperlink" Target="http://www.secretariasenado.gov.co/senado/basedoc/ley_0716_2001.html" TargetMode="External"/><Relationship Id="rId4" Type="http://schemas.openxmlformats.org/officeDocument/2006/relationships/styles" Target="styles.xml"/><Relationship Id="rId9" Type="http://schemas.openxmlformats.org/officeDocument/2006/relationships/hyperlink" Target="http://www.secretariasenado.gov.co/senado/basedoc/ley_0716_2001.html" TargetMode="External"/><Relationship Id="rId14" Type="http://schemas.openxmlformats.org/officeDocument/2006/relationships/hyperlink" Target="http://www.secretariasenado.gov.co/senado/basedoc/ley_0716_2001.html" TargetMode="External"/><Relationship Id="rId22" Type="http://schemas.openxmlformats.org/officeDocument/2006/relationships/hyperlink" Target="http://www.secretariasenado.gov.co/senado/basedoc/ley_0716_2001.html" TargetMode="External"/><Relationship Id="rId27" Type="http://schemas.openxmlformats.org/officeDocument/2006/relationships/hyperlink" Target="http://www.secretariasenado.gov.co/senado/basedoc/ley_0087_1993.html" TargetMode="External"/><Relationship Id="rId30" Type="http://schemas.openxmlformats.org/officeDocument/2006/relationships/hyperlink" Target="http://www.secretariasenado.gov.co/senado/basedoc/ley_0716_2001.html" TargetMode="External"/><Relationship Id="rId35" Type="http://schemas.openxmlformats.org/officeDocument/2006/relationships/theme" Target="theme/theme1.xml"/><Relationship Id="rId8" Type="http://schemas.openxmlformats.org/officeDocument/2006/relationships/hyperlink" Target="http://www.secretariasenado.gov.co/senado/basedoc/ley_0863_200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C1CF7E-AD42-4AA2-8498-CDD543FC1EB4}">
  <ds:schemaRefs>
    <ds:schemaRef ds:uri="http://schemas.microsoft.com/sharepoint/v3/contenttype/forms"/>
  </ds:schemaRefs>
</ds:datastoreItem>
</file>

<file path=customXml/itemProps2.xml><?xml version="1.0" encoding="utf-8"?>
<ds:datastoreItem xmlns:ds="http://schemas.openxmlformats.org/officeDocument/2006/customXml" ds:itemID="{46CFF355-BC8E-45BD-8A06-D46DDE6546A2}">
  <ds:schemaRefs>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69049D84-4CDE-4A5F-9109-3EEEFF5B4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2227</Words>
  <Characters>12249</Characters>
  <Application>Microsoft Office Word</Application>
  <DocSecurity>0</DocSecurity>
  <Lines>102</Lines>
  <Paragraphs>28</Paragraphs>
  <ScaleCrop>false</ScaleCrop>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Raul Sarmiento Cantillo</dc:creator>
  <cp:keywords/>
  <dc:description/>
  <cp:lastModifiedBy>Melissa Fernández Reinoso</cp:lastModifiedBy>
  <cp:revision>2</cp:revision>
  <dcterms:created xsi:type="dcterms:W3CDTF">2022-08-04T17:04:00Z</dcterms:created>
  <dcterms:modified xsi:type="dcterms:W3CDTF">2022-08-04T17:04:00Z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