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FD4F18" w14:textId="4A03C422" w:rsidR="007C38C8" w:rsidRPr="009342F9" w:rsidRDefault="007C38C8" w:rsidP="007C38C8">
      <w:pPr>
        <w:spacing w:after="0" w:line="240" w:lineRule="auto"/>
        <w:ind w:left="1701" w:right="1581"/>
        <w:jc w:val="both"/>
        <w:rPr>
          <w:rFonts w:ascii="Arial" w:eastAsia="Times New Roman" w:hAnsi="Arial" w:cs="Arial"/>
          <w:b/>
          <w:bCs/>
          <w:color w:val="000000"/>
          <w:sz w:val="20"/>
          <w:szCs w:val="20"/>
          <w:lang w:eastAsia="es-CO"/>
        </w:rPr>
      </w:pPr>
      <w:bookmarkStart w:id="0" w:name="_Hlk48988720"/>
      <w:r w:rsidRPr="00CD3860">
        <w:rPr>
          <w:rFonts w:ascii="Arial" w:eastAsia="Arial" w:hAnsi="Arial" w:cs="Arial"/>
          <w:b/>
          <w:bCs/>
          <w:color w:val="FF0000"/>
          <w:sz w:val="20"/>
          <w:szCs w:val="20"/>
        </w:rPr>
        <w:t>Nota:</w:t>
      </w:r>
      <w:r w:rsidRPr="000B24CB">
        <w:rPr>
          <w:rFonts w:ascii="Arial" w:eastAsia="Arial" w:hAnsi="Arial" w:cs="Arial"/>
          <w:color w:val="FF0000"/>
          <w:sz w:val="20"/>
          <w:szCs w:val="20"/>
        </w:rPr>
        <w:t xml:space="preserve"> </w:t>
      </w:r>
      <w:r>
        <w:rPr>
          <w:rFonts w:ascii="Arial" w:eastAsia="Arial" w:hAnsi="Arial" w:cs="Arial"/>
          <w:color w:val="FF0000"/>
          <w:sz w:val="20"/>
          <w:szCs w:val="20"/>
        </w:rPr>
        <w:t xml:space="preserve">la siguiente norma se trascribe completa, pero de ella </w:t>
      </w:r>
      <w:r w:rsidRPr="00CD3860">
        <w:rPr>
          <w:rFonts w:ascii="Arial" w:eastAsia="Arial" w:hAnsi="Arial" w:cs="Arial"/>
          <w:color w:val="FF0000"/>
          <w:sz w:val="20"/>
          <w:szCs w:val="20"/>
        </w:rPr>
        <w:t>la Agencia Nacional</w:t>
      </w:r>
      <w:r>
        <w:rPr>
          <w:rFonts w:ascii="Arial" w:eastAsia="Arial" w:hAnsi="Arial" w:cs="Arial"/>
          <w:color w:val="FF0000"/>
          <w:sz w:val="20"/>
          <w:szCs w:val="20"/>
        </w:rPr>
        <w:t xml:space="preserve"> </w:t>
      </w:r>
      <w:r w:rsidRPr="00CD3860">
        <w:rPr>
          <w:rFonts w:ascii="Arial" w:eastAsia="Arial" w:hAnsi="Arial" w:cs="Arial"/>
          <w:color w:val="FF0000"/>
          <w:sz w:val="20"/>
          <w:szCs w:val="20"/>
        </w:rPr>
        <w:t>de Contratación Pública </w:t>
      </w:r>
      <w:r>
        <w:rPr>
          <w:rFonts w:ascii="Arial" w:eastAsia="Arial" w:hAnsi="Arial" w:cs="Arial"/>
          <w:color w:val="FF0000"/>
          <w:sz w:val="20"/>
          <w:szCs w:val="20"/>
        </w:rPr>
        <w:t>–</w:t>
      </w:r>
      <w:r w:rsidRPr="00CD3860">
        <w:rPr>
          <w:rFonts w:ascii="Arial" w:eastAsia="Arial" w:hAnsi="Arial" w:cs="Arial"/>
          <w:color w:val="FF0000"/>
          <w:sz w:val="20"/>
          <w:szCs w:val="20"/>
        </w:rPr>
        <w:t xml:space="preserve">Colombia Compra </w:t>
      </w:r>
      <w:r w:rsidRPr="007C38C8">
        <w:rPr>
          <w:rFonts w:ascii="Arial" w:eastAsia="Arial" w:hAnsi="Arial" w:cs="Arial"/>
          <w:color w:val="FF0000"/>
          <w:sz w:val="20"/>
          <w:szCs w:val="20"/>
        </w:rPr>
        <w:t>Eficiente– solo ha emitido conceptos que interpretan las siguientes disposiciones relacionadas con la contratación estatal</w:t>
      </w:r>
      <w:r w:rsidRPr="007111A1">
        <w:rPr>
          <w:rFonts w:ascii="Arial" w:eastAsia="Arial" w:hAnsi="Arial" w:cs="Arial"/>
          <w:color w:val="FF0000"/>
          <w:sz w:val="20"/>
          <w:szCs w:val="20"/>
        </w:rPr>
        <w:t xml:space="preserve">: </w:t>
      </w:r>
      <w:r w:rsidRPr="007111A1">
        <w:rPr>
          <w:rFonts w:ascii="Arial" w:eastAsia="Times New Roman" w:hAnsi="Arial" w:cs="Arial"/>
          <w:color w:val="FF0000"/>
          <w:sz w:val="20"/>
          <w:szCs w:val="20"/>
          <w:lang w:eastAsia="es-CO"/>
        </w:rPr>
        <w:t>2.2.3.1.2,</w:t>
      </w:r>
      <w:r w:rsidR="00653BB0">
        <w:rPr>
          <w:rFonts w:ascii="Arial" w:eastAsia="Times New Roman" w:hAnsi="Arial" w:cs="Arial"/>
          <w:color w:val="FF0000"/>
          <w:sz w:val="20"/>
          <w:szCs w:val="20"/>
          <w:lang w:eastAsia="es-CO"/>
        </w:rPr>
        <w:t xml:space="preserve"> 2.2.3.1</w:t>
      </w:r>
      <w:r w:rsidR="003662D3">
        <w:rPr>
          <w:rFonts w:ascii="Arial" w:eastAsia="Times New Roman" w:hAnsi="Arial" w:cs="Arial"/>
          <w:color w:val="FF0000"/>
          <w:sz w:val="20"/>
          <w:szCs w:val="20"/>
          <w:lang w:eastAsia="es-CO"/>
        </w:rPr>
        <w:t xml:space="preserve">.5, </w:t>
      </w:r>
      <w:r w:rsidRPr="007C38C8">
        <w:rPr>
          <w:rFonts w:ascii="Arial" w:eastAsia="Times New Roman" w:hAnsi="Arial" w:cs="Arial"/>
          <w:color w:val="FF0000"/>
          <w:sz w:val="20"/>
          <w:szCs w:val="20"/>
          <w:lang w:eastAsia="es-CO"/>
        </w:rPr>
        <w:t xml:space="preserve"> 2.3.3.1.1.2,  2.3.3.1.2.2,  </w:t>
      </w:r>
      <w:r w:rsidR="00EE4153">
        <w:rPr>
          <w:rFonts w:ascii="Arial" w:eastAsia="Times New Roman" w:hAnsi="Arial" w:cs="Arial"/>
          <w:color w:val="FF0000"/>
          <w:sz w:val="20"/>
          <w:szCs w:val="20"/>
          <w:lang w:eastAsia="es-CO"/>
        </w:rPr>
        <w:t xml:space="preserve">2.3.3.1.2.3, </w:t>
      </w:r>
      <w:r w:rsidRPr="007C38C8">
        <w:rPr>
          <w:rFonts w:ascii="Arial" w:hAnsi="Arial" w:cs="Arial"/>
          <w:color w:val="FF0000"/>
          <w:w w:val="105"/>
          <w:sz w:val="20"/>
          <w:szCs w:val="20"/>
        </w:rPr>
        <w:t xml:space="preserve">2.3.3.1.5.2, </w:t>
      </w:r>
      <w:r w:rsidRPr="007C38C8">
        <w:rPr>
          <w:rFonts w:ascii="Arial" w:eastAsia="Times New Roman" w:hAnsi="Arial" w:cs="Arial"/>
          <w:color w:val="FF0000"/>
          <w:sz w:val="20"/>
          <w:szCs w:val="20"/>
          <w:lang w:eastAsia="es-CO"/>
        </w:rPr>
        <w:t>2.3.3.1.7.1,  2.3.3.1.8.1 y  2.3.3.1.8.2.</w:t>
      </w:r>
      <w:r w:rsidRPr="007C38C8">
        <w:rPr>
          <w:rFonts w:ascii="Arial" w:eastAsia="Times New Roman" w:hAnsi="Arial" w:cs="Arial"/>
          <w:b/>
          <w:bCs/>
          <w:color w:val="FF0000"/>
          <w:sz w:val="20"/>
          <w:szCs w:val="20"/>
          <w:lang w:eastAsia="es-CO"/>
        </w:rPr>
        <w:t> </w:t>
      </w:r>
    </w:p>
    <w:p w14:paraId="27201FA0" w14:textId="66D03CEF" w:rsidR="007C38C8" w:rsidRDefault="007C38C8" w:rsidP="007C38C8">
      <w:pPr>
        <w:spacing w:after="0" w:line="240" w:lineRule="auto"/>
        <w:ind w:left="1701" w:right="1581"/>
        <w:jc w:val="both"/>
        <w:rPr>
          <w:rFonts w:ascii="Arial" w:eastAsia="Arial" w:hAnsi="Arial" w:cs="Arial"/>
          <w:color w:val="FF0000"/>
          <w:sz w:val="20"/>
          <w:szCs w:val="20"/>
        </w:rPr>
      </w:pPr>
    </w:p>
    <w:p w14:paraId="166A056F" w14:textId="77777777" w:rsidR="007C38C8" w:rsidRPr="00987585" w:rsidRDefault="007C38C8" w:rsidP="007C38C8">
      <w:pPr>
        <w:spacing w:after="0" w:line="240" w:lineRule="auto"/>
        <w:ind w:left="1701" w:right="1581"/>
        <w:jc w:val="both"/>
        <w:rPr>
          <w:rFonts w:ascii="Arial" w:eastAsia="Arial" w:hAnsi="Arial" w:cs="Arial"/>
          <w:color w:val="FF0000"/>
          <w:sz w:val="20"/>
          <w:szCs w:val="20"/>
        </w:rPr>
      </w:pPr>
      <w:r>
        <w:rPr>
          <w:rFonts w:ascii="Arial" w:eastAsia="Arial" w:hAnsi="Arial" w:cs="Arial"/>
          <w:color w:val="FF0000"/>
          <w:sz w:val="20"/>
          <w:szCs w:val="20"/>
        </w:rPr>
        <w:t>Los conceptos se relacionan al pie de cada disposición, y abren dando “clic” en el hipervínculo.</w:t>
      </w:r>
    </w:p>
    <w:bookmarkEnd w:id="0"/>
    <w:p w14:paraId="4F5533F4" w14:textId="77777777" w:rsidR="007C38C8" w:rsidRPr="009342F9" w:rsidRDefault="007C38C8" w:rsidP="00B91BA0">
      <w:pPr>
        <w:spacing w:before="9" w:line="242" w:lineRule="auto"/>
        <w:ind w:right="13"/>
        <w:jc w:val="both"/>
        <w:rPr>
          <w:rFonts w:ascii="Arial" w:eastAsia="Times New Roman" w:hAnsi="Arial" w:cs="Arial"/>
          <w:b/>
          <w:bCs/>
          <w:color w:val="000000"/>
          <w:lang w:eastAsia="es-CO"/>
        </w:rPr>
      </w:pPr>
    </w:p>
    <w:p w14:paraId="3FDBD622" w14:textId="215A36D1" w:rsidR="00FC79C1" w:rsidRPr="009342F9" w:rsidRDefault="00FC79C1" w:rsidP="00FC79C1">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DECRETO 1077 DE 2015</w:t>
      </w:r>
    </w:p>
    <w:p w14:paraId="3B0BAE0F" w14:textId="77777777" w:rsidR="00B63A3F" w:rsidRPr="009342F9" w:rsidRDefault="00B63A3F" w:rsidP="00FC79C1">
      <w:pPr>
        <w:spacing w:after="0" w:line="240" w:lineRule="auto"/>
        <w:jc w:val="center"/>
        <w:rPr>
          <w:rFonts w:ascii="Arial" w:eastAsia="Times New Roman" w:hAnsi="Arial" w:cs="Arial"/>
          <w:b/>
          <w:bCs/>
          <w:color w:val="000000"/>
          <w:lang w:eastAsia="es-CO"/>
        </w:rPr>
      </w:pPr>
    </w:p>
    <w:p w14:paraId="5CAA8930" w14:textId="2EF06443" w:rsidR="00FC79C1" w:rsidRPr="009342F9" w:rsidRDefault="00B63A3F" w:rsidP="00FC79C1">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P</w:t>
      </w:r>
      <w:r w:rsidR="00FC79C1" w:rsidRPr="009342F9">
        <w:rPr>
          <w:rFonts w:ascii="Arial" w:eastAsia="Times New Roman" w:hAnsi="Arial" w:cs="Arial"/>
          <w:b/>
          <w:bCs/>
          <w:color w:val="000000"/>
          <w:lang w:eastAsia="es-CO"/>
        </w:rPr>
        <w:t>or medio del cual se expide el Decreto Único Reglamentario del Sector Vivienda, Ciudad y</w:t>
      </w:r>
    </w:p>
    <w:p w14:paraId="155DF0B9" w14:textId="66C8A568" w:rsidR="00FC79C1" w:rsidRPr="009342F9" w:rsidRDefault="001E1D91" w:rsidP="00FC79C1">
      <w:pPr>
        <w:spacing w:after="0" w:line="240" w:lineRule="auto"/>
        <w:jc w:val="center"/>
        <w:rPr>
          <w:rFonts w:ascii="Arial" w:eastAsia="Times New Roman" w:hAnsi="Arial" w:cs="Arial"/>
          <w:b/>
          <w:bCs/>
          <w:color w:val="000000"/>
          <w:lang w:eastAsia="es-CO"/>
        </w:rPr>
      </w:pPr>
      <w:bookmarkStart w:id="1" w:name="ver_30069007"/>
      <w:bookmarkEnd w:id="1"/>
      <w:r w:rsidRPr="009342F9">
        <w:rPr>
          <w:rFonts w:ascii="Arial" w:eastAsia="Times New Roman" w:hAnsi="Arial" w:cs="Arial"/>
          <w:b/>
          <w:bCs/>
          <w:color w:val="000000"/>
          <w:lang w:eastAsia="es-CO"/>
        </w:rPr>
        <w:t>EL PRESIDENTE DE LA REPÚBLICA DE COLOMBIA</w:t>
      </w:r>
      <w:r w:rsidR="00FC79C1" w:rsidRPr="009342F9">
        <w:rPr>
          <w:rFonts w:ascii="Arial" w:eastAsia="Times New Roman" w:hAnsi="Arial" w:cs="Arial"/>
          <w:b/>
          <w:bCs/>
          <w:color w:val="000000"/>
          <w:lang w:eastAsia="es-CO"/>
        </w:rPr>
        <w:t>, en ejercicio de las facultades que le confiere el numeral 11 del artículo 189 de la Constitución Política, y</w:t>
      </w:r>
    </w:p>
    <w:p w14:paraId="4FE8AD77" w14:textId="000ED1D4" w:rsidR="00FC79C1" w:rsidRPr="009342F9" w:rsidRDefault="00FC79C1" w:rsidP="00FC79C1">
      <w:pPr>
        <w:spacing w:after="0" w:line="240" w:lineRule="auto"/>
        <w:jc w:val="center"/>
        <w:rPr>
          <w:rFonts w:ascii="Arial" w:eastAsia="Times New Roman" w:hAnsi="Arial" w:cs="Arial"/>
          <w:b/>
          <w:bCs/>
          <w:color w:val="000000"/>
          <w:lang w:eastAsia="es-CO"/>
        </w:rPr>
      </w:pPr>
    </w:p>
    <w:p w14:paraId="2C539A47" w14:textId="53947347" w:rsidR="00FC79C1" w:rsidRPr="009342F9" w:rsidRDefault="00FC79C1" w:rsidP="00FC79C1">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CONSIDERANDO:</w:t>
      </w:r>
    </w:p>
    <w:p w14:paraId="1E526CC9" w14:textId="77777777" w:rsidR="00FC79C1" w:rsidRPr="009342F9" w:rsidRDefault="00FC79C1" w:rsidP="00FC79C1">
      <w:pPr>
        <w:spacing w:after="0" w:line="240" w:lineRule="auto"/>
        <w:jc w:val="both"/>
        <w:rPr>
          <w:rFonts w:ascii="Arial" w:eastAsia="Times New Roman" w:hAnsi="Arial" w:cs="Arial"/>
          <w:b/>
          <w:bCs/>
          <w:color w:val="000000"/>
          <w:lang w:eastAsia="es-CO"/>
        </w:rPr>
      </w:pPr>
      <w:r w:rsidRPr="009342F9">
        <w:rPr>
          <w:rFonts w:ascii="Arial" w:eastAsia="Times New Roman" w:hAnsi="Arial" w:cs="Arial"/>
          <w:b/>
          <w:bCs/>
          <w:color w:val="000000"/>
          <w:lang w:eastAsia="es-CO"/>
        </w:rPr>
        <w:t>  </w:t>
      </w:r>
    </w:p>
    <w:p w14:paraId="5B24307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Que la producción normativa ocupa un espacio central en la implementación de políticas públicas, siendo el medio a través del cual se estructuran los instrumentos jurídicos que materializan en gran parte las decisiones del Estado. </w:t>
      </w:r>
    </w:p>
    <w:p w14:paraId="1663153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232120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Que la racionalización y simplificación del ordenamiento jurídico es una de las principales herramientas para asegurar la eficiencia económica y social del sistema legal y para afianzar la seguridad jurídica. </w:t>
      </w:r>
    </w:p>
    <w:p w14:paraId="05EBA7F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C96579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Que constituye una política pública gubernamental la simplificación y compilación orgánica del sistema nacional regulatorio. </w:t>
      </w:r>
    </w:p>
    <w:p w14:paraId="6EABE91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419128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Que la facultad reglamentaria incluye la posibilidad de compilar normas de la misma naturaleza. </w:t>
      </w:r>
    </w:p>
    <w:p w14:paraId="60E7DD4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A2063F4" w14:textId="77777777" w:rsidR="00FC79C1" w:rsidRPr="009342F9" w:rsidRDefault="00FC79C1" w:rsidP="00FC79C1">
      <w:pPr>
        <w:spacing w:after="0" w:line="240" w:lineRule="auto"/>
        <w:jc w:val="both"/>
        <w:rPr>
          <w:rFonts w:ascii="Arial" w:eastAsia="Times New Roman" w:hAnsi="Arial" w:cs="Arial"/>
          <w:color w:val="000000"/>
          <w:lang w:eastAsia="es-CO"/>
        </w:rPr>
      </w:pPr>
      <w:proofErr w:type="gramStart"/>
      <w:r w:rsidRPr="009342F9">
        <w:rPr>
          <w:rFonts w:ascii="Arial" w:eastAsia="Times New Roman" w:hAnsi="Arial" w:cs="Arial"/>
          <w:color w:val="000000"/>
          <w:lang w:eastAsia="es-CO"/>
        </w:rPr>
        <w:t>Que</w:t>
      </w:r>
      <w:proofErr w:type="gramEnd"/>
      <w:r w:rsidRPr="009342F9">
        <w:rPr>
          <w:rFonts w:ascii="Arial" w:eastAsia="Times New Roman" w:hAnsi="Arial" w:cs="Arial"/>
          <w:color w:val="000000"/>
          <w:lang w:eastAsia="es-CO"/>
        </w:rPr>
        <w:t xml:space="preserve"> por tratarse de un decreto compilatorio de normas reglamentarias preexistentes, las mismas no requieren de consulta previa alguna, dado que las normas fuente cumplieron al momento de su expedición con las regulaciones vigentes sobre la materia. </w:t>
      </w:r>
    </w:p>
    <w:p w14:paraId="07A750D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8D55A1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Que la tarea de compilar y racionalizar las normas de carácter reglamentario implica, en algunos casos, la simple actualización de la normativa compilada, para que se ajuste a la realidad institucional y a la normativa vigente, lo cual conlleva, en aspectos puntuales, el ejercicio formal de la facultad reglamentaria. </w:t>
      </w:r>
    </w:p>
    <w:p w14:paraId="6BED11B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0CDADFE" w14:textId="77777777" w:rsidR="00FC79C1" w:rsidRPr="009342F9" w:rsidRDefault="00FC79C1" w:rsidP="00FC79C1">
      <w:pPr>
        <w:spacing w:after="0" w:line="240" w:lineRule="auto"/>
        <w:jc w:val="both"/>
        <w:rPr>
          <w:rFonts w:ascii="Arial" w:eastAsia="Times New Roman" w:hAnsi="Arial" w:cs="Arial"/>
          <w:color w:val="000000"/>
          <w:lang w:eastAsia="es-CO"/>
        </w:rPr>
      </w:pPr>
      <w:proofErr w:type="gramStart"/>
      <w:r w:rsidRPr="009342F9">
        <w:rPr>
          <w:rFonts w:ascii="Arial" w:eastAsia="Times New Roman" w:hAnsi="Arial" w:cs="Arial"/>
          <w:color w:val="000000"/>
          <w:lang w:eastAsia="es-CO"/>
        </w:rPr>
        <w:t>Que</w:t>
      </w:r>
      <w:proofErr w:type="gramEnd"/>
      <w:r w:rsidRPr="009342F9">
        <w:rPr>
          <w:rFonts w:ascii="Arial" w:eastAsia="Times New Roman" w:hAnsi="Arial" w:cs="Arial"/>
          <w:color w:val="000000"/>
          <w:lang w:eastAsia="es-CO"/>
        </w:rPr>
        <w:t xml:space="preserve"> en virtud de sus características propias, el contenido material de este decreto guarda correspondencia con el de los decretos compilados; en consecuencia, no puede predicarse el decaimiento de las resoluciones, las circulares y demás actos administrativos expedidos por distintas autoridades administrativas con fundamento en las facultades derivadas de los decretos compilados. </w:t>
      </w:r>
    </w:p>
    <w:p w14:paraId="6D989D5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2D9426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Que la compilación de que trata el presente decreto se contrae a la normatividad vigente al momento de su expedición, sin perjuicio de los efectos </w:t>
      </w:r>
      <w:proofErr w:type="spellStart"/>
      <w:r w:rsidRPr="009342F9">
        <w:rPr>
          <w:rFonts w:ascii="Arial" w:eastAsia="Times New Roman" w:hAnsi="Arial" w:cs="Arial"/>
          <w:color w:val="000000"/>
          <w:lang w:eastAsia="es-CO"/>
        </w:rPr>
        <w:t>ultractivos</w:t>
      </w:r>
      <w:proofErr w:type="spellEnd"/>
      <w:r w:rsidRPr="009342F9">
        <w:rPr>
          <w:rFonts w:ascii="Arial" w:eastAsia="Times New Roman" w:hAnsi="Arial" w:cs="Arial"/>
          <w:color w:val="000000"/>
          <w:lang w:eastAsia="es-CO"/>
        </w:rPr>
        <w:t xml:space="preserve"> de disposiciones derogadas a la fecha, de conformidad con el artículo 38 de la Ley 153 de 1887. </w:t>
      </w:r>
    </w:p>
    <w:p w14:paraId="33D4BA4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2FB790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xml:space="preserve">Que por cuanto este decreto constituye un ejercicio de compilación de reglamentaciones preexistentes, los considerandos de los decretos fuente se entienden incorporados a su texto, aunque no se transcriban, para lo cual en cada artículo se indica el origen </w:t>
      </w:r>
      <w:proofErr w:type="gramStart"/>
      <w:r w:rsidRPr="009342F9">
        <w:rPr>
          <w:rFonts w:ascii="Arial" w:eastAsia="Times New Roman" w:hAnsi="Arial" w:cs="Arial"/>
          <w:color w:val="000000"/>
          <w:lang w:eastAsia="es-CO"/>
        </w:rPr>
        <w:t>del mismo</w:t>
      </w:r>
      <w:proofErr w:type="gramEnd"/>
      <w:r w:rsidRPr="009342F9">
        <w:rPr>
          <w:rFonts w:ascii="Arial" w:eastAsia="Times New Roman" w:hAnsi="Arial" w:cs="Arial"/>
          <w:color w:val="000000"/>
          <w:lang w:eastAsia="es-CO"/>
        </w:rPr>
        <w:t>. </w:t>
      </w:r>
    </w:p>
    <w:p w14:paraId="045FF59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05C693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Que las normas que integran el Libro 1 de este Decreto no tienen naturaleza reglamentaria, como quiera que se limitan a describir la estructura general administrativa del sector. </w:t>
      </w:r>
    </w:p>
    <w:p w14:paraId="243DFE0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9480C90" w14:textId="77777777" w:rsidR="00FC79C1" w:rsidRPr="009342F9" w:rsidRDefault="00FC79C1" w:rsidP="00FC79C1">
      <w:pPr>
        <w:spacing w:after="0" w:line="240" w:lineRule="auto"/>
        <w:jc w:val="both"/>
        <w:rPr>
          <w:rFonts w:ascii="Arial" w:eastAsia="Times New Roman" w:hAnsi="Arial" w:cs="Arial"/>
          <w:color w:val="000000"/>
          <w:lang w:eastAsia="es-CO"/>
        </w:rPr>
      </w:pPr>
      <w:proofErr w:type="gramStart"/>
      <w:r w:rsidRPr="009342F9">
        <w:rPr>
          <w:rFonts w:ascii="Arial" w:eastAsia="Times New Roman" w:hAnsi="Arial" w:cs="Arial"/>
          <w:color w:val="000000"/>
          <w:lang w:eastAsia="es-CO"/>
        </w:rPr>
        <w:t>Que</w:t>
      </w:r>
      <w:proofErr w:type="gramEnd"/>
      <w:r w:rsidRPr="009342F9">
        <w:rPr>
          <w:rFonts w:ascii="Arial" w:eastAsia="Times New Roman" w:hAnsi="Arial" w:cs="Arial"/>
          <w:color w:val="000000"/>
          <w:lang w:eastAsia="es-CO"/>
        </w:rPr>
        <w:t xml:space="preserve"> durante el trabajo compilatorio recogido en este Decreto, el Gobierno verificó que ninguna norma compilada hubiera sido objeto de declaración de nulidad o de suspensión provisional, acudiendo para ello a la información suministrada por la Relatoría y la Secretaría General del Consejo de Estado. </w:t>
      </w:r>
    </w:p>
    <w:p w14:paraId="5C16FA5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88E58D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Que con el objetivo de compilar y racionalizar las normas de carácter reglamentario que rigen en el sector y contar con un instrumento jurídico único para el mismo, se hace necesario expedir el presente Decreto Reglamentario Único Sectorial. </w:t>
      </w:r>
    </w:p>
    <w:p w14:paraId="07F2C7F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7ECECA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Por lo anteriormente expuesto, </w:t>
      </w:r>
    </w:p>
    <w:p w14:paraId="27405BF3" w14:textId="77777777" w:rsidR="00FC79C1" w:rsidRPr="009342F9" w:rsidRDefault="00FC79C1" w:rsidP="00FC79C1">
      <w:pPr>
        <w:spacing w:after="0" w:line="240" w:lineRule="auto"/>
        <w:jc w:val="both"/>
        <w:rPr>
          <w:rFonts w:ascii="Arial" w:eastAsia="Times New Roman" w:hAnsi="Arial" w:cs="Arial"/>
          <w:b/>
          <w:bCs/>
          <w:color w:val="000000"/>
          <w:lang w:eastAsia="es-CO"/>
        </w:rPr>
      </w:pPr>
      <w:r w:rsidRPr="009342F9">
        <w:rPr>
          <w:rFonts w:ascii="Arial" w:eastAsia="Times New Roman" w:hAnsi="Arial" w:cs="Arial"/>
          <w:b/>
          <w:bCs/>
          <w:color w:val="000000"/>
          <w:lang w:eastAsia="es-CO"/>
        </w:rPr>
        <w:t>  </w:t>
      </w:r>
    </w:p>
    <w:p w14:paraId="6B144E78" w14:textId="01174CA8" w:rsidR="00FC79C1" w:rsidRPr="009342F9" w:rsidRDefault="00FC79C1" w:rsidP="00FC79C1">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DECRETA:</w:t>
      </w:r>
    </w:p>
    <w:p w14:paraId="05133F98" w14:textId="77777777" w:rsidR="00FC79C1" w:rsidRPr="009342F9" w:rsidRDefault="00FC79C1" w:rsidP="00FC79C1">
      <w:pPr>
        <w:spacing w:after="0" w:line="240" w:lineRule="auto"/>
        <w:jc w:val="center"/>
        <w:rPr>
          <w:rFonts w:ascii="Arial" w:eastAsia="Times New Roman" w:hAnsi="Arial" w:cs="Arial"/>
          <w:b/>
          <w:bCs/>
          <w:color w:val="000000"/>
          <w:lang w:eastAsia="es-CO"/>
        </w:rPr>
      </w:pPr>
      <w:bookmarkStart w:id="2" w:name="ver_30069008"/>
      <w:bookmarkEnd w:id="2"/>
      <w:r w:rsidRPr="009342F9">
        <w:rPr>
          <w:rFonts w:ascii="Arial" w:eastAsia="Times New Roman" w:hAnsi="Arial" w:cs="Arial"/>
          <w:b/>
          <w:bCs/>
          <w:color w:val="000000"/>
          <w:lang w:eastAsia="es-CO"/>
        </w:rPr>
        <w:t>LIBRO 1</w:t>
      </w:r>
    </w:p>
    <w:p w14:paraId="4E7B5035" w14:textId="77777777" w:rsidR="00FC79C1" w:rsidRDefault="00FC79C1" w:rsidP="00FC79C1">
      <w:pPr>
        <w:spacing w:after="0" w:line="240" w:lineRule="auto"/>
        <w:jc w:val="center"/>
        <w:rPr>
          <w:rFonts w:ascii="Arial" w:eastAsia="Times New Roman" w:hAnsi="Arial" w:cs="Arial"/>
          <w:b/>
          <w:bCs/>
          <w:color w:val="000000"/>
          <w:lang w:eastAsia="es-CO"/>
        </w:rPr>
      </w:pPr>
      <w:r w:rsidRPr="231E957E">
        <w:rPr>
          <w:rFonts w:ascii="Arial" w:eastAsia="Times New Roman" w:hAnsi="Arial" w:cs="Arial"/>
          <w:b/>
          <w:color w:val="000000" w:themeColor="text1"/>
          <w:lang w:eastAsia="es-CO"/>
        </w:rPr>
        <w:t>ESTRUCTURA</w:t>
      </w:r>
    </w:p>
    <w:p w14:paraId="3DA12EB8" w14:textId="77777777" w:rsidR="007C7D44" w:rsidRPr="009342F9" w:rsidRDefault="007C7D44" w:rsidP="00FC79C1">
      <w:pPr>
        <w:spacing w:after="0" w:line="240" w:lineRule="auto"/>
        <w:jc w:val="center"/>
        <w:rPr>
          <w:rFonts w:ascii="Arial" w:eastAsia="Times New Roman" w:hAnsi="Arial" w:cs="Arial"/>
          <w:b/>
          <w:bCs/>
          <w:color w:val="000000"/>
          <w:lang w:eastAsia="es-CO"/>
        </w:rPr>
      </w:pPr>
    </w:p>
    <w:p w14:paraId="6BC0DE9D" w14:textId="77777777" w:rsidR="00FC79C1" w:rsidRPr="009342F9" w:rsidRDefault="00FC79C1" w:rsidP="00FC79C1">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PARTE 1</w:t>
      </w:r>
    </w:p>
    <w:p w14:paraId="61291350" w14:textId="77777777" w:rsidR="00FC79C1" w:rsidRDefault="00FC79C1" w:rsidP="00FC79C1">
      <w:pPr>
        <w:spacing w:after="0" w:line="240" w:lineRule="auto"/>
        <w:jc w:val="center"/>
        <w:rPr>
          <w:rFonts w:ascii="Arial" w:eastAsia="Times New Roman" w:hAnsi="Arial" w:cs="Arial"/>
          <w:b/>
          <w:bCs/>
          <w:color w:val="000000"/>
          <w:lang w:eastAsia="es-CO"/>
        </w:rPr>
      </w:pPr>
      <w:r w:rsidRPr="231E957E">
        <w:rPr>
          <w:rFonts w:ascii="Arial" w:eastAsia="Times New Roman" w:hAnsi="Arial" w:cs="Arial"/>
          <w:b/>
          <w:color w:val="000000" w:themeColor="text1"/>
          <w:lang w:eastAsia="es-CO"/>
        </w:rPr>
        <w:t>SECTOR CENTRAL</w:t>
      </w:r>
    </w:p>
    <w:p w14:paraId="2E9AB727" w14:textId="77777777" w:rsidR="007C7D44" w:rsidRPr="009342F9" w:rsidRDefault="007C7D44" w:rsidP="00FC79C1">
      <w:pPr>
        <w:spacing w:after="0" w:line="240" w:lineRule="auto"/>
        <w:jc w:val="center"/>
        <w:rPr>
          <w:rFonts w:ascii="Arial" w:eastAsia="Times New Roman" w:hAnsi="Arial" w:cs="Arial"/>
          <w:b/>
          <w:bCs/>
          <w:color w:val="000000"/>
          <w:lang w:eastAsia="es-CO"/>
        </w:rPr>
      </w:pPr>
    </w:p>
    <w:p w14:paraId="7FD6BBA6" w14:textId="77777777" w:rsidR="00FC79C1" w:rsidRPr="009342F9" w:rsidRDefault="00FC79C1" w:rsidP="00FC79C1">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TÍTULO 1</w:t>
      </w:r>
    </w:p>
    <w:p w14:paraId="6BE9DC78" w14:textId="77777777" w:rsidR="00FC79C1" w:rsidRPr="009342F9" w:rsidRDefault="00FC79C1" w:rsidP="00FC79C1">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CABEZA DE SECTOR</w:t>
      </w:r>
    </w:p>
    <w:p w14:paraId="05BBC987"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3" w:name="ver_30069009"/>
      <w:bookmarkEnd w:id="3"/>
    </w:p>
    <w:p w14:paraId="102F031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1.1.1.1 Ministerio de Vivienda. Ciudad y Territorio  </w:t>
      </w:r>
    </w:p>
    <w:p w14:paraId="7696EC16"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4" w:name="ver_30076507"/>
      <w:bookmarkEnd w:id="4"/>
    </w:p>
    <w:p w14:paraId="16EBFA8F" w14:textId="03954D5B" w:rsidR="00FC79C1" w:rsidRPr="009342F9" w:rsidRDefault="00FC79C1" w:rsidP="00FC79C1">
      <w:pPr>
        <w:spacing w:after="0" w:line="240" w:lineRule="auto"/>
        <w:jc w:val="both"/>
        <w:rPr>
          <w:rFonts w:ascii="Arial" w:eastAsia="Times New Roman" w:hAnsi="Arial" w:cs="Arial"/>
          <w:color w:val="000000"/>
          <w:lang w:eastAsia="es-CO"/>
        </w:rPr>
      </w:pPr>
      <w:r w:rsidRPr="3DD719FF">
        <w:rPr>
          <w:rFonts w:ascii="Arial" w:eastAsia="Times New Roman" w:hAnsi="Arial" w:cs="Arial"/>
          <w:color w:val="000000" w:themeColor="text1"/>
          <w:lang w:eastAsia="es-CO"/>
        </w:rPr>
        <w:t>Artículo 1.1.1.1.1 Objetivo. El Ministerio de Vivienda, Ciudad y Territorio tendrá como objetivo primordial lograr, en el marco de la ley y sus competencias, formular, adoptar, dirigir, coordinar y ejecutar la política pública, planes y proyectos en materia del desarrollo territorial y urbano planificado del país, la consolidación del sistema de ciudades, con patrones de uso eficiente y sostenible del suelo, teniendo en cuenta las condiciones de acceso y financiación de vivienda, y de prestación de los servicios públicos de agua potable y saneamiento básico.  </w:t>
      </w:r>
    </w:p>
    <w:p w14:paraId="571C74D5" w14:textId="1E622ED9"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E6BD990" w14:textId="77777777" w:rsidR="00FC79C1" w:rsidRPr="009342F9" w:rsidRDefault="00FC79C1" w:rsidP="00FC79C1">
      <w:pPr>
        <w:spacing w:after="0" w:line="240" w:lineRule="auto"/>
        <w:jc w:val="center"/>
        <w:rPr>
          <w:rFonts w:ascii="Arial" w:eastAsia="Times New Roman" w:hAnsi="Arial" w:cs="Arial"/>
          <w:b/>
          <w:bCs/>
          <w:color w:val="000000"/>
          <w:lang w:eastAsia="es-CO"/>
        </w:rPr>
      </w:pPr>
      <w:bookmarkStart w:id="5" w:name="ver_30069010"/>
      <w:bookmarkEnd w:id="5"/>
      <w:r w:rsidRPr="009342F9">
        <w:rPr>
          <w:rFonts w:ascii="Arial" w:eastAsia="Times New Roman" w:hAnsi="Arial" w:cs="Arial"/>
          <w:b/>
          <w:bCs/>
          <w:color w:val="000000"/>
          <w:lang w:eastAsia="es-CO"/>
        </w:rPr>
        <w:t>PARTE 2</w:t>
      </w:r>
    </w:p>
    <w:p w14:paraId="6A865090" w14:textId="03954D5B" w:rsidR="00FC79C1" w:rsidRDefault="00FC79C1" w:rsidP="00FC79C1">
      <w:pPr>
        <w:spacing w:after="0" w:line="240" w:lineRule="auto"/>
        <w:jc w:val="center"/>
        <w:rPr>
          <w:rFonts w:ascii="Arial" w:eastAsia="Times New Roman" w:hAnsi="Arial" w:cs="Arial"/>
          <w:b/>
          <w:bCs/>
          <w:color w:val="000000"/>
          <w:lang w:eastAsia="es-CO"/>
        </w:rPr>
      </w:pPr>
      <w:r w:rsidRPr="3DD719FF">
        <w:rPr>
          <w:rFonts w:ascii="Arial" w:eastAsia="Times New Roman" w:hAnsi="Arial" w:cs="Arial"/>
          <w:b/>
          <w:color w:val="000000" w:themeColor="text1"/>
          <w:lang w:eastAsia="es-CO"/>
        </w:rPr>
        <w:t>SECTOR DESCENTRALIZADO</w:t>
      </w:r>
    </w:p>
    <w:p w14:paraId="2606E7C0" w14:textId="03954D5B" w:rsidR="00D04AB5" w:rsidRPr="009342F9" w:rsidRDefault="00D04AB5" w:rsidP="00FC79C1">
      <w:pPr>
        <w:spacing w:after="0" w:line="240" w:lineRule="auto"/>
        <w:jc w:val="center"/>
        <w:rPr>
          <w:rFonts w:ascii="Arial" w:eastAsia="Times New Roman" w:hAnsi="Arial" w:cs="Arial"/>
          <w:b/>
          <w:bCs/>
          <w:color w:val="000000"/>
          <w:lang w:eastAsia="es-CO"/>
        </w:rPr>
      </w:pPr>
    </w:p>
    <w:p w14:paraId="3DCD89B1" w14:textId="77777777" w:rsidR="00FC79C1" w:rsidRPr="009342F9" w:rsidRDefault="00FC79C1" w:rsidP="00FC79C1">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TÍTULO 1</w:t>
      </w:r>
    </w:p>
    <w:p w14:paraId="11281BED" w14:textId="77777777" w:rsidR="00FC79C1" w:rsidRPr="009342F9" w:rsidRDefault="00FC79C1" w:rsidP="00FC79C1">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ENTIDADES ADSCRITAS</w:t>
      </w:r>
    </w:p>
    <w:p w14:paraId="4AC417A8"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6" w:name="ver_30069011"/>
      <w:bookmarkEnd w:id="6"/>
    </w:p>
    <w:p w14:paraId="5FCC699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1.2.1.1. Comisión de Regulación de Agua Potable y Saneamiento Básico  </w:t>
      </w:r>
    </w:p>
    <w:p w14:paraId="3FFB8C5D"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7" w:name="ver_30069012"/>
      <w:bookmarkEnd w:id="7"/>
    </w:p>
    <w:p w14:paraId="3044A2B4" w14:textId="03954D5B" w:rsidR="00FC79C1" w:rsidRPr="009342F9" w:rsidRDefault="00FC79C1" w:rsidP="00FC79C1">
      <w:pPr>
        <w:spacing w:after="0" w:line="240" w:lineRule="auto"/>
        <w:jc w:val="both"/>
        <w:rPr>
          <w:rFonts w:ascii="Arial" w:eastAsia="Times New Roman" w:hAnsi="Arial" w:cs="Arial"/>
          <w:color w:val="000000"/>
          <w:lang w:eastAsia="es-CO"/>
        </w:rPr>
      </w:pPr>
      <w:r w:rsidRPr="3DD719FF">
        <w:rPr>
          <w:rFonts w:ascii="Arial" w:eastAsia="Times New Roman" w:hAnsi="Arial" w:cs="Arial"/>
          <w:color w:val="000000" w:themeColor="text1"/>
          <w:lang w:eastAsia="es-CO"/>
        </w:rPr>
        <w:t>Artículo 1.2.1.1.1. Objetivos Generales. Las comisiones de regulación tienen la función de regular los monopolios en la prestación de los servicios públicos, cuando la competencia no sea, de hecho, posible; y, en los demás casos, la de promover la competencia entre quienes presten servicios públicos, para que las operaciones de los monopolistas o de los competidores sean económicamente eficientes, no impliquen abusos de la posición dominante, y produzcan servicios de calidad. </w:t>
      </w:r>
    </w:p>
    <w:p w14:paraId="6B293FD1" w14:textId="5662A6EC"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w:t>
      </w:r>
      <w:bookmarkStart w:id="8" w:name="ver_30069013"/>
      <w:bookmarkEnd w:id="8"/>
    </w:p>
    <w:p w14:paraId="288216E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1.2.1.1.2. Fondo Nacional de Vivienda -FONVIVIENDA- </w:t>
      </w:r>
    </w:p>
    <w:p w14:paraId="21B698C8"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9" w:name="ver_30069014"/>
      <w:bookmarkEnd w:id="9"/>
    </w:p>
    <w:p w14:paraId="750FEED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1.2.1.1.2.1. Objetivo. El Fondo Nacional de Vivienda “FONVIVIENDA” tendrá como objetivos consolidar el Sistema Nacional de Información de Vivienda y ejecutar las políticas del Gobierno Nacional en materia de vivienda de interés social urbana, en particular aquellas orientadas a la descentralización territorial de la inversión de los recursos destinados a vivienda de interés social, </w:t>
      </w:r>
    </w:p>
    <w:p w14:paraId="274A4CE8"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0" w:name="ver_30069015"/>
      <w:bookmarkEnd w:id="10"/>
    </w:p>
    <w:p w14:paraId="0160ED36" w14:textId="3194749C" w:rsidR="00FC79C1" w:rsidRPr="009342F9" w:rsidRDefault="00FC79C1" w:rsidP="00FC79C1">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TÍTULO 3</w:t>
      </w:r>
    </w:p>
    <w:p w14:paraId="7E78D40E" w14:textId="77777777" w:rsidR="00FC79C1" w:rsidRPr="009342F9" w:rsidRDefault="00FC79C1" w:rsidP="00FC79C1">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ENTIDADES VINCULADAS</w:t>
      </w:r>
    </w:p>
    <w:p w14:paraId="7C6C1A10" w14:textId="77777777" w:rsidR="00FC79C1" w:rsidRPr="009342F9" w:rsidRDefault="00FC79C1" w:rsidP="00FC79C1">
      <w:pPr>
        <w:spacing w:after="0" w:line="240" w:lineRule="auto"/>
        <w:jc w:val="center"/>
        <w:rPr>
          <w:rFonts w:ascii="Arial" w:eastAsia="Times New Roman" w:hAnsi="Arial" w:cs="Arial"/>
          <w:color w:val="000000"/>
          <w:lang w:eastAsia="es-CO"/>
        </w:rPr>
      </w:pPr>
      <w:bookmarkStart w:id="11" w:name="ver_30069016"/>
      <w:bookmarkEnd w:id="11"/>
    </w:p>
    <w:p w14:paraId="5A30E2A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1.2.3.1. Fondo Nacional del Ahorro  </w:t>
      </w:r>
    </w:p>
    <w:p w14:paraId="1FB6B85D" w14:textId="687517A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2" w:name="ver_30069017"/>
      <w:bookmarkEnd w:id="12"/>
    </w:p>
    <w:p w14:paraId="3FCB7A5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1.2.3.1.1. Objeto. El Fondo Nacional de Ahorro administrará de manera eficiente las cesantías y contribuirá a la solución del problema de vivienda y de educación de los afiliados, con el fin de mejorar su calidad de vida, convirtiéndose en una alternativa de capitalización social. </w:t>
      </w:r>
    </w:p>
    <w:p w14:paraId="3762CC82" w14:textId="77777777" w:rsidR="00FC79C1" w:rsidRPr="009342F9" w:rsidRDefault="00FC79C1" w:rsidP="00FC79C1">
      <w:pPr>
        <w:spacing w:after="0" w:line="240" w:lineRule="auto"/>
        <w:jc w:val="center"/>
        <w:rPr>
          <w:rFonts w:ascii="Arial" w:eastAsia="Times New Roman" w:hAnsi="Arial" w:cs="Arial"/>
          <w:color w:val="000000"/>
          <w:lang w:eastAsia="es-CO"/>
        </w:rPr>
      </w:pPr>
    </w:p>
    <w:p w14:paraId="2218398D" w14:textId="77777777" w:rsidR="00FC79C1" w:rsidRPr="009342F9" w:rsidRDefault="00FC79C1" w:rsidP="00FC79C1">
      <w:pPr>
        <w:spacing w:after="0" w:line="240" w:lineRule="auto"/>
        <w:jc w:val="center"/>
        <w:rPr>
          <w:rFonts w:ascii="Arial" w:eastAsia="Times New Roman" w:hAnsi="Arial" w:cs="Arial"/>
          <w:b/>
          <w:bCs/>
          <w:color w:val="000000"/>
          <w:lang w:eastAsia="es-CO"/>
        </w:rPr>
      </w:pPr>
      <w:bookmarkStart w:id="13" w:name="ver_30069018"/>
      <w:bookmarkEnd w:id="13"/>
      <w:r w:rsidRPr="009342F9">
        <w:rPr>
          <w:rFonts w:ascii="Arial" w:eastAsia="Times New Roman" w:hAnsi="Arial" w:cs="Arial"/>
          <w:b/>
          <w:bCs/>
          <w:color w:val="000000"/>
          <w:lang w:eastAsia="es-CO"/>
        </w:rPr>
        <w:t>TÍTULO 4</w:t>
      </w:r>
    </w:p>
    <w:p w14:paraId="1664ACD8" w14:textId="77777777" w:rsidR="00FC79C1" w:rsidRPr="009342F9" w:rsidRDefault="00FC79C1" w:rsidP="00FC79C1">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ÓRGANOS DE ASESORÍA Y COORDINACIÓN.</w:t>
      </w:r>
    </w:p>
    <w:p w14:paraId="2F478D0C"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4" w:name="ver_30069019"/>
      <w:bookmarkEnd w:id="14"/>
    </w:p>
    <w:p w14:paraId="66FAD02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1.2.4.1. Órganos Internos de Asesoría y Coordinación. Son órganos internos de asesoría y coordinación del Ministerio de Vivienda, Ciudad y Territorio, los siguientes: </w:t>
      </w:r>
    </w:p>
    <w:p w14:paraId="3F0FB33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85A4EE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El Comité Sectorial de Desarrollo Administrativo. </w:t>
      </w:r>
    </w:p>
    <w:p w14:paraId="1B9176D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688F32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El Comité de Coordinación del Sistema de Control Interno. </w:t>
      </w:r>
    </w:p>
    <w:p w14:paraId="3EE5830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5E0652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El Comité de Gerencia. </w:t>
      </w:r>
    </w:p>
    <w:p w14:paraId="0C96740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2EEBE2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La Comisión de Personal. </w:t>
      </w:r>
    </w:p>
    <w:p w14:paraId="64CB1D23" w14:textId="77777777" w:rsidR="00FC79C1" w:rsidRPr="009342F9" w:rsidRDefault="00FC79C1" w:rsidP="00FC79C1">
      <w:pPr>
        <w:spacing w:after="0" w:line="240" w:lineRule="auto"/>
        <w:jc w:val="center"/>
        <w:rPr>
          <w:rFonts w:ascii="Arial" w:eastAsia="Times New Roman" w:hAnsi="Arial" w:cs="Arial"/>
          <w:color w:val="000000"/>
          <w:lang w:eastAsia="es-CO"/>
        </w:rPr>
      </w:pPr>
    </w:p>
    <w:p w14:paraId="6BD9ACF4" w14:textId="71F56652" w:rsidR="00FC79C1" w:rsidRPr="009342F9" w:rsidRDefault="00FC79C1" w:rsidP="00FC79C1">
      <w:pPr>
        <w:spacing w:after="0" w:line="240" w:lineRule="auto"/>
        <w:jc w:val="center"/>
        <w:rPr>
          <w:rFonts w:ascii="Arial" w:eastAsia="Times New Roman" w:hAnsi="Arial" w:cs="Arial"/>
          <w:b/>
          <w:bCs/>
          <w:color w:val="000000"/>
          <w:lang w:eastAsia="es-CO"/>
        </w:rPr>
      </w:pPr>
      <w:bookmarkStart w:id="15" w:name="ver_30069020"/>
      <w:bookmarkEnd w:id="15"/>
      <w:r w:rsidRPr="009342F9">
        <w:rPr>
          <w:rFonts w:ascii="Arial" w:eastAsia="Times New Roman" w:hAnsi="Arial" w:cs="Arial"/>
          <w:b/>
          <w:bCs/>
          <w:color w:val="000000"/>
          <w:lang w:eastAsia="es-CO"/>
        </w:rPr>
        <w:t>LIBRO 2</w:t>
      </w:r>
    </w:p>
    <w:p w14:paraId="18CCED60" w14:textId="03954D5B" w:rsidR="00FC79C1" w:rsidRDefault="00FC79C1" w:rsidP="00FC79C1">
      <w:pPr>
        <w:spacing w:after="0" w:line="240" w:lineRule="auto"/>
        <w:jc w:val="center"/>
        <w:rPr>
          <w:rFonts w:ascii="Arial" w:eastAsia="Times New Roman" w:hAnsi="Arial" w:cs="Arial"/>
          <w:b/>
          <w:bCs/>
          <w:color w:val="000000"/>
          <w:lang w:eastAsia="es-CO"/>
        </w:rPr>
      </w:pPr>
      <w:r w:rsidRPr="3DD719FF">
        <w:rPr>
          <w:rFonts w:ascii="Arial" w:eastAsia="Times New Roman" w:hAnsi="Arial" w:cs="Arial"/>
          <w:b/>
          <w:color w:val="000000" w:themeColor="text1"/>
          <w:lang w:eastAsia="es-CO"/>
        </w:rPr>
        <w:t>RÉGIMEN REGLAMENTARIO DEL SECTOR VIVIENDA, CIUDAD Y TERRITORIO</w:t>
      </w:r>
    </w:p>
    <w:p w14:paraId="7378A580" w14:textId="03954D5B" w:rsidR="00D04AB5" w:rsidRPr="009342F9" w:rsidRDefault="00D04AB5" w:rsidP="00FC79C1">
      <w:pPr>
        <w:spacing w:after="0" w:line="240" w:lineRule="auto"/>
        <w:jc w:val="center"/>
        <w:rPr>
          <w:rFonts w:ascii="Arial" w:eastAsia="Times New Roman" w:hAnsi="Arial" w:cs="Arial"/>
          <w:b/>
          <w:bCs/>
          <w:color w:val="000000"/>
          <w:lang w:eastAsia="es-CO"/>
        </w:rPr>
      </w:pPr>
    </w:p>
    <w:p w14:paraId="08BB4289" w14:textId="77777777" w:rsidR="00FC79C1" w:rsidRPr="009342F9" w:rsidRDefault="00FC79C1" w:rsidP="00FC79C1">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PARTE 1</w:t>
      </w:r>
    </w:p>
    <w:p w14:paraId="12F44043" w14:textId="03954D5B" w:rsidR="00FC79C1" w:rsidRDefault="00FC79C1" w:rsidP="00FC79C1">
      <w:pPr>
        <w:spacing w:after="0" w:line="240" w:lineRule="auto"/>
        <w:jc w:val="center"/>
        <w:rPr>
          <w:rFonts w:ascii="Arial" w:eastAsia="Times New Roman" w:hAnsi="Arial" w:cs="Arial"/>
          <w:b/>
          <w:bCs/>
          <w:color w:val="000000"/>
          <w:lang w:eastAsia="es-CO"/>
        </w:rPr>
      </w:pPr>
      <w:r w:rsidRPr="3DD719FF">
        <w:rPr>
          <w:rFonts w:ascii="Arial" w:eastAsia="Times New Roman" w:hAnsi="Arial" w:cs="Arial"/>
          <w:b/>
          <w:color w:val="000000" w:themeColor="text1"/>
          <w:lang w:eastAsia="es-CO"/>
        </w:rPr>
        <w:t>ESTRUCTURA DEL SECTOR VIVIENDA</w:t>
      </w:r>
    </w:p>
    <w:p w14:paraId="0F65BA1D" w14:textId="03954D5B" w:rsidR="00D04AB5" w:rsidRPr="009342F9" w:rsidRDefault="00D04AB5" w:rsidP="00FC79C1">
      <w:pPr>
        <w:spacing w:after="0" w:line="240" w:lineRule="auto"/>
        <w:jc w:val="center"/>
        <w:rPr>
          <w:rFonts w:ascii="Arial" w:eastAsia="Times New Roman" w:hAnsi="Arial" w:cs="Arial"/>
          <w:b/>
          <w:bCs/>
          <w:color w:val="000000"/>
          <w:lang w:eastAsia="es-CO"/>
        </w:rPr>
      </w:pPr>
    </w:p>
    <w:p w14:paraId="3F52108C" w14:textId="77777777" w:rsidR="00FC79C1" w:rsidRPr="009342F9" w:rsidRDefault="00FC79C1" w:rsidP="00FC79C1">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TÍTULO 1</w:t>
      </w:r>
    </w:p>
    <w:p w14:paraId="4A51AC44" w14:textId="03954D5B" w:rsidR="00FC79C1" w:rsidRDefault="00FC79C1" w:rsidP="00FC79C1">
      <w:pPr>
        <w:spacing w:after="0" w:line="240" w:lineRule="auto"/>
        <w:jc w:val="center"/>
        <w:rPr>
          <w:rFonts w:ascii="Arial" w:eastAsia="Times New Roman" w:hAnsi="Arial" w:cs="Arial"/>
          <w:b/>
          <w:bCs/>
          <w:color w:val="000000"/>
          <w:lang w:eastAsia="es-CO"/>
        </w:rPr>
      </w:pPr>
      <w:r w:rsidRPr="3DD719FF">
        <w:rPr>
          <w:rFonts w:ascii="Arial" w:eastAsia="Times New Roman" w:hAnsi="Arial" w:cs="Arial"/>
          <w:b/>
          <w:color w:val="000000" w:themeColor="text1"/>
          <w:lang w:eastAsia="es-CO"/>
        </w:rPr>
        <w:t>SUBSIDIO FAMILIAR DE VIVIENDA DE INTERÉS SOCIAL PARA ÁREAS URBANAS</w:t>
      </w:r>
    </w:p>
    <w:p w14:paraId="6D773EEF" w14:textId="03954D5B" w:rsidR="00D04AB5" w:rsidRPr="009342F9" w:rsidRDefault="00D04AB5" w:rsidP="00FC79C1">
      <w:pPr>
        <w:spacing w:after="0" w:line="240" w:lineRule="auto"/>
        <w:jc w:val="center"/>
        <w:rPr>
          <w:rFonts w:ascii="Arial" w:eastAsia="Times New Roman" w:hAnsi="Arial" w:cs="Arial"/>
          <w:b/>
          <w:bCs/>
          <w:color w:val="000000"/>
          <w:lang w:eastAsia="es-CO"/>
        </w:rPr>
      </w:pPr>
    </w:p>
    <w:p w14:paraId="3A4A8BA3" w14:textId="03954D5B" w:rsidR="00FC79C1" w:rsidRPr="009342F9" w:rsidRDefault="00FC79C1" w:rsidP="00FC79C1">
      <w:pPr>
        <w:spacing w:after="0" w:line="240" w:lineRule="auto"/>
        <w:jc w:val="center"/>
        <w:rPr>
          <w:rFonts w:ascii="Arial" w:eastAsia="Times New Roman" w:hAnsi="Arial" w:cs="Arial"/>
          <w:b/>
          <w:bCs/>
          <w:color w:val="000000"/>
          <w:lang w:eastAsia="es-CO"/>
        </w:rPr>
      </w:pPr>
      <w:r w:rsidRPr="3DD719FF">
        <w:rPr>
          <w:rFonts w:ascii="Arial" w:eastAsia="Times New Roman" w:hAnsi="Arial" w:cs="Arial"/>
          <w:b/>
          <w:color w:val="000000" w:themeColor="text1"/>
          <w:lang w:eastAsia="es-CO"/>
        </w:rPr>
        <w:t>CAPÍTULO 1</w:t>
      </w:r>
    </w:p>
    <w:p w14:paraId="76BFCA19" w14:textId="03954D5B" w:rsidR="00D04AB5" w:rsidRDefault="00FC79C1" w:rsidP="00FC79C1">
      <w:pPr>
        <w:spacing w:after="0" w:line="240" w:lineRule="auto"/>
        <w:jc w:val="center"/>
        <w:rPr>
          <w:rFonts w:ascii="Arial" w:eastAsia="Times New Roman" w:hAnsi="Arial" w:cs="Arial"/>
          <w:b/>
          <w:bCs/>
          <w:color w:val="000000"/>
          <w:lang w:eastAsia="es-CO"/>
        </w:rPr>
      </w:pPr>
      <w:r w:rsidRPr="3DD719FF">
        <w:rPr>
          <w:rFonts w:ascii="Arial" w:eastAsia="Times New Roman" w:hAnsi="Arial" w:cs="Arial"/>
          <w:b/>
          <w:color w:val="000000" w:themeColor="text1"/>
          <w:lang w:eastAsia="es-CO"/>
        </w:rPr>
        <w:t xml:space="preserve">SUBSIDIO FAMILIAR DE VIVIENDA DE INTERÉS SOCIAL EN DINERO PARA ÁREAS </w:t>
      </w:r>
    </w:p>
    <w:p w14:paraId="58DBCB5F" w14:textId="03954D5B" w:rsidR="00FC79C1" w:rsidRDefault="00FC79C1" w:rsidP="00FC79C1">
      <w:pPr>
        <w:spacing w:after="0" w:line="240" w:lineRule="auto"/>
        <w:jc w:val="center"/>
        <w:rPr>
          <w:rFonts w:ascii="Arial" w:eastAsia="Times New Roman" w:hAnsi="Arial" w:cs="Arial"/>
          <w:b/>
          <w:bCs/>
          <w:color w:val="000000"/>
          <w:lang w:eastAsia="es-CO"/>
        </w:rPr>
      </w:pPr>
      <w:r w:rsidRPr="3DD719FF">
        <w:rPr>
          <w:rFonts w:ascii="Arial" w:eastAsia="Times New Roman" w:hAnsi="Arial" w:cs="Arial"/>
          <w:b/>
          <w:color w:val="000000" w:themeColor="text1"/>
          <w:lang w:eastAsia="es-CO"/>
        </w:rPr>
        <w:t>URBANAS</w:t>
      </w:r>
    </w:p>
    <w:p w14:paraId="78051644" w14:textId="03954D5B" w:rsidR="00D04AB5" w:rsidRPr="009342F9" w:rsidRDefault="00D04AB5" w:rsidP="00FC79C1">
      <w:pPr>
        <w:spacing w:after="0" w:line="240" w:lineRule="auto"/>
        <w:jc w:val="center"/>
        <w:rPr>
          <w:rFonts w:ascii="Arial" w:eastAsia="Times New Roman" w:hAnsi="Arial" w:cs="Arial"/>
          <w:b/>
          <w:bCs/>
          <w:color w:val="000000"/>
          <w:lang w:eastAsia="es-CO"/>
        </w:rPr>
      </w:pPr>
    </w:p>
    <w:p w14:paraId="0315EF94" w14:textId="77777777" w:rsidR="00FC79C1" w:rsidRPr="009342F9" w:rsidRDefault="00FC79C1" w:rsidP="00FC79C1">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SECCIÓN 1</w:t>
      </w:r>
    </w:p>
    <w:p w14:paraId="7B94C21A" w14:textId="03954D5B" w:rsidR="00FC79C1" w:rsidRDefault="00FC79C1" w:rsidP="00FC79C1">
      <w:pPr>
        <w:spacing w:after="0" w:line="240" w:lineRule="auto"/>
        <w:jc w:val="center"/>
        <w:rPr>
          <w:rFonts w:ascii="Arial" w:eastAsia="Times New Roman" w:hAnsi="Arial" w:cs="Arial"/>
          <w:b/>
          <w:bCs/>
          <w:color w:val="000000"/>
          <w:lang w:eastAsia="es-CO"/>
        </w:rPr>
      </w:pPr>
      <w:r w:rsidRPr="3DD719FF">
        <w:rPr>
          <w:rFonts w:ascii="Arial" w:eastAsia="Times New Roman" w:hAnsi="Arial" w:cs="Arial"/>
          <w:b/>
          <w:color w:val="000000" w:themeColor="text1"/>
          <w:lang w:eastAsia="es-CO"/>
        </w:rPr>
        <w:t>SUBSIDIO FAMILIAR DE VIVIENDA</w:t>
      </w:r>
    </w:p>
    <w:p w14:paraId="4888882B" w14:textId="03954D5B" w:rsidR="00D04AB5" w:rsidRPr="009342F9" w:rsidRDefault="00D04AB5" w:rsidP="00FC79C1">
      <w:pPr>
        <w:spacing w:after="0" w:line="240" w:lineRule="auto"/>
        <w:jc w:val="center"/>
        <w:rPr>
          <w:rFonts w:ascii="Arial" w:eastAsia="Times New Roman" w:hAnsi="Arial" w:cs="Arial"/>
          <w:b/>
          <w:bCs/>
          <w:color w:val="000000"/>
          <w:lang w:eastAsia="es-CO"/>
        </w:rPr>
      </w:pPr>
    </w:p>
    <w:p w14:paraId="14E74846" w14:textId="77777777" w:rsidR="00FC79C1" w:rsidRPr="009342F9" w:rsidRDefault="00FC79C1" w:rsidP="00FC79C1">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SUBSECCIÓN 1</w:t>
      </w:r>
    </w:p>
    <w:p w14:paraId="07CC7455" w14:textId="77777777" w:rsidR="00FC79C1" w:rsidRPr="009342F9" w:rsidRDefault="00FC79C1" w:rsidP="00FC79C1">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GENERALIDADES DEL SUBSIDIO FAMILIAR DE VIVIENDA</w:t>
      </w:r>
    </w:p>
    <w:p w14:paraId="49979E9F" w14:textId="77777777" w:rsidR="00FC79C1" w:rsidRPr="009342F9" w:rsidRDefault="00FC79C1" w:rsidP="00FC79C1">
      <w:pPr>
        <w:spacing w:after="0" w:line="240" w:lineRule="auto"/>
        <w:jc w:val="both"/>
        <w:rPr>
          <w:rFonts w:ascii="Arial" w:eastAsia="Times New Roman" w:hAnsi="Arial" w:cs="Arial"/>
          <w:b/>
          <w:bCs/>
          <w:color w:val="000000"/>
          <w:lang w:eastAsia="es-CO"/>
        </w:rPr>
      </w:pPr>
      <w:bookmarkStart w:id="16" w:name="ver_30069021"/>
      <w:bookmarkEnd w:id="16"/>
    </w:p>
    <w:p w14:paraId="58AD070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Artículo 2.1.1.1.1.1.1. Objeto. </w:t>
      </w:r>
      <w:proofErr w:type="gramStart"/>
      <w:r w:rsidRPr="009342F9">
        <w:rPr>
          <w:rFonts w:ascii="Arial" w:eastAsia="Times New Roman" w:hAnsi="Arial" w:cs="Arial"/>
          <w:color w:val="000000"/>
          <w:lang w:eastAsia="es-CO"/>
        </w:rPr>
        <w:t>El presente sección</w:t>
      </w:r>
      <w:proofErr w:type="gramEnd"/>
      <w:r w:rsidRPr="009342F9">
        <w:rPr>
          <w:rFonts w:ascii="Arial" w:eastAsia="Times New Roman" w:hAnsi="Arial" w:cs="Arial"/>
          <w:color w:val="000000"/>
          <w:lang w:eastAsia="es-CO"/>
        </w:rPr>
        <w:t xml:space="preserve"> tiene por objeto reglamentar el Subsidio Familiar de Vivienda de Interés Social en dinero para áreas urbanas, conforme a lo dispuesto en las Leyes 49 de 1990, 3ª de 1991, 388 de 1997, 546 de 1999, 789 de 2002, 1114 de 2006 y 1151 de 2007. Se aplica a entidades que administren recursos del Presupuesto Nacional o recursos parafiscales con destino al subsidio anteriormente mencionado. </w:t>
      </w:r>
    </w:p>
    <w:p w14:paraId="7EB84B8A" w14:textId="2631E982"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7" w:name="ver_30200369"/>
      <w:bookmarkStart w:id="18" w:name="ver_30069022"/>
      <w:bookmarkStart w:id="19" w:name="ver_30167097"/>
      <w:bookmarkEnd w:id="17"/>
    </w:p>
    <w:p w14:paraId="7F36FAE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2.1.1.1.1.1.</w:t>
      </w:r>
      <w:proofErr w:type="gramStart"/>
      <w:r w:rsidRPr="009342F9">
        <w:rPr>
          <w:rFonts w:ascii="Arial" w:eastAsia="Times New Roman" w:hAnsi="Arial" w:cs="Arial"/>
          <w:color w:val="000000"/>
          <w:lang w:eastAsia="es-CO"/>
        </w:rPr>
        <w:t>2.Definiciones</w:t>
      </w:r>
      <w:proofErr w:type="gramEnd"/>
      <w:r w:rsidRPr="009342F9">
        <w:rPr>
          <w:rFonts w:ascii="Arial" w:eastAsia="Times New Roman" w:hAnsi="Arial" w:cs="Arial"/>
          <w:color w:val="000000"/>
          <w:lang w:eastAsia="es-CO"/>
        </w:rPr>
        <w:t xml:space="preserve"> y alcances. Para los efectos de la presente sección se determinan las siguientes definiciones y alcances:  </w:t>
      </w:r>
    </w:p>
    <w:p w14:paraId="31D26E44" w14:textId="5F29B8A1"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0DD038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2.1. Vivienda de Interés Social (VIS). Es aquella que reúne los elementos que aseguran su habitabilidad, estándares de calidad en diseño urbanístico, arquitectónico y de construcción cuyo valor máximo es el que se establezca en las normas que regulan la materia para este tipo de viviendas.  </w:t>
      </w:r>
    </w:p>
    <w:p w14:paraId="69DDA0F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67624C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2.2. Vivienda de Interés Social Prioritaria (VIP). Es aquella vivienda de interés social cuyo valor máximo es el que se establezca en las normas que regulan la materia para este tipo de viviendas.  </w:t>
      </w:r>
    </w:p>
    <w:p w14:paraId="2D6E1E2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48827D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2.3. Subsidio Familiar de Vivienda. El Subsidio Familiar de Vivienda de que trata esta sección es un aporte estatal en dinero entregado por la entidad otorgante del mismo, que se otorga por una sola vez al beneficiario, sin cargo de restitución, que constituye un complemento del ahorro y/o los recursos que le permitan acceder a una solución de vivienda de interés social y que puede ser cofinanciado con recursos provenientes de entidades territoriales.  </w:t>
      </w:r>
    </w:p>
    <w:p w14:paraId="266E5E1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31C8EA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2.4. Hogar objeto del Subsidio Familiar de Vivienda. Se entiende por hogar el conformado por una o más personas que integren el mismo núcleo familiar, los cónyuges, las uniones maritales de hecho, incluyendo las parejas del mismo sexo, y/o el grupo de personas unidas por vínculos de parentesco hasta tercer grado de consanguinidad, segundo de afinidad y primero civil, que compartan un mismo espacio habitacional. Lo anterior, sin perjuicio de lo establecido en el parágrafo del presente artículo.  </w:t>
      </w:r>
    </w:p>
    <w:p w14:paraId="299A08B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54C4EB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2.5. Soluciones de vivienda. Se entiende por solución de vivienda el conjunto de operaciones que permite a un hogar disponer de habitación en condiciones sanitarias satisfactorias de espacio, servicios públicos y calidad de estructura, o iniciar el proceso para obtenerlas en el futuro. El Subsidio Familiar de Vivienda de Interés Social de que trata esta sección se podrá aplicar en las siguientes soluciones de vivienda:  </w:t>
      </w:r>
    </w:p>
    <w:p w14:paraId="2B75535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F0C2B8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2.5.1. Adquisición de vivienda nueva. Es la modalidad que permite al hogar adquirir una vivienda nueva entendiéndose por esta a aquella que se encuentre en proyecto, en etapa de preventa, en construcción, y la que estando terminada no haya sido habitada.  </w:t>
      </w:r>
    </w:p>
    <w:p w14:paraId="20EE562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26BB88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Esta modalidad de subsidio también podrá ser aplicada para la adquisición de unidades de vivienda que hayan sido objeto de programas de arrendamiento y arrendamiento con opción de compra o sobre las que se haya aplicado el subsidio en dicha modalidad y que hayan sido nuevas al momento de su ingreso o aplicación al respectivo programa o subsidio de arrendamiento.  </w:t>
      </w:r>
    </w:p>
    <w:p w14:paraId="29942E1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También se considerará como adquisición de vivienda nueva:  </w:t>
      </w:r>
    </w:p>
    <w:p w14:paraId="34B9618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6DE655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 El proceso por el cual se construye una vivienda con recursos del Subsidio Familiar, mediante la </w:t>
      </w:r>
      <w:proofErr w:type="gramStart"/>
      <w:r w:rsidRPr="009342F9">
        <w:rPr>
          <w:rFonts w:ascii="Arial" w:eastAsia="Times New Roman" w:hAnsi="Arial" w:cs="Arial"/>
          <w:color w:val="000000"/>
          <w:lang w:eastAsia="es-CO"/>
        </w:rPr>
        <w:t>participación activa</w:t>
      </w:r>
      <w:proofErr w:type="gramEnd"/>
      <w:r w:rsidRPr="009342F9">
        <w:rPr>
          <w:rFonts w:ascii="Arial" w:eastAsia="Times New Roman" w:hAnsi="Arial" w:cs="Arial"/>
          <w:color w:val="000000"/>
          <w:lang w:eastAsia="es-CO"/>
        </w:rPr>
        <w:t xml:space="preserve"> de la comunidad representada en sistemas de autoconstrucción o autogestión que determinarán la adquisición final de la propiedad de la vivienda por parte de los hogares beneficiarios del subsidio.  </w:t>
      </w:r>
    </w:p>
    <w:p w14:paraId="5CE2550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w:t>
      </w:r>
    </w:p>
    <w:p w14:paraId="71E5D87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b) El proceso para el otorgamiento del Subsidio Familiar de Vivienda de Interés Social, para hogares que se postulen a proyectos de vivienda de interés social prioritario, desarrollados en lotes de propiedad de entidades territoriales o de privados, con convenio de asociación o patrimonio autónomo legalmente constituido con el municipio para la ejecución de este tipo de proyectos, ubicados en municipios de categoría 1, 2 y especial, en aquellos que hagan parte del área metropolitana, o en los de propiedad de la nación ubicados en cualquier municipio. Estos proyectos de vivienda deben tener asegurada la financiación de la totalidad de las obras de urbanismo.  </w:t>
      </w:r>
    </w:p>
    <w:p w14:paraId="19AF54E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658265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2.5.2. Adquisición de vivienda usada. Es la modalidad que permite al hogar adquirir una vivienda usada, entendiéndose por esta aquella que estando terminada ya ha sido habitada y cuya licencia de construcción ha sido expedida en vigencia del reglamento colombiano de construcción sismorresistente vigente al momento de expedición de </w:t>
      </w:r>
      <w:proofErr w:type="gramStart"/>
      <w:r w:rsidRPr="009342F9">
        <w:rPr>
          <w:rFonts w:ascii="Arial" w:eastAsia="Times New Roman" w:hAnsi="Arial" w:cs="Arial"/>
          <w:color w:val="000000"/>
          <w:lang w:eastAsia="es-CO"/>
        </w:rPr>
        <w:t>la misma</w:t>
      </w:r>
      <w:proofErr w:type="gramEnd"/>
      <w:r w:rsidRPr="009342F9">
        <w:rPr>
          <w:rFonts w:ascii="Arial" w:eastAsia="Times New Roman" w:hAnsi="Arial" w:cs="Arial"/>
          <w:color w:val="000000"/>
          <w:lang w:eastAsia="es-CO"/>
        </w:rPr>
        <w:t>.  </w:t>
      </w:r>
    </w:p>
    <w:p w14:paraId="2EC4837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3F469B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2.5.3. Construcción en sitio propio. Modalidad en la cual el beneficiario del subsidio accede a una vivienda de interés social, mediante la edificación de </w:t>
      </w:r>
      <w:proofErr w:type="gramStart"/>
      <w:r w:rsidRPr="009342F9">
        <w:rPr>
          <w:rFonts w:ascii="Arial" w:eastAsia="Times New Roman" w:hAnsi="Arial" w:cs="Arial"/>
          <w:color w:val="000000"/>
          <w:lang w:eastAsia="es-CO"/>
        </w:rPr>
        <w:t>la misma</w:t>
      </w:r>
      <w:proofErr w:type="gramEnd"/>
      <w:r w:rsidRPr="009342F9">
        <w:rPr>
          <w:rFonts w:ascii="Arial" w:eastAsia="Times New Roman" w:hAnsi="Arial" w:cs="Arial"/>
          <w:color w:val="000000"/>
          <w:lang w:eastAsia="es-CO"/>
        </w:rPr>
        <w:t xml:space="preserve"> en un lote de su propiedad que puede ser un lote de terreno, una terraza o una cubierta de losa. En todo caso, el título de propiedad debe estar inscrito en la Oficina de Registro de Instrumentos Públicos a nombre de cualquiera de los miembros del hogar postulante.  </w:t>
      </w:r>
    </w:p>
    <w:p w14:paraId="128934A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4B5BEF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Para acceder a los recursos del subsidio familiar de vivienda, los esquemas de construcción en sitio propio deben resultar en una vivienda cuyo valor sea inferior o igual al precio máximo de la vivienda de interés social.  </w:t>
      </w:r>
    </w:p>
    <w:p w14:paraId="3B6BCA7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143350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Esta modalidad de subsidio también podrá otorgarse a hogares que se postulen a proyectos de vivienda de interés social, desarrollados en lotes urbanizados de propiedad de las entidades territoriales, siempre que tales lotes hayan sido previamente otorgados a título de subsidio en especie por la entidad territorial o la entidad facultada para otorgar el subsidio en especie dentro del respectivo territorio. En este caso, el proyecto debe tener asegurada la financiación de la totalidad de la construcción de las viviendas.  </w:t>
      </w:r>
    </w:p>
    <w:p w14:paraId="7A56732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18BC98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Esta modalidad de subsidio podrá aplicarse en barrios susceptibles de ser legalizados para lo cual deberá verificarse que las viviendas no se encuentren ubicadas en zonas de alto riesgo no mitigable, zonas de protección de recursos naturales, zonas de reserva de obra pública o de infraestructuras básicas del nivel nacional, regional o municipal o áreas no aptas para la localización de vivienda, de acuerdo con los planes de ordenamiento territorial.  </w:t>
      </w:r>
    </w:p>
    <w:p w14:paraId="4ABF025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CCA2D6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2.5.4. Mejoramiento de vivienda. Proceso por el cual el beneficiario del subsidio supera una o varias de las carencias básicas de una vivienda y tiene por objeto mejorar las condiciones sanitarias satisfactorias de espacio, servicios públicos y calidad de estructura de las viviendas de los hogares beneficiarios que cumplan con los requisitos para su asignación, a través de intervenciones de tipo estructural que pueden incluir obras de mitigación de vulnerabilidad o mejoras locativas que requieren o no la obtención de permisos o licencias por parte de las autoridades competentes. Estas intervenciones o mejoras locativas están asociadas, prioritariamente, a la habilitación o instalación de baños; lavaderos; cocinas; redes hidráulicas, sanitarias y eléctricas; cubiertas; pisos; reforzamiento estructural y otras condiciones relacionadas con el saneamiento y mejoramiento de la solución habitacional, con el objeto de alcanzar progresivamente las condiciones de habitabilidad de la vivienda.  </w:t>
      </w:r>
    </w:p>
    <w:p w14:paraId="133BD7A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9CCED5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Las intervenciones podrán realizarse en barrios susceptibles de ser legalizados, de acuerdo con las disposiciones del Plan de Ordenamiento Territorial respectivo, siempre y cuando se hubiese iniciado el proceso de legalización, ya sea de oficio o por solicitud de los interesados, en los términos del presente decreto. Cada programa establecerá las condiciones para certificar su correspondencia con los planes de ordenamiento territorial, los esquemas de cofinanciación y los certificados que sean necesarios por parte de las autoridades correspondientes. En todo caso, los barrios deben contar con disponibilidad de servicios públicos domiciliarios y las viviendas no pueden encontrarse ubicadas en zonas de alto riesgo no mitigable, zonas de protección de recursos naturales, zonas de reserva de obra pública o de infraestructuras básicas del nivel nacional, regional o municipal o áreas no aptas para la localización de vivienda, de acuerdo con los planes de ordenamiento territorial.  </w:t>
      </w:r>
    </w:p>
    <w:p w14:paraId="45BA345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376D2B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aquellos casos en que la vivienda se encuentre construida totalmente en materiales provisionales, se considerará objeto de un programa de construcción en sitio propio, previa validación técnica de la entidad otorgante del subsidio. Cuando la utilización de materiales provisionales sea parcial, podrá aplicarse la modalidad de mejoramiento previo concepto técnico favorable de la entidad otorgante.  </w:t>
      </w:r>
    </w:p>
    <w:p w14:paraId="507D5EB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4A65AF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Esta modalidad de subsidio podrá beneficiar a propietarios, ocupantes de bienes fiscales que puedan ser objeto de titulación en los términos del artículo 14 de la Ley 708 de 2001 modificado por el artículo 2° de la Ley 1001 de 2005, o a quienes demuestren posesión de un inmueble con al menos cinco (5) años de anterioridad a la postulación del subsidio.  </w:t>
      </w:r>
    </w:p>
    <w:p w14:paraId="2CFD2F3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80A324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El valor del subsidio de mejoramiento de vivienda podrá estar representado, en todo o en parte, en materiales de construcción.  </w:t>
      </w:r>
    </w:p>
    <w:p w14:paraId="0A37454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5688D5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2.5.5. Arrendamiento y arrendamiento con opción de compra. Es la modalidad que permite al beneficiario cubrir un porcentaje del canon mensual de arrendamiento en el marco de un contrato de arrendamiento o arrendamiento con opción de compra sobre una vivienda de Interés Social o Prioritario nueva o usada. Cuando esta modalidad de subsidio sea aplicada sobre una vivienda nueva, el hogar podrá ser beneficiario del subsidio de adquisición para vivienda nueva destinado a la compra de la misma unidad, una vez terminada la etapa de arrendamiento. En cualquier caso, la valorización de la vivienda no podrá superar el quince por ciento (15%) nominal con respecto al avalúo inicial para efecto del otorgamiento del subsidio de adquisición.  </w:t>
      </w:r>
    </w:p>
    <w:p w14:paraId="1702AAA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C58B78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Cuando esta modalidad de subsidio sea aplicada sobre viviendas nuevas y se haya pactado la opción de compra sobre las mismas y el hogar decida no hacer uso de dicha opción, este no podrá aplicar al subsidio familiar de vivienda en la modalidad de adquisición dentro del año siguiente a la terminación de la etapa de arrendamiento.  </w:t>
      </w:r>
    </w:p>
    <w:p w14:paraId="5285BC7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F9BF5D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Esta modalidad de subsidio se puede aplicar de manera concurrente con el subsidio otorgado por distintas entidades otorgantes, que se encuentren dirigidos a financiar la tenencia de la vivienda en alquiler.  </w:t>
      </w:r>
    </w:p>
    <w:p w14:paraId="4D327C4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4D603A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2.6. Concurrencia del subsidio familiar de vivienda. Es el mecanismo mediante el cual el hogar beneficiario puede acceder al subsidio familiar de vivienda otorgado por distintas entidades partícipes del Sistema Nacional de Vivienda de Interés Social para facilitar el acceso a una solución de vivienda y que es procedente cuando la naturaleza de las modalidades que se asignen de manera concurrente, </w:t>
      </w:r>
      <w:proofErr w:type="gramStart"/>
      <w:r w:rsidRPr="009342F9">
        <w:rPr>
          <w:rFonts w:ascii="Arial" w:eastAsia="Times New Roman" w:hAnsi="Arial" w:cs="Arial"/>
          <w:color w:val="000000"/>
          <w:lang w:eastAsia="es-CO"/>
        </w:rPr>
        <w:t>permitan</w:t>
      </w:r>
      <w:proofErr w:type="gramEnd"/>
      <w:r w:rsidRPr="009342F9">
        <w:rPr>
          <w:rFonts w:ascii="Arial" w:eastAsia="Times New Roman" w:hAnsi="Arial" w:cs="Arial"/>
          <w:color w:val="000000"/>
          <w:lang w:eastAsia="es-CO"/>
        </w:rPr>
        <w:t xml:space="preserve"> su aplicación sobre una misma solución de vivienda.  </w:t>
      </w:r>
    </w:p>
    <w:p w14:paraId="415744C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BF5A29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2.7. Oferentes de soluciones de vivienda. Es la persona natural o jurídica, patrimonio autónomo cuyo vocero es una sociedad fiduciaria o la entidad territorial, que puede construir o no directamente la solución de vivienda, dispone de la misma en el mercado y está legalmente habilitado para establecer el vínculo jurídico directo con los hogares beneficiarios del subsidio familiar, que se concreta en las soluciones para adquisición, construcción en sitio propio, mejoramiento de vivienda y arrendamiento o arrendamiento con opción de compra.  </w:t>
      </w:r>
    </w:p>
    <w:p w14:paraId="296A513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EBAA23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2.8. Elegibilidad. La elegibilidad es la manifestación formal mediante la cual, y según la documentación aportada por el oferente, la entidad evaluadora emite concepto favorable de viabilidad a las modalidades de aplicación del subsidio familiar de vivienda cuyo desarrollo no requiera la expedición de licencias. La elegibilidad se emitirá previa verificación del cumplimiento de los requisitos exigidos en las normas urbanísticas, arquitectónicas y de </w:t>
      </w:r>
      <w:proofErr w:type="spellStart"/>
      <w:r w:rsidRPr="009342F9">
        <w:rPr>
          <w:rFonts w:ascii="Arial" w:eastAsia="Times New Roman" w:hAnsi="Arial" w:cs="Arial"/>
          <w:color w:val="000000"/>
          <w:lang w:eastAsia="es-CO"/>
        </w:rPr>
        <w:t>sismorresistencia</w:t>
      </w:r>
      <w:proofErr w:type="spellEnd"/>
      <w:r w:rsidRPr="009342F9">
        <w:rPr>
          <w:rFonts w:ascii="Arial" w:eastAsia="Times New Roman" w:hAnsi="Arial" w:cs="Arial"/>
          <w:color w:val="000000"/>
          <w:lang w:eastAsia="es-CO"/>
        </w:rPr>
        <w:t>.  </w:t>
      </w:r>
    </w:p>
    <w:p w14:paraId="08ED0B4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8D6050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Para las modalidades que impliquen desarrollos que requieran licencias, la elegibilidad se entenderá dada por la expedición de </w:t>
      </w:r>
      <w:proofErr w:type="gramStart"/>
      <w:r w:rsidRPr="009342F9">
        <w:rPr>
          <w:rFonts w:ascii="Arial" w:eastAsia="Times New Roman" w:hAnsi="Arial" w:cs="Arial"/>
          <w:color w:val="000000"/>
          <w:lang w:eastAsia="es-CO"/>
        </w:rPr>
        <w:t>las mismas</w:t>
      </w:r>
      <w:proofErr w:type="gramEnd"/>
      <w:r w:rsidRPr="009342F9">
        <w:rPr>
          <w:rFonts w:ascii="Arial" w:eastAsia="Times New Roman" w:hAnsi="Arial" w:cs="Arial"/>
          <w:color w:val="000000"/>
          <w:lang w:eastAsia="es-CO"/>
        </w:rPr>
        <w:t xml:space="preserve"> y la radicación de los permisos de ventas para unidades nuevas.  </w:t>
      </w:r>
    </w:p>
    <w:p w14:paraId="158C72E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821D89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2.9. Lote urbanizado. Se entiende por lote o terreno urbanizado, para cualquier modalidad de solución de vivienda, aquel que cuenta con las acometidas domiciliarias de servicios públicos de acueducto, alcantarillado y energía, vías de acceso y espacios públicos conforme a la normatividad urbanística de cada municipio.  </w:t>
      </w:r>
    </w:p>
    <w:p w14:paraId="557E372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6168C0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2.10. Postulación. Es la solicitud individual por parte de un hogar, suscrita por todos los miembros mayores de edad, con el objeto de acceder a un subsidio familiar de vivienda en cualquiera de las modalidades definidas en la ley o en la presente sección.  </w:t>
      </w:r>
    </w:p>
    <w:p w14:paraId="0A07304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0D4DD8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2.11. Recursos complementarios al subsidio para la adquisición de vivienda. Son los recursos con que cuenta el hogar postulante, que sumados al subsidio permiten al hogar el cierre financiero para acceder a una solución de vivienda en cualquiera de sus modalidades. Estos recursos pueden estar representados en ahorro, en crédito aprobado por los otorgantes de crédito o por los aportes económicos solidarios de los hogares representados en dinero y/o en trabajo comunitario, cuando a ello hubiere lugar; también podrán estar representados en aportes efectuados por entidades del orden departamental o municipal, o en donaciones efectuadas por Organizaciones No Gubernamentales y por entidades nacionales o internacionales y cualquier otro mecanismo que le permita complementar los recursos necesarios para acceder a la vivienda.  </w:t>
      </w:r>
    </w:p>
    <w:p w14:paraId="1144536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54130F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2.12. Otorgantes de crédito. Para efectos de la asignación del subsidio entre los postulantes seleccionados según el procedimiento que se establece en esta sección, se considerarán aceptables las cartas de aprobación de crédito complementario expedidas por los establecimientos de crédito, las cooperativas de ahorro y crédito, las cooperativas multiactivas e integrales con sección de ahorro y crédito, las Cajas de Compensación Familiar, los Fondos Mutuos de Inversión, los Fondos de Empleados y el Fondo Nacional de Ahorro y las cartas de aprobación de operaciones de leasing habitacional expedidas por las entidades autorizadas para realizar dicha actividad.  </w:t>
      </w:r>
    </w:p>
    <w:p w14:paraId="3100990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EFB497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También podrán determinarse como aceptables por parte de las entidades otorgantes del subsidio, las cartas de aprobación de crédito complementario emitidas por entidades distintas a las señaladas en el inciso anterior, o las relacionadas con distintos esquemas de financiación para que los hogares postulantes preseleccionados acrediten la existencia del crédito complementario requerido para la asignación del Subsidio Familiar de Vivienda de Interés Social. </w:t>
      </w:r>
      <w:r w:rsidRPr="009342F9">
        <w:rPr>
          <w:rFonts w:ascii="Arial" w:eastAsia="Times New Roman" w:hAnsi="Arial" w:cs="Arial"/>
          <w:color w:val="000000"/>
          <w:lang w:eastAsia="es-CO"/>
        </w:rPr>
        <w:lastRenderedPageBreak/>
        <w:t>En todo caso, sólo podrán otorgar crédito para vivienda de interés social, las instituciones sometidas al control, vigilancia e intervención del Estado.  </w:t>
      </w:r>
    </w:p>
    <w:p w14:paraId="093EC66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84E4BA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2.13. Carta de aprobación. Se entiende por carta de aprobación de crédito complementario, para los efectos de esta sección, la comunicación formal emitida por los otorgantes de crédito en la que se refleja el resultado favorable del análisis de riesgo crediticio del solicitante o solicitantes, como mínimo, en aquellos aspectos atinentes a su capacidad de endeudamiento, nivel de endeudamiento actual, comportamiento crediticio, hábitos de pago y confirmación de referencias. Dicho documento adicionalmente deberá contener la información de los solicitantes y las características y condiciones de la operación considerada y sólo podrá ser emitido por instituciones sometidas al control, vigilancia e intervención del Estado. También serán válidas las cartas de aprobación de operaciones de leasing habitacional expedidas por las entidades autorizadas para realizar dicha actividad.  </w:t>
      </w:r>
    </w:p>
    <w:p w14:paraId="7EB88D7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9182BF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2.14. Organizaciones Populares de Vivienda. Son aquellas que han sido constituidas y reconocidas como entidades sin ánimo de lucro y tengan por objeto el desarrollo de programas de vivienda para sus afiliados, por sistemas de autogestión o participación comunitaria. Sus afiliados o asociados participan directamente, mediante aportes en dinero y trabajo comunitario, o en cualquiera de estas dos modalidades.  </w:t>
      </w:r>
    </w:p>
    <w:p w14:paraId="7F5B171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492ADD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Se entiende por sistemas de autogestión o participación comunitaria, aquellos en los cuales el plan de construcción, adecuación o </w:t>
      </w:r>
      <w:proofErr w:type="gramStart"/>
      <w:r w:rsidRPr="009342F9">
        <w:rPr>
          <w:rFonts w:ascii="Arial" w:eastAsia="Times New Roman" w:hAnsi="Arial" w:cs="Arial"/>
          <w:color w:val="000000"/>
          <w:lang w:eastAsia="es-CO"/>
        </w:rPr>
        <w:t>mejoramiento,</w:t>
      </w:r>
      <w:proofErr w:type="gramEnd"/>
      <w:r w:rsidRPr="009342F9">
        <w:rPr>
          <w:rFonts w:ascii="Arial" w:eastAsia="Times New Roman" w:hAnsi="Arial" w:cs="Arial"/>
          <w:color w:val="000000"/>
          <w:lang w:eastAsia="es-CO"/>
        </w:rPr>
        <w:t xml:space="preserve"> se desarrolla con la participación de todos los afiliados, administrativa, técnica y financieramente. Estos sistemas pueden configurarse bajo las modalidades de autoconstrucción o construcción delegada.  </w:t>
      </w:r>
    </w:p>
    <w:p w14:paraId="6A23158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EFE87E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2.15. Procesos de Acompañamiento Social. Es el conjunto de mecanismos que promueven la inclusión social y la vinculación efectiva de los beneficiarios del Subsidio Familiar de Vivienda con los procesos necesarios para la provisión de soluciones de vivienda. Este componente permite la generación de sentido de pertenencia, participación ciudadana y contribuye a la consolidación de la cohesión social. En la etapa de postulación los procesos de acompañamiento social pueden estar asociados al conocimiento de las necesidades de los potenciales beneficiarios, y la realización de acciones de educación e inclusión financiera y la promoción de mecanismos para facilitar el cierre financiero por parte de los hogares.  </w:t>
      </w:r>
    </w:p>
    <w:p w14:paraId="65B0A64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4E7A0D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Para efectos del Programa de Vivienda de Interés Prioritario para Ahorradores, al que hace referencia la sección 2.1.1.3.1 del presente decreto, o las normas que lo modifiquen, adicionen o sustituyan, también será hogar objeto del Subsidio Familiar de Vivienda el que se encuentre conformado por una persona, o por menores de edad cuando ambos padres hayan fallecido, estén desaparecidos, privados de la libertad o hayan sido privados de la patria potestad; en estos últimos eventos, la postulación se realizará a través del tutor y/o curador en acompañamiento del defensor de familia, cuando sea del caso”.  </w:t>
      </w:r>
    </w:p>
    <w:p w14:paraId="31F9D980" w14:textId="7A5C512C"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FD42CC0"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20" w:name="ver_30069024"/>
      <w:bookmarkEnd w:id="18"/>
      <w:bookmarkEnd w:id="19"/>
      <w:bookmarkEnd w:id="20"/>
      <w:r w:rsidRPr="009342F9">
        <w:rPr>
          <w:rFonts w:ascii="Arial" w:eastAsia="Times New Roman" w:hAnsi="Arial" w:cs="Arial"/>
          <w:color w:val="000000"/>
          <w:lang w:eastAsia="es-CO"/>
        </w:rPr>
        <w:t>Artículo 2.1.1.1.1.1.3. Cobertura. El Subsidio Familiar de Vivienda de Interés Social de que trata esta sección tiene cobertura nacional y se aplica en todas las zonas definidas como suelo urbano en los Planes de Ordenamiento Territorial. </w:t>
      </w:r>
    </w:p>
    <w:p w14:paraId="7341B02D"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21" w:name="ver_30200370"/>
      <w:bookmarkStart w:id="22" w:name="ver_30069025"/>
      <w:bookmarkEnd w:id="21"/>
    </w:p>
    <w:p w14:paraId="3A10B65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2.1.1.1.1.1.4. Postulantes. Son los hogares que carecen de recursos suficientes para adquirir, construir o mejorar una única solución de vivienda de interés social, cuyos ingresos totales mensuales no sean superiores al equivalente a cuatro (4) salarios mínimos legales mensuales vigentes, que cumplan con los requisitos que señalan las leyes vigentes y la presente sección. Para los beneficiarios del subsidio en la modalidad de arrendamiento o arrendamiento </w:t>
      </w:r>
      <w:r w:rsidRPr="009342F9">
        <w:rPr>
          <w:rFonts w:ascii="Arial" w:eastAsia="Times New Roman" w:hAnsi="Arial" w:cs="Arial"/>
          <w:color w:val="000000"/>
          <w:lang w:eastAsia="es-CO"/>
        </w:rPr>
        <w:lastRenderedPageBreak/>
        <w:t>con opción de compra los ingresos totales mensuales no pueden ser superiores al equivalente a dos (2) salarios mínimos legales mensuales vigentes.  </w:t>
      </w:r>
    </w:p>
    <w:p w14:paraId="2E301B8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69C971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Las personas que formen parte de hogares beneficiarios del subsidio podrán postular nuevamente a este, cuando en el futuro conformen un nuevo hogar, siempre y cuando cumplan con las condiciones exigidas para ello. Para el efecto, el Ministerio de Vivienda, Ciudad y Territorio establecerá las condiciones y requisitos para acreditar tal situación.  </w:t>
      </w:r>
    </w:p>
    <w:p w14:paraId="405CCB5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2F1596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1°. Cuando se produzca la disolución de la sociedad conyugal o de la unión marital de hecho, podrá ser parte de un nuevo hogar postulante el cónyuge que no viva en la solución habitacional en donde se aplicó el subsidio, siempre y cuando a este no se le hayan adjudicado los derechos de propiedad sobre la solución habitacional subsidiada.  </w:t>
      </w:r>
    </w:p>
    <w:p w14:paraId="3FFF1F2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95BF6F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2°. Las personas que soliciten el Subsidio Familiar de Vivienda de Interés Social y que una vez verificada la información presentada no cumplan con los requisitos establecidos en la presente sección, no se considerarán como postulantes.  </w:t>
      </w:r>
    </w:p>
    <w:p w14:paraId="181F022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8A18AF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3°. Los hogares deberán mantener las condiciones y requisitos para el acceso al subsidio familiar de vivienda desde la postulación hasta su asignación y desembolso. Surtida la postulación y hasta la asignación del subsidio no podrá modificarse la conformación del hogar.  </w:t>
      </w:r>
    </w:p>
    <w:p w14:paraId="685E3EC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29AAED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4°. Cuando el hogar esté conformado por miembros mayores y menores de edad y los primeros fallezcan antes del giro o de la legalización del subsidio familiar de vivienda otorgado, podrán suscribirse los actos jurídicos de aplicación del subsidio por el defensor de familia en representación de los menores beneficiarios del subsidio, quien deberá velar por los intereses de estos mientras el juez determina en cabeza de quien estará la curaduría y guarda de los mismos”.  </w:t>
      </w:r>
    </w:p>
    <w:p w14:paraId="4EB640B3" w14:textId="633BFC33"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3" w:name="ver_30069026"/>
      <w:bookmarkEnd w:id="22"/>
      <w:bookmarkEnd w:id="23"/>
    </w:p>
    <w:p w14:paraId="40DCFDB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2.1.1.1.1.1.5. Entidades otorgantes del subsidio familiar de vivienda de interés social y recursos. Las entidades otorgantes del subsidio familiar de vivienda de que trata esta sección serán el Fondo Nacional de Vivienda con cargo a los recursos definidos en el Decreto-ley 555 de 2003, o la entidad que haga sus veces y las Cajas de Compensación Familiar con las contribuciones parafiscales administradas por estas, todo ello de conformidad con lo establecido en las normas vigentes aplicables a la materia. </w:t>
      </w:r>
    </w:p>
    <w:p w14:paraId="78FE953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9AF7E9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De conformidad con lo dispuesto por el inciso 2° del artículo 91 de la Ley 388 de 1997, los recursos que destine el Gobierno Nacional para la asignación de los subsidios de vivienda de interés social que se canalizan por conducto del Fondo Nacional de Vivienda se dirigirán prioritariamente a atender las postulaciones de la población con menos recursos, dentro de la cual se encuentran las personas no vinculadas al sistema formal de trabajo. </w:t>
      </w:r>
    </w:p>
    <w:p w14:paraId="3C97C9B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6220BB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Las personas afiliadas al sistema formal de trabajo serán atendidas en forma prioritaria por las Cajas de Compensación Familiar, de conformidad con lo establecido en el artículo 68 de la Ley 49 de 1990, los artículos 63 y 67 de la Ley 633 de 2000 y el artículo 4° de la Ley 1114 de 2006. </w:t>
      </w:r>
    </w:p>
    <w:p w14:paraId="0327E84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D060D1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En las ciudades y/o departamentos en donde las Cajas de Compensación Familiar no tengan la obligación de constituir Fondos para Vivienda de Interés Social, </w:t>
      </w:r>
      <w:proofErr w:type="spellStart"/>
      <w:r w:rsidRPr="009342F9">
        <w:rPr>
          <w:rFonts w:ascii="Arial" w:eastAsia="Times New Roman" w:hAnsi="Arial" w:cs="Arial"/>
          <w:color w:val="000000"/>
          <w:lang w:eastAsia="es-CO"/>
        </w:rPr>
        <w:t>Fovis</w:t>
      </w:r>
      <w:proofErr w:type="spellEnd"/>
      <w:r w:rsidRPr="009342F9">
        <w:rPr>
          <w:rFonts w:ascii="Arial" w:eastAsia="Times New Roman" w:hAnsi="Arial" w:cs="Arial"/>
          <w:color w:val="000000"/>
          <w:lang w:eastAsia="es-CO"/>
        </w:rPr>
        <w:t xml:space="preserve">, o cuando el </w:t>
      </w:r>
      <w:proofErr w:type="spellStart"/>
      <w:r w:rsidRPr="009342F9">
        <w:rPr>
          <w:rFonts w:ascii="Arial" w:eastAsia="Times New Roman" w:hAnsi="Arial" w:cs="Arial"/>
          <w:color w:val="000000"/>
          <w:lang w:eastAsia="es-CO"/>
        </w:rPr>
        <w:t>cuociente</w:t>
      </w:r>
      <w:proofErr w:type="spellEnd"/>
      <w:r w:rsidRPr="009342F9">
        <w:rPr>
          <w:rFonts w:ascii="Arial" w:eastAsia="Times New Roman" w:hAnsi="Arial" w:cs="Arial"/>
          <w:color w:val="000000"/>
          <w:lang w:eastAsia="es-CO"/>
        </w:rPr>
        <w:t xml:space="preserve"> de recaudo sea menor o igual al ochenta por ciento (80%), el Fondo Nacional de Vivienda deberá aceptar y tramitar las solicitudes de Subsidio Familiar de Vivienda, para los afiliados a tales Cajas de Compensación Familiar con ingresos familiares hasta de dos (2) salarios mínimos mensuales legales. Los solicitantes de subsidio familiar de vivienda ante el Fondo Nacional de Vivienda </w:t>
      </w:r>
      <w:r w:rsidRPr="009342F9">
        <w:rPr>
          <w:rFonts w:ascii="Arial" w:eastAsia="Times New Roman" w:hAnsi="Arial" w:cs="Arial"/>
          <w:color w:val="000000"/>
          <w:lang w:eastAsia="es-CO"/>
        </w:rPr>
        <w:lastRenderedPageBreak/>
        <w:t>deberán acreditar en la respectiva postulación que la condición anteriormente mencionada es predicable de la Caja de Compensación Familiar del caso, mediante certificación emitida por la misma. </w:t>
      </w:r>
    </w:p>
    <w:p w14:paraId="5C30C80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677A15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Con sujeción a las condiciones establecidas en la presente sección, las Cajas de Compensación Familiar operarán de manera autónoma con respecto a sus beneficiarios y serán los responsables del montaje y operación de los procesos de postulación, calificación, asignación y pago de los subsidios. Así mismo, serán responsables de suministrar la información relativa a sus postulantes al Sistema de Información de Subsidios. </w:t>
      </w:r>
    </w:p>
    <w:p w14:paraId="1D777EEC"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24" w:name="ver_30069027"/>
      <w:bookmarkEnd w:id="24"/>
      <w:r w:rsidRPr="009342F9">
        <w:rPr>
          <w:rFonts w:ascii="Arial" w:eastAsia="Times New Roman" w:hAnsi="Arial" w:cs="Arial"/>
          <w:color w:val="000000"/>
          <w:lang w:eastAsia="es-CO"/>
        </w:rPr>
        <w:t>  </w:t>
      </w:r>
    </w:p>
    <w:p w14:paraId="0C4CE85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2.1.1.1.1.1.6. Clasificación de los municipios y distritos. Para efectos de lo establecido en la presente sección, los distritos y municipios se clasifican conforme a lo dispuesto en el artículo 2° de la Ley 617 de 2000 que contempla criterios de distribución poblacional e ingresos corrientes de libre destinación. Dicha clasificación comprende una categorización de los municipios bajo las siguientes denominaciones: </w:t>
      </w:r>
    </w:p>
    <w:p w14:paraId="7D7B46A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D531D3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 Categoría Especial; </w:t>
      </w:r>
    </w:p>
    <w:p w14:paraId="78955E3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54D231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b) Categoría Uno; </w:t>
      </w:r>
    </w:p>
    <w:p w14:paraId="4B48674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3AFBA0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 Categoría Dos; </w:t>
      </w:r>
    </w:p>
    <w:p w14:paraId="7781970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18CEA7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d) Categoría Tres; </w:t>
      </w:r>
    </w:p>
    <w:p w14:paraId="560BFD7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508CD4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 Categoría Cuatro; </w:t>
      </w:r>
    </w:p>
    <w:p w14:paraId="5DB8C67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4A34FC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f) Categoría Cinco; </w:t>
      </w:r>
    </w:p>
    <w:p w14:paraId="583838C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FE6AF3C" w14:textId="03954D5B" w:rsidR="00FC79C1" w:rsidRPr="009342F9" w:rsidRDefault="00FC79C1" w:rsidP="00FC79C1">
      <w:pPr>
        <w:spacing w:after="0" w:line="240" w:lineRule="auto"/>
        <w:jc w:val="both"/>
        <w:rPr>
          <w:rFonts w:ascii="Arial" w:eastAsia="Times New Roman" w:hAnsi="Arial" w:cs="Arial"/>
          <w:color w:val="000000"/>
          <w:lang w:eastAsia="es-CO"/>
        </w:rPr>
      </w:pPr>
      <w:r w:rsidRPr="3DD719FF">
        <w:rPr>
          <w:rFonts w:ascii="Arial" w:eastAsia="Times New Roman" w:hAnsi="Arial" w:cs="Arial"/>
          <w:color w:val="000000" w:themeColor="text1"/>
          <w:lang w:eastAsia="es-CO"/>
        </w:rPr>
        <w:t>g) Categoría Seis. </w:t>
      </w:r>
    </w:p>
    <w:p w14:paraId="3834CA67" w14:textId="07566D55"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5" w:name="ver_30200371"/>
      <w:bookmarkStart w:id="26" w:name="ver_30069028"/>
      <w:bookmarkEnd w:id="25"/>
    </w:p>
    <w:p w14:paraId="5C45994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2.1.1.1.1.1.</w:t>
      </w:r>
      <w:proofErr w:type="gramStart"/>
      <w:r w:rsidRPr="009342F9">
        <w:rPr>
          <w:rFonts w:ascii="Arial" w:eastAsia="Times New Roman" w:hAnsi="Arial" w:cs="Arial"/>
          <w:color w:val="000000"/>
          <w:lang w:eastAsia="es-CO"/>
        </w:rPr>
        <w:t>7.Destinación</w:t>
      </w:r>
      <w:proofErr w:type="gramEnd"/>
      <w:r w:rsidRPr="009342F9">
        <w:rPr>
          <w:rFonts w:ascii="Arial" w:eastAsia="Times New Roman" w:hAnsi="Arial" w:cs="Arial"/>
          <w:color w:val="000000"/>
          <w:lang w:eastAsia="es-CO"/>
        </w:rPr>
        <w:t xml:space="preserve"> del subsidio familiar de vivienda y valor de las viviendas a las cuales puede aplicarse. El Subsidio Familiar de Vivienda que se otorgue con cargo a los recursos del Presupuesto Nacional, aplicará para la adquisición de una vivienda nueva o usada, o para la construcción en sitio propio, mejoramiento de vivienda, o arrendamiento y arrendamiento con opción de compra, de viviendas de Interés Social y de Interés Prioritario conforme a su definición en la presente sección.  </w:t>
      </w:r>
    </w:p>
    <w:p w14:paraId="75160AB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9A4F03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El subsidio familiar de vivienda otorgado por las Cajas de Compensación Familiar con cargo a los recursos por estas administrados, aplicará para la adquisición de una vivienda nueva, la construcción en sitio propio, el mejoramiento de vivienda, el arrendamiento y arrendamiento con opción de compra, de viviendas de Interés Social y de Interés Prioritario, y excepcionalmente para adquisición de vivienda usada de acuerdo con lo estipulado en los artículos 2.1.1.1.2.1.9; 2.1.1.1.4.3; 2.1.1.1.5.4; 2.1.1.1.7.3 y 2.1.1.1.8.2.2 del presente decreto.  </w:t>
      </w:r>
    </w:p>
    <w:p w14:paraId="77A0EFA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416F34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1°. El valor de la vivienda nueva será el estipulado en el avalúo comercial que se realice conforme a la normatividad vigente, el cual debe ser aportado por el hogar o realizarse durante el proceso de aprobación del mecanismo de financiación adicional escogido por el hogar, y se presumirá que el mismo incluye tanto el valor de los bienes muebles e inmuebles que presten usos y servicios complementarios o conexos a los mismos tales como parqueaderos, depósitos, buhardillas, terrazas, antejardines o patios, como el correspondiente a contratos de mejoras o acabados suscritos con el oferente o con terceros.  </w:t>
      </w:r>
    </w:p>
    <w:p w14:paraId="2F7F85F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w:t>
      </w:r>
    </w:p>
    <w:p w14:paraId="4A4438B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2°. Para los casos de mejoramiento de vivienda y construcción en sitio propio, se tendrá como valor de la vivienda el que arroje el presupuesto de obra con el correspondiente costo financiero, adicionado, en el caso de construcción en sitio propio, con el valor del terreno o lote, valorado de acuerdo con el respectivo avalúo catastral, para arrendamiento y arrendamiento con opción de compra se tendrá como valor de la vivienda el que se determine en el avalúo comercial que aporte el arrendador del inmueble.  </w:t>
      </w:r>
    </w:p>
    <w:p w14:paraId="36409D5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7E1232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3°. Los subsidios familiares de vivienda otorgados por el Fondo Nacional de Vivienda en la modalidad de adquisición de vivienda nueva, con cargo a los recursos de la Bolsa Ordinaria, que al 12 de junio de 2009 se encuentren vigentes y no cobrados y no estén vinculados a procesos de compraventa de inmuebles a través de la correspondiente promesa de compraventa, podrán ser aplicados dentro de su vigencia para la adquisición de vivienda usada, en el tipo de vivienda al cual se postuló en el respectivo departamento” </w:t>
      </w:r>
    </w:p>
    <w:p w14:paraId="51515C3F"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27" w:name="ver_30200372"/>
      <w:bookmarkStart w:id="28" w:name="ver_30109513"/>
      <w:bookmarkStart w:id="29" w:name="ver_30109515"/>
      <w:bookmarkStart w:id="30" w:name="ver_30189945"/>
      <w:bookmarkStart w:id="31" w:name="ver_30167151"/>
      <w:bookmarkEnd w:id="26"/>
      <w:bookmarkEnd w:id="27"/>
    </w:p>
    <w:p w14:paraId="394CB02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2.1.1.1.1.1.</w:t>
      </w:r>
      <w:proofErr w:type="gramStart"/>
      <w:r w:rsidRPr="009342F9">
        <w:rPr>
          <w:rFonts w:ascii="Arial" w:eastAsia="Times New Roman" w:hAnsi="Arial" w:cs="Arial"/>
          <w:color w:val="000000"/>
          <w:lang w:eastAsia="es-CO"/>
        </w:rPr>
        <w:t>8.Valor</w:t>
      </w:r>
      <w:proofErr w:type="gramEnd"/>
      <w:r w:rsidRPr="009342F9">
        <w:rPr>
          <w:rFonts w:ascii="Arial" w:eastAsia="Times New Roman" w:hAnsi="Arial" w:cs="Arial"/>
          <w:color w:val="000000"/>
          <w:lang w:eastAsia="es-CO"/>
        </w:rPr>
        <w:t xml:space="preserve"> del Subsidio Familiar de Vivienda Urbano. El monto del Subsidio Familiar de Vivienda Urbana se determinará de la siguiente manera:  </w:t>
      </w:r>
    </w:p>
    <w:p w14:paraId="4E0DDA9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488F08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El monto del Subsidio Familiar de Vivienda que otorgue el Fondo Nacional de Vivienda (Fonvivienda), con cargo a los recursos del Presupuesto Nacional, se determinará teniendo en cuenta el puntaje Sisbén vigente del respectivo jefe del hogar postulante, y la modalidad de asignación del subsidio familiar de vivienda, así:  </w:t>
      </w:r>
    </w:p>
    <w:p w14:paraId="14808B6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2704A1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 Adquisición de vivienda nueva o usada: El valor corresponderá, como máximo, al que se indica en salarios mínimos mensuales legales vigentes en la siguiente tabla:  </w:t>
      </w:r>
    </w:p>
    <w:p w14:paraId="7047F2D1" w14:textId="61E9E61F"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tbl>
      <w:tblPr>
        <w:tblW w:w="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30"/>
        <w:gridCol w:w="1290"/>
        <w:gridCol w:w="1275"/>
        <w:gridCol w:w="1275"/>
        <w:gridCol w:w="4110"/>
      </w:tblGrid>
      <w:tr w:rsidR="00FC79C1" w:rsidRPr="009342F9" w14:paraId="29563296" w14:textId="77777777" w:rsidTr="00FC79C1">
        <w:trPr>
          <w:trHeight w:val="105"/>
          <w:tblCellSpacing w:w="0" w:type="dxa"/>
        </w:trPr>
        <w:tc>
          <w:tcPr>
            <w:tcW w:w="2520" w:type="dxa"/>
            <w:gridSpan w:val="2"/>
            <w:tcBorders>
              <w:top w:val="outset" w:sz="6" w:space="0" w:color="auto"/>
              <w:left w:val="outset" w:sz="6" w:space="0" w:color="auto"/>
              <w:bottom w:val="outset" w:sz="6" w:space="0" w:color="auto"/>
              <w:right w:val="outset" w:sz="6" w:space="0" w:color="auto"/>
            </w:tcBorders>
            <w:vAlign w:val="center"/>
            <w:hideMark/>
          </w:tcPr>
          <w:p w14:paraId="133B1F6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Puntaje Sisbén Urbano </w:t>
            </w:r>
          </w:p>
        </w:tc>
        <w:tc>
          <w:tcPr>
            <w:tcW w:w="2550" w:type="dxa"/>
            <w:gridSpan w:val="2"/>
            <w:tcBorders>
              <w:top w:val="outset" w:sz="6" w:space="0" w:color="auto"/>
              <w:left w:val="outset" w:sz="6" w:space="0" w:color="auto"/>
              <w:bottom w:val="outset" w:sz="6" w:space="0" w:color="auto"/>
              <w:right w:val="outset" w:sz="6" w:space="0" w:color="auto"/>
            </w:tcBorders>
            <w:vAlign w:val="center"/>
            <w:hideMark/>
          </w:tcPr>
          <w:p w14:paraId="5E31A13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Puntaje Sisbén Rural </w:t>
            </w:r>
          </w:p>
        </w:tc>
        <w:tc>
          <w:tcPr>
            <w:tcW w:w="4110" w:type="dxa"/>
            <w:vMerge w:val="restart"/>
            <w:tcBorders>
              <w:top w:val="outset" w:sz="6" w:space="0" w:color="auto"/>
              <w:left w:val="outset" w:sz="6" w:space="0" w:color="auto"/>
              <w:bottom w:val="outset" w:sz="6" w:space="0" w:color="auto"/>
              <w:right w:val="outset" w:sz="6" w:space="0" w:color="auto"/>
            </w:tcBorders>
            <w:vAlign w:val="center"/>
            <w:hideMark/>
          </w:tcPr>
          <w:p w14:paraId="3101B3A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Valor del subsidio en salarios mínimos legales mensuales vigentes </w:t>
            </w:r>
          </w:p>
        </w:tc>
      </w:tr>
      <w:tr w:rsidR="00FC79C1" w:rsidRPr="009342F9" w14:paraId="225EAEE9" w14:textId="77777777" w:rsidTr="00FC79C1">
        <w:trPr>
          <w:trHeight w:val="105"/>
          <w:tblCellSpacing w:w="0" w:type="dxa"/>
        </w:trPr>
        <w:tc>
          <w:tcPr>
            <w:tcW w:w="1230" w:type="dxa"/>
            <w:tcBorders>
              <w:top w:val="outset" w:sz="6" w:space="0" w:color="auto"/>
              <w:left w:val="outset" w:sz="6" w:space="0" w:color="auto"/>
              <w:bottom w:val="outset" w:sz="6" w:space="0" w:color="auto"/>
              <w:right w:val="outset" w:sz="6" w:space="0" w:color="auto"/>
            </w:tcBorders>
            <w:vAlign w:val="center"/>
            <w:hideMark/>
          </w:tcPr>
          <w:p w14:paraId="6ADF765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Desde </w:t>
            </w:r>
          </w:p>
        </w:tc>
        <w:tc>
          <w:tcPr>
            <w:tcW w:w="1275" w:type="dxa"/>
            <w:tcBorders>
              <w:top w:val="outset" w:sz="6" w:space="0" w:color="auto"/>
              <w:left w:val="outset" w:sz="6" w:space="0" w:color="auto"/>
              <w:bottom w:val="outset" w:sz="6" w:space="0" w:color="auto"/>
              <w:right w:val="outset" w:sz="6" w:space="0" w:color="auto"/>
            </w:tcBorders>
            <w:vAlign w:val="center"/>
            <w:hideMark/>
          </w:tcPr>
          <w:p w14:paraId="19CAC26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Hasta </w:t>
            </w:r>
          </w:p>
        </w:tc>
        <w:tc>
          <w:tcPr>
            <w:tcW w:w="1275" w:type="dxa"/>
            <w:tcBorders>
              <w:top w:val="outset" w:sz="6" w:space="0" w:color="auto"/>
              <w:left w:val="outset" w:sz="6" w:space="0" w:color="auto"/>
              <w:bottom w:val="outset" w:sz="6" w:space="0" w:color="auto"/>
              <w:right w:val="outset" w:sz="6" w:space="0" w:color="auto"/>
            </w:tcBorders>
            <w:vAlign w:val="center"/>
            <w:hideMark/>
          </w:tcPr>
          <w:p w14:paraId="12903C6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Desde </w:t>
            </w:r>
          </w:p>
        </w:tc>
        <w:tc>
          <w:tcPr>
            <w:tcW w:w="1275" w:type="dxa"/>
            <w:tcBorders>
              <w:top w:val="outset" w:sz="6" w:space="0" w:color="auto"/>
              <w:left w:val="outset" w:sz="6" w:space="0" w:color="auto"/>
              <w:bottom w:val="outset" w:sz="6" w:space="0" w:color="auto"/>
              <w:right w:val="outset" w:sz="6" w:space="0" w:color="auto"/>
            </w:tcBorders>
            <w:vAlign w:val="center"/>
            <w:hideMark/>
          </w:tcPr>
          <w:p w14:paraId="4269756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Hasta </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2CB0A80" w14:textId="77777777" w:rsidR="00FC79C1" w:rsidRPr="009342F9" w:rsidRDefault="00FC79C1" w:rsidP="00FC79C1">
            <w:pPr>
              <w:spacing w:after="0" w:line="240" w:lineRule="auto"/>
              <w:jc w:val="both"/>
              <w:rPr>
                <w:rFonts w:ascii="Arial" w:eastAsia="Times New Roman" w:hAnsi="Arial" w:cs="Arial"/>
                <w:color w:val="000000"/>
                <w:lang w:eastAsia="es-CO"/>
              </w:rPr>
            </w:pPr>
          </w:p>
        </w:tc>
      </w:tr>
      <w:tr w:rsidR="00FC79C1" w:rsidRPr="009342F9" w14:paraId="189D243E" w14:textId="77777777" w:rsidTr="00FC79C1">
        <w:trPr>
          <w:trHeight w:val="105"/>
          <w:tblCellSpacing w:w="0" w:type="dxa"/>
        </w:trPr>
        <w:tc>
          <w:tcPr>
            <w:tcW w:w="1230" w:type="dxa"/>
            <w:tcBorders>
              <w:top w:val="outset" w:sz="6" w:space="0" w:color="auto"/>
              <w:left w:val="outset" w:sz="6" w:space="0" w:color="auto"/>
              <w:bottom w:val="outset" w:sz="6" w:space="0" w:color="auto"/>
              <w:right w:val="outset" w:sz="6" w:space="0" w:color="auto"/>
            </w:tcBorders>
            <w:vAlign w:val="center"/>
            <w:hideMark/>
          </w:tcPr>
          <w:p w14:paraId="2568F56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0  </w:t>
            </w:r>
          </w:p>
        </w:tc>
        <w:tc>
          <w:tcPr>
            <w:tcW w:w="1275" w:type="dxa"/>
            <w:tcBorders>
              <w:top w:val="outset" w:sz="6" w:space="0" w:color="auto"/>
              <w:left w:val="outset" w:sz="6" w:space="0" w:color="auto"/>
              <w:bottom w:val="outset" w:sz="6" w:space="0" w:color="auto"/>
              <w:right w:val="outset" w:sz="6" w:space="0" w:color="auto"/>
            </w:tcBorders>
            <w:vAlign w:val="center"/>
            <w:hideMark/>
          </w:tcPr>
          <w:p w14:paraId="469AC18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10,88  </w:t>
            </w:r>
          </w:p>
        </w:tc>
        <w:tc>
          <w:tcPr>
            <w:tcW w:w="1275" w:type="dxa"/>
            <w:tcBorders>
              <w:top w:val="outset" w:sz="6" w:space="0" w:color="auto"/>
              <w:left w:val="outset" w:sz="6" w:space="0" w:color="auto"/>
              <w:bottom w:val="outset" w:sz="6" w:space="0" w:color="auto"/>
              <w:right w:val="outset" w:sz="6" w:space="0" w:color="auto"/>
            </w:tcBorders>
            <w:vAlign w:val="center"/>
            <w:hideMark/>
          </w:tcPr>
          <w:p w14:paraId="39FEA3A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0  </w:t>
            </w:r>
          </w:p>
        </w:tc>
        <w:tc>
          <w:tcPr>
            <w:tcW w:w="1275" w:type="dxa"/>
            <w:tcBorders>
              <w:top w:val="outset" w:sz="6" w:space="0" w:color="auto"/>
              <w:left w:val="outset" w:sz="6" w:space="0" w:color="auto"/>
              <w:bottom w:val="outset" w:sz="6" w:space="0" w:color="auto"/>
              <w:right w:val="outset" w:sz="6" w:space="0" w:color="auto"/>
            </w:tcBorders>
            <w:vAlign w:val="center"/>
            <w:hideMark/>
          </w:tcPr>
          <w:p w14:paraId="78D9B23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17,9  </w:t>
            </w:r>
          </w:p>
        </w:tc>
        <w:tc>
          <w:tcPr>
            <w:tcW w:w="4110" w:type="dxa"/>
            <w:tcBorders>
              <w:top w:val="outset" w:sz="6" w:space="0" w:color="auto"/>
              <w:left w:val="outset" w:sz="6" w:space="0" w:color="auto"/>
              <w:bottom w:val="outset" w:sz="6" w:space="0" w:color="auto"/>
              <w:right w:val="outset" w:sz="6" w:space="0" w:color="auto"/>
            </w:tcBorders>
            <w:vAlign w:val="center"/>
            <w:hideMark/>
          </w:tcPr>
          <w:p w14:paraId="52977CD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22  </w:t>
            </w:r>
          </w:p>
        </w:tc>
      </w:tr>
      <w:tr w:rsidR="00FC79C1" w:rsidRPr="009342F9" w14:paraId="0508A1DB" w14:textId="77777777" w:rsidTr="00FC79C1">
        <w:trPr>
          <w:trHeight w:val="105"/>
          <w:tblCellSpacing w:w="0" w:type="dxa"/>
        </w:trPr>
        <w:tc>
          <w:tcPr>
            <w:tcW w:w="1230" w:type="dxa"/>
            <w:tcBorders>
              <w:top w:val="outset" w:sz="6" w:space="0" w:color="auto"/>
              <w:left w:val="outset" w:sz="6" w:space="0" w:color="auto"/>
              <w:bottom w:val="outset" w:sz="6" w:space="0" w:color="auto"/>
              <w:right w:val="outset" w:sz="6" w:space="0" w:color="auto"/>
            </w:tcBorders>
            <w:vAlign w:val="center"/>
            <w:hideMark/>
          </w:tcPr>
          <w:p w14:paraId="5F8413B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&gt; 10,88  </w:t>
            </w:r>
          </w:p>
        </w:tc>
        <w:tc>
          <w:tcPr>
            <w:tcW w:w="1275" w:type="dxa"/>
            <w:tcBorders>
              <w:top w:val="outset" w:sz="6" w:space="0" w:color="auto"/>
              <w:left w:val="outset" w:sz="6" w:space="0" w:color="auto"/>
              <w:bottom w:val="outset" w:sz="6" w:space="0" w:color="auto"/>
              <w:right w:val="outset" w:sz="6" w:space="0" w:color="auto"/>
            </w:tcBorders>
            <w:vAlign w:val="center"/>
            <w:hideMark/>
          </w:tcPr>
          <w:p w14:paraId="68F578B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14,81  </w:t>
            </w:r>
          </w:p>
        </w:tc>
        <w:tc>
          <w:tcPr>
            <w:tcW w:w="1275" w:type="dxa"/>
            <w:tcBorders>
              <w:top w:val="outset" w:sz="6" w:space="0" w:color="auto"/>
              <w:left w:val="outset" w:sz="6" w:space="0" w:color="auto"/>
              <w:bottom w:val="outset" w:sz="6" w:space="0" w:color="auto"/>
              <w:right w:val="outset" w:sz="6" w:space="0" w:color="auto"/>
            </w:tcBorders>
            <w:vAlign w:val="center"/>
            <w:hideMark/>
          </w:tcPr>
          <w:p w14:paraId="2C24325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&gt; 17,9  </w:t>
            </w:r>
          </w:p>
        </w:tc>
        <w:tc>
          <w:tcPr>
            <w:tcW w:w="1275" w:type="dxa"/>
            <w:tcBorders>
              <w:top w:val="outset" w:sz="6" w:space="0" w:color="auto"/>
              <w:left w:val="outset" w:sz="6" w:space="0" w:color="auto"/>
              <w:bottom w:val="outset" w:sz="6" w:space="0" w:color="auto"/>
              <w:right w:val="outset" w:sz="6" w:space="0" w:color="auto"/>
            </w:tcBorders>
            <w:vAlign w:val="center"/>
            <w:hideMark/>
          </w:tcPr>
          <w:p w14:paraId="03ACCA4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25,4  </w:t>
            </w:r>
          </w:p>
        </w:tc>
        <w:tc>
          <w:tcPr>
            <w:tcW w:w="4110" w:type="dxa"/>
            <w:tcBorders>
              <w:top w:val="outset" w:sz="6" w:space="0" w:color="auto"/>
              <w:left w:val="outset" w:sz="6" w:space="0" w:color="auto"/>
              <w:bottom w:val="outset" w:sz="6" w:space="0" w:color="auto"/>
              <w:right w:val="outset" w:sz="6" w:space="0" w:color="auto"/>
            </w:tcBorders>
            <w:vAlign w:val="center"/>
            <w:hideMark/>
          </w:tcPr>
          <w:p w14:paraId="16D85A3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21,5  </w:t>
            </w:r>
          </w:p>
        </w:tc>
      </w:tr>
      <w:tr w:rsidR="00FC79C1" w:rsidRPr="009342F9" w14:paraId="35AF7BA6" w14:textId="77777777" w:rsidTr="00FC79C1">
        <w:trPr>
          <w:trHeight w:val="105"/>
          <w:tblCellSpacing w:w="0" w:type="dxa"/>
        </w:trPr>
        <w:tc>
          <w:tcPr>
            <w:tcW w:w="1230" w:type="dxa"/>
            <w:tcBorders>
              <w:top w:val="outset" w:sz="6" w:space="0" w:color="auto"/>
              <w:left w:val="outset" w:sz="6" w:space="0" w:color="auto"/>
              <w:bottom w:val="outset" w:sz="6" w:space="0" w:color="auto"/>
              <w:right w:val="outset" w:sz="6" w:space="0" w:color="auto"/>
            </w:tcBorders>
            <w:vAlign w:val="center"/>
            <w:hideMark/>
          </w:tcPr>
          <w:p w14:paraId="37360DC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&gt; 14,81  </w:t>
            </w:r>
          </w:p>
        </w:tc>
        <w:tc>
          <w:tcPr>
            <w:tcW w:w="1275" w:type="dxa"/>
            <w:tcBorders>
              <w:top w:val="outset" w:sz="6" w:space="0" w:color="auto"/>
              <w:left w:val="outset" w:sz="6" w:space="0" w:color="auto"/>
              <w:bottom w:val="outset" w:sz="6" w:space="0" w:color="auto"/>
              <w:right w:val="outset" w:sz="6" w:space="0" w:color="auto"/>
            </w:tcBorders>
            <w:vAlign w:val="center"/>
            <w:hideMark/>
          </w:tcPr>
          <w:p w14:paraId="2FBC30A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18,75  </w:t>
            </w:r>
          </w:p>
        </w:tc>
        <w:tc>
          <w:tcPr>
            <w:tcW w:w="1275" w:type="dxa"/>
            <w:tcBorders>
              <w:top w:val="outset" w:sz="6" w:space="0" w:color="auto"/>
              <w:left w:val="outset" w:sz="6" w:space="0" w:color="auto"/>
              <w:bottom w:val="outset" w:sz="6" w:space="0" w:color="auto"/>
              <w:right w:val="outset" w:sz="6" w:space="0" w:color="auto"/>
            </w:tcBorders>
            <w:vAlign w:val="center"/>
            <w:hideMark/>
          </w:tcPr>
          <w:p w14:paraId="61A2BBC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&gt;25,4  </w:t>
            </w:r>
          </w:p>
        </w:tc>
        <w:tc>
          <w:tcPr>
            <w:tcW w:w="1275" w:type="dxa"/>
            <w:tcBorders>
              <w:top w:val="outset" w:sz="6" w:space="0" w:color="auto"/>
              <w:left w:val="outset" w:sz="6" w:space="0" w:color="auto"/>
              <w:bottom w:val="outset" w:sz="6" w:space="0" w:color="auto"/>
              <w:right w:val="outset" w:sz="6" w:space="0" w:color="auto"/>
            </w:tcBorders>
            <w:vAlign w:val="center"/>
            <w:hideMark/>
          </w:tcPr>
          <w:p w14:paraId="3B0A7D9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30,6  </w:t>
            </w:r>
          </w:p>
        </w:tc>
        <w:tc>
          <w:tcPr>
            <w:tcW w:w="4110" w:type="dxa"/>
            <w:tcBorders>
              <w:top w:val="outset" w:sz="6" w:space="0" w:color="auto"/>
              <w:left w:val="outset" w:sz="6" w:space="0" w:color="auto"/>
              <w:bottom w:val="outset" w:sz="6" w:space="0" w:color="auto"/>
              <w:right w:val="outset" w:sz="6" w:space="0" w:color="auto"/>
            </w:tcBorders>
            <w:vAlign w:val="center"/>
            <w:hideMark/>
          </w:tcPr>
          <w:p w14:paraId="1C81ABF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21  </w:t>
            </w:r>
          </w:p>
        </w:tc>
      </w:tr>
      <w:tr w:rsidR="00FC79C1" w:rsidRPr="009342F9" w14:paraId="10763856" w14:textId="77777777" w:rsidTr="00FC79C1">
        <w:trPr>
          <w:trHeight w:val="105"/>
          <w:tblCellSpacing w:w="0" w:type="dxa"/>
        </w:trPr>
        <w:tc>
          <w:tcPr>
            <w:tcW w:w="1230" w:type="dxa"/>
            <w:tcBorders>
              <w:top w:val="outset" w:sz="6" w:space="0" w:color="auto"/>
              <w:left w:val="outset" w:sz="6" w:space="0" w:color="auto"/>
              <w:bottom w:val="outset" w:sz="6" w:space="0" w:color="auto"/>
              <w:right w:val="outset" w:sz="6" w:space="0" w:color="auto"/>
            </w:tcBorders>
            <w:vAlign w:val="center"/>
            <w:hideMark/>
          </w:tcPr>
          <w:p w14:paraId="2827636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&gt; 18,75  </w:t>
            </w:r>
          </w:p>
        </w:tc>
        <w:tc>
          <w:tcPr>
            <w:tcW w:w="1275" w:type="dxa"/>
            <w:tcBorders>
              <w:top w:val="outset" w:sz="6" w:space="0" w:color="auto"/>
              <w:left w:val="outset" w:sz="6" w:space="0" w:color="auto"/>
              <w:bottom w:val="outset" w:sz="6" w:space="0" w:color="auto"/>
              <w:right w:val="outset" w:sz="6" w:space="0" w:color="auto"/>
            </w:tcBorders>
            <w:vAlign w:val="center"/>
            <w:hideMark/>
          </w:tcPr>
          <w:p w14:paraId="0A1C2C1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20,72  </w:t>
            </w:r>
          </w:p>
        </w:tc>
        <w:tc>
          <w:tcPr>
            <w:tcW w:w="1275" w:type="dxa"/>
            <w:tcBorders>
              <w:top w:val="outset" w:sz="6" w:space="0" w:color="auto"/>
              <w:left w:val="outset" w:sz="6" w:space="0" w:color="auto"/>
              <w:bottom w:val="outset" w:sz="6" w:space="0" w:color="auto"/>
              <w:right w:val="outset" w:sz="6" w:space="0" w:color="auto"/>
            </w:tcBorders>
            <w:vAlign w:val="center"/>
            <w:hideMark/>
          </w:tcPr>
          <w:p w14:paraId="75D3925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&gt; 30,6  </w:t>
            </w:r>
          </w:p>
        </w:tc>
        <w:tc>
          <w:tcPr>
            <w:tcW w:w="1275" w:type="dxa"/>
            <w:tcBorders>
              <w:top w:val="outset" w:sz="6" w:space="0" w:color="auto"/>
              <w:left w:val="outset" w:sz="6" w:space="0" w:color="auto"/>
              <w:bottom w:val="outset" w:sz="6" w:space="0" w:color="auto"/>
              <w:right w:val="outset" w:sz="6" w:space="0" w:color="auto"/>
            </w:tcBorders>
            <w:vAlign w:val="center"/>
            <w:hideMark/>
          </w:tcPr>
          <w:p w14:paraId="50A211B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35,4  </w:t>
            </w:r>
          </w:p>
        </w:tc>
        <w:tc>
          <w:tcPr>
            <w:tcW w:w="4110" w:type="dxa"/>
            <w:tcBorders>
              <w:top w:val="outset" w:sz="6" w:space="0" w:color="auto"/>
              <w:left w:val="outset" w:sz="6" w:space="0" w:color="auto"/>
              <w:bottom w:val="outset" w:sz="6" w:space="0" w:color="auto"/>
              <w:right w:val="outset" w:sz="6" w:space="0" w:color="auto"/>
            </w:tcBorders>
            <w:vAlign w:val="center"/>
            <w:hideMark/>
          </w:tcPr>
          <w:p w14:paraId="748E419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19  </w:t>
            </w:r>
          </w:p>
        </w:tc>
      </w:tr>
      <w:tr w:rsidR="00FC79C1" w:rsidRPr="009342F9" w14:paraId="0A59F202" w14:textId="77777777" w:rsidTr="00FC79C1">
        <w:trPr>
          <w:trHeight w:val="105"/>
          <w:tblCellSpacing w:w="0" w:type="dxa"/>
        </w:trPr>
        <w:tc>
          <w:tcPr>
            <w:tcW w:w="1230" w:type="dxa"/>
            <w:tcBorders>
              <w:top w:val="outset" w:sz="6" w:space="0" w:color="auto"/>
              <w:left w:val="outset" w:sz="6" w:space="0" w:color="auto"/>
              <w:bottom w:val="outset" w:sz="6" w:space="0" w:color="auto"/>
              <w:right w:val="outset" w:sz="6" w:space="0" w:color="auto"/>
            </w:tcBorders>
            <w:vAlign w:val="center"/>
            <w:hideMark/>
          </w:tcPr>
          <w:p w14:paraId="225BFB0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&gt; 20,72  </w:t>
            </w:r>
          </w:p>
        </w:tc>
        <w:tc>
          <w:tcPr>
            <w:tcW w:w="1275" w:type="dxa"/>
            <w:tcBorders>
              <w:top w:val="outset" w:sz="6" w:space="0" w:color="auto"/>
              <w:left w:val="outset" w:sz="6" w:space="0" w:color="auto"/>
              <w:bottom w:val="outset" w:sz="6" w:space="0" w:color="auto"/>
              <w:right w:val="outset" w:sz="6" w:space="0" w:color="auto"/>
            </w:tcBorders>
            <w:vAlign w:val="center"/>
            <w:hideMark/>
          </w:tcPr>
          <w:p w14:paraId="3DB9454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22,69  </w:t>
            </w:r>
          </w:p>
        </w:tc>
        <w:tc>
          <w:tcPr>
            <w:tcW w:w="1275" w:type="dxa"/>
            <w:tcBorders>
              <w:top w:val="outset" w:sz="6" w:space="0" w:color="auto"/>
              <w:left w:val="outset" w:sz="6" w:space="0" w:color="auto"/>
              <w:bottom w:val="outset" w:sz="6" w:space="0" w:color="auto"/>
              <w:right w:val="outset" w:sz="6" w:space="0" w:color="auto"/>
            </w:tcBorders>
            <w:vAlign w:val="center"/>
            <w:hideMark/>
          </w:tcPr>
          <w:p w14:paraId="07A4A96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&gt; 35,4  </w:t>
            </w:r>
          </w:p>
        </w:tc>
        <w:tc>
          <w:tcPr>
            <w:tcW w:w="1275" w:type="dxa"/>
            <w:tcBorders>
              <w:top w:val="outset" w:sz="6" w:space="0" w:color="auto"/>
              <w:left w:val="outset" w:sz="6" w:space="0" w:color="auto"/>
              <w:bottom w:val="outset" w:sz="6" w:space="0" w:color="auto"/>
              <w:right w:val="outset" w:sz="6" w:space="0" w:color="auto"/>
            </w:tcBorders>
            <w:vAlign w:val="center"/>
            <w:hideMark/>
          </w:tcPr>
          <w:p w14:paraId="5304067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40,4  </w:t>
            </w:r>
          </w:p>
        </w:tc>
        <w:tc>
          <w:tcPr>
            <w:tcW w:w="4110" w:type="dxa"/>
            <w:tcBorders>
              <w:top w:val="outset" w:sz="6" w:space="0" w:color="auto"/>
              <w:left w:val="outset" w:sz="6" w:space="0" w:color="auto"/>
              <w:bottom w:val="outset" w:sz="6" w:space="0" w:color="auto"/>
              <w:right w:val="outset" w:sz="6" w:space="0" w:color="auto"/>
            </w:tcBorders>
            <w:vAlign w:val="center"/>
            <w:hideMark/>
          </w:tcPr>
          <w:p w14:paraId="5C78336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17  </w:t>
            </w:r>
          </w:p>
        </w:tc>
      </w:tr>
      <w:tr w:rsidR="00FC79C1" w:rsidRPr="009342F9" w14:paraId="42BADDBD" w14:textId="77777777" w:rsidTr="00FC79C1">
        <w:trPr>
          <w:trHeight w:val="105"/>
          <w:tblCellSpacing w:w="0" w:type="dxa"/>
        </w:trPr>
        <w:tc>
          <w:tcPr>
            <w:tcW w:w="1230" w:type="dxa"/>
            <w:tcBorders>
              <w:top w:val="outset" w:sz="6" w:space="0" w:color="auto"/>
              <w:left w:val="outset" w:sz="6" w:space="0" w:color="auto"/>
              <w:bottom w:val="outset" w:sz="6" w:space="0" w:color="auto"/>
              <w:right w:val="outset" w:sz="6" w:space="0" w:color="auto"/>
            </w:tcBorders>
            <w:vAlign w:val="center"/>
            <w:hideMark/>
          </w:tcPr>
          <w:p w14:paraId="37A5F18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&gt; 22,69  </w:t>
            </w:r>
          </w:p>
        </w:tc>
        <w:tc>
          <w:tcPr>
            <w:tcW w:w="1275" w:type="dxa"/>
            <w:tcBorders>
              <w:top w:val="outset" w:sz="6" w:space="0" w:color="auto"/>
              <w:left w:val="outset" w:sz="6" w:space="0" w:color="auto"/>
              <w:bottom w:val="outset" w:sz="6" w:space="0" w:color="auto"/>
              <w:right w:val="outset" w:sz="6" w:space="0" w:color="auto"/>
            </w:tcBorders>
            <w:vAlign w:val="center"/>
            <w:hideMark/>
          </w:tcPr>
          <w:p w14:paraId="743051E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24,66  </w:t>
            </w:r>
          </w:p>
        </w:tc>
        <w:tc>
          <w:tcPr>
            <w:tcW w:w="1275" w:type="dxa"/>
            <w:tcBorders>
              <w:top w:val="outset" w:sz="6" w:space="0" w:color="auto"/>
              <w:left w:val="outset" w:sz="6" w:space="0" w:color="auto"/>
              <w:bottom w:val="outset" w:sz="6" w:space="0" w:color="auto"/>
              <w:right w:val="outset" w:sz="6" w:space="0" w:color="auto"/>
            </w:tcBorders>
            <w:vAlign w:val="center"/>
            <w:hideMark/>
          </w:tcPr>
          <w:p w14:paraId="7CC25CF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&gt;40,4  </w:t>
            </w:r>
          </w:p>
        </w:tc>
        <w:tc>
          <w:tcPr>
            <w:tcW w:w="1275" w:type="dxa"/>
            <w:tcBorders>
              <w:top w:val="outset" w:sz="6" w:space="0" w:color="auto"/>
              <w:left w:val="outset" w:sz="6" w:space="0" w:color="auto"/>
              <w:bottom w:val="outset" w:sz="6" w:space="0" w:color="auto"/>
              <w:right w:val="outset" w:sz="6" w:space="0" w:color="auto"/>
            </w:tcBorders>
            <w:vAlign w:val="center"/>
            <w:hideMark/>
          </w:tcPr>
          <w:p w14:paraId="4776229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41,4  </w:t>
            </w:r>
          </w:p>
        </w:tc>
        <w:tc>
          <w:tcPr>
            <w:tcW w:w="4110" w:type="dxa"/>
            <w:tcBorders>
              <w:top w:val="outset" w:sz="6" w:space="0" w:color="auto"/>
              <w:left w:val="outset" w:sz="6" w:space="0" w:color="auto"/>
              <w:bottom w:val="outset" w:sz="6" w:space="0" w:color="auto"/>
              <w:right w:val="outset" w:sz="6" w:space="0" w:color="auto"/>
            </w:tcBorders>
            <w:vAlign w:val="center"/>
            <w:hideMark/>
          </w:tcPr>
          <w:p w14:paraId="1A18C14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15  </w:t>
            </w:r>
          </w:p>
        </w:tc>
      </w:tr>
      <w:tr w:rsidR="00FC79C1" w:rsidRPr="009342F9" w14:paraId="7C9A7CAD" w14:textId="77777777" w:rsidTr="00FC79C1">
        <w:trPr>
          <w:trHeight w:val="105"/>
          <w:tblCellSpacing w:w="0" w:type="dxa"/>
        </w:trPr>
        <w:tc>
          <w:tcPr>
            <w:tcW w:w="1230" w:type="dxa"/>
            <w:tcBorders>
              <w:top w:val="outset" w:sz="6" w:space="0" w:color="auto"/>
              <w:left w:val="outset" w:sz="6" w:space="0" w:color="auto"/>
              <w:bottom w:val="outset" w:sz="6" w:space="0" w:color="auto"/>
              <w:right w:val="outset" w:sz="6" w:space="0" w:color="auto"/>
            </w:tcBorders>
            <w:vAlign w:val="center"/>
            <w:hideMark/>
          </w:tcPr>
          <w:p w14:paraId="15D9708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&gt; 24,66  </w:t>
            </w:r>
          </w:p>
        </w:tc>
        <w:tc>
          <w:tcPr>
            <w:tcW w:w="1275" w:type="dxa"/>
            <w:tcBorders>
              <w:top w:val="outset" w:sz="6" w:space="0" w:color="auto"/>
              <w:left w:val="outset" w:sz="6" w:space="0" w:color="auto"/>
              <w:bottom w:val="outset" w:sz="6" w:space="0" w:color="auto"/>
              <w:right w:val="outset" w:sz="6" w:space="0" w:color="auto"/>
            </w:tcBorders>
            <w:vAlign w:val="center"/>
            <w:hideMark/>
          </w:tcPr>
          <w:p w14:paraId="51BFC9B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26,63  </w:t>
            </w:r>
          </w:p>
        </w:tc>
        <w:tc>
          <w:tcPr>
            <w:tcW w:w="1275" w:type="dxa"/>
            <w:tcBorders>
              <w:top w:val="outset" w:sz="6" w:space="0" w:color="auto"/>
              <w:left w:val="outset" w:sz="6" w:space="0" w:color="auto"/>
              <w:bottom w:val="outset" w:sz="6" w:space="0" w:color="auto"/>
              <w:right w:val="outset" w:sz="6" w:space="0" w:color="auto"/>
            </w:tcBorders>
            <w:vAlign w:val="center"/>
            <w:hideMark/>
          </w:tcPr>
          <w:p w14:paraId="45AA019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&gt;41,4  </w:t>
            </w:r>
          </w:p>
        </w:tc>
        <w:tc>
          <w:tcPr>
            <w:tcW w:w="1275" w:type="dxa"/>
            <w:tcBorders>
              <w:top w:val="outset" w:sz="6" w:space="0" w:color="auto"/>
              <w:left w:val="outset" w:sz="6" w:space="0" w:color="auto"/>
              <w:bottom w:val="outset" w:sz="6" w:space="0" w:color="auto"/>
              <w:right w:val="outset" w:sz="6" w:space="0" w:color="auto"/>
            </w:tcBorders>
            <w:vAlign w:val="center"/>
            <w:hideMark/>
          </w:tcPr>
          <w:p w14:paraId="260BD9B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42,5  </w:t>
            </w:r>
          </w:p>
        </w:tc>
        <w:tc>
          <w:tcPr>
            <w:tcW w:w="4110" w:type="dxa"/>
            <w:tcBorders>
              <w:top w:val="outset" w:sz="6" w:space="0" w:color="auto"/>
              <w:left w:val="outset" w:sz="6" w:space="0" w:color="auto"/>
              <w:bottom w:val="outset" w:sz="6" w:space="0" w:color="auto"/>
              <w:right w:val="outset" w:sz="6" w:space="0" w:color="auto"/>
            </w:tcBorders>
            <w:vAlign w:val="center"/>
            <w:hideMark/>
          </w:tcPr>
          <w:p w14:paraId="2FAC35D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13  </w:t>
            </w:r>
          </w:p>
        </w:tc>
      </w:tr>
      <w:tr w:rsidR="00FC79C1" w:rsidRPr="009342F9" w14:paraId="7CCAAF47" w14:textId="77777777" w:rsidTr="00FC79C1">
        <w:trPr>
          <w:trHeight w:val="105"/>
          <w:tblCellSpacing w:w="0" w:type="dxa"/>
        </w:trPr>
        <w:tc>
          <w:tcPr>
            <w:tcW w:w="1230" w:type="dxa"/>
            <w:tcBorders>
              <w:top w:val="outset" w:sz="6" w:space="0" w:color="auto"/>
              <w:left w:val="outset" w:sz="6" w:space="0" w:color="auto"/>
              <w:bottom w:val="outset" w:sz="6" w:space="0" w:color="auto"/>
              <w:right w:val="outset" w:sz="6" w:space="0" w:color="auto"/>
            </w:tcBorders>
            <w:vAlign w:val="center"/>
            <w:hideMark/>
          </w:tcPr>
          <w:p w14:paraId="4DADF78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&gt; 26,63  </w:t>
            </w:r>
          </w:p>
        </w:tc>
        <w:tc>
          <w:tcPr>
            <w:tcW w:w="1275" w:type="dxa"/>
            <w:tcBorders>
              <w:top w:val="outset" w:sz="6" w:space="0" w:color="auto"/>
              <w:left w:val="outset" w:sz="6" w:space="0" w:color="auto"/>
              <w:bottom w:val="outset" w:sz="6" w:space="0" w:color="auto"/>
              <w:right w:val="outset" w:sz="6" w:space="0" w:color="auto"/>
            </w:tcBorders>
            <w:vAlign w:val="center"/>
            <w:hideMark/>
          </w:tcPr>
          <w:p w14:paraId="25FEBC0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30,56  </w:t>
            </w:r>
          </w:p>
        </w:tc>
        <w:tc>
          <w:tcPr>
            <w:tcW w:w="1275" w:type="dxa"/>
            <w:tcBorders>
              <w:top w:val="outset" w:sz="6" w:space="0" w:color="auto"/>
              <w:left w:val="outset" w:sz="6" w:space="0" w:color="auto"/>
              <w:bottom w:val="outset" w:sz="6" w:space="0" w:color="auto"/>
              <w:right w:val="outset" w:sz="6" w:space="0" w:color="auto"/>
            </w:tcBorders>
            <w:vAlign w:val="center"/>
            <w:hideMark/>
          </w:tcPr>
          <w:p w14:paraId="38814B2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&gt; 42,5  </w:t>
            </w:r>
          </w:p>
        </w:tc>
        <w:tc>
          <w:tcPr>
            <w:tcW w:w="1275" w:type="dxa"/>
            <w:tcBorders>
              <w:top w:val="outset" w:sz="6" w:space="0" w:color="auto"/>
              <w:left w:val="outset" w:sz="6" w:space="0" w:color="auto"/>
              <w:bottom w:val="outset" w:sz="6" w:space="0" w:color="auto"/>
              <w:right w:val="outset" w:sz="6" w:space="0" w:color="auto"/>
            </w:tcBorders>
            <w:vAlign w:val="center"/>
            <w:hideMark/>
          </w:tcPr>
          <w:p w14:paraId="532C66B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49,4  </w:t>
            </w:r>
          </w:p>
        </w:tc>
        <w:tc>
          <w:tcPr>
            <w:tcW w:w="4110" w:type="dxa"/>
            <w:tcBorders>
              <w:top w:val="outset" w:sz="6" w:space="0" w:color="auto"/>
              <w:left w:val="outset" w:sz="6" w:space="0" w:color="auto"/>
              <w:bottom w:val="outset" w:sz="6" w:space="0" w:color="auto"/>
              <w:right w:val="outset" w:sz="6" w:space="0" w:color="auto"/>
            </w:tcBorders>
            <w:vAlign w:val="center"/>
            <w:hideMark/>
          </w:tcPr>
          <w:p w14:paraId="696C5A2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9  </w:t>
            </w:r>
          </w:p>
        </w:tc>
      </w:tr>
      <w:tr w:rsidR="00FC79C1" w:rsidRPr="009342F9" w14:paraId="0FBAA6A2" w14:textId="77777777" w:rsidTr="00FC79C1">
        <w:trPr>
          <w:trHeight w:val="105"/>
          <w:tblCellSpacing w:w="0" w:type="dxa"/>
        </w:trPr>
        <w:tc>
          <w:tcPr>
            <w:tcW w:w="1230" w:type="dxa"/>
            <w:tcBorders>
              <w:top w:val="outset" w:sz="6" w:space="0" w:color="auto"/>
              <w:left w:val="outset" w:sz="6" w:space="0" w:color="auto"/>
              <w:bottom w:val="outset" w:sz="6" w:space="0" w:color="auto"/>
              <w:right w:val="outset" w:sz="6" w:space="0" w:color="auto"/>
            </w:tcBorders>
            <w:vAlign w:val="center"/>
            <w:hideMark/>
          </w:tcPr>
          <w:p w14:paraId="06B32A5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&gt; 30,56  </w:t>
            </w:r>
          </w:p>
        </w:tc>
        <w:tc>
          <w:tcPr>
            <w:tcW w:w="1275" w:type="dxa"/>
            <w:tcBorders>
              <w:top w:val="outset" w:sz="6" w:space="0" w:color="auto"/>
              <w:left w:val="outset" w:sz="6" w:space="0" w:color="auto"/>
              <w:bottom w:val="outset" w:sz="6" w:space="0" w:color="auto"/>
              <w:right w:val="outset" w:sz="6" w:space="0" w:color="auto"/>
            </w:tcBorders>
            <w:vAlign w:val="center"/>
            <w:hideMark/>
          </w:tcPr>
          <w:p w14:paraId="226BDC5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34,5  </w:t>
            </w:r>
          </w:p>
        </w:tc>
        <w:tc>
          <w:tcPr>
            <w:tcW w:w="1275" w:type="dxa"/>
            <w:tcBorders>
              <w:top w:val="outset" w:sz="6" w:space="0" w:color="auto"/>
              <w:left w:val="outset" w:sz="6" w:space="0" w:color="auto"/>
              <w:bottom w:val="outset" w:sz="6" w:space="0" w:color="auto"/>
              <w:right w:val="outset" w:sz="6" w:space="0" w:color="auto"/>
            </w:tcBorders>
            <w:vAlign w:val="center"/>
            <w:hideMark/>
          </w:tcPr>
          <w:p w14:paraId="1EEFD64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&gt; 49,4  </w:t>
            </w:r>
          </w:p>
        </w:tc>
        <w:tc>
          <w:tcPr>
            <w:tcW w:w="1275" w:type="dxa"/>
            <w:tcBorders>
              <w:top w:val="outset" w:sz="6" w:space="0" w:color="auto"/>
              <w:left w:val="outset" w:sz="6" w:space="0" w:color="auto"/>
              <w:bottom w:val="outset" w:sz="6" w:space="0" w:color="auto"/>
              <w:right w:val="outset" w:sz="6" w:space="0" w:color="auto"/>
            </w:tcBorders>
            <w:vAlign w:val="center"/>
            <w:hideMark/>
          </w:tcPr>
          <w:p w14:paraId="71FD681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53,4  </w:t>
            </w:r>
          </w:p>
        </w:tc>
        <w:tc>
          <w:tcPr>
            <w:tcW w:w="4110" w:type="dxa"/>
            <w:tcBorders>
              <w:top w:val="outset" w:sz="6" w:space="0" w:color="auto"/>
              <w:left w:val="outset" w:sz="6" w:space="0" w:color="auto"/>
              <w:bottom w:val="outset" w:sz="6" w:space="0" w:color="auto"/>
              <w:right w:val="outset" w:sz="6" w:space="0" w:color="auto"/>
            </w:tcBorders>
            <w:vAlign w:val="center"/>
            <w:hideMark/>
          </w:tcPr>
          <w:p w14:paraId="218F40E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w:t>
            </w:r>
          </w:p>
        </w:tc>
      </w:tr>
    </w:tbl>
    <w:p w14:paraId="069742D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3ECB9A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b) Construcción en sitio propio: El valor corresponderá, como máximo, a dieciocho (18) Salarios Mínimos Legales Mensuales Vigentes;  </w:t>
      </w:r>
    </w:p>
    <w:p w14:paraId="5B9A28C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41C667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 Mejoramiento de vivienda: El valor corresponderá, como máximo, a dieciocho (18) Salarios Mínimos Legales Mensuales Vigentes;  </w:t>
      </w:r>
    </w:p>
    <w:p w14:paraId="1092BD5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876869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d) Arrendamiento y Arrendamiento con Opción de Compra: El valor corresponderá, como máximo, a </w:t>
      </w:r>
      <w:proofErr w:type="gramStart"/>
      <w:r w:rsidRPr="009342F9">
        <w:rPr>
          <w:rFonts w:ascii="Arial" w:eastAsia="Times New Roman" w:hAnsi="Arial" w:cs="Arial"/>
          <w:color w:val="000000"/>
          <w:lang w:eastAsia="es-CO"/>
        </w:rPr>
        <w:t>cero punto</w:t>
      </w:r>
      <w:proofErr w:type="gramEnd"/>
      <w:r w:rsidRPr="009342F9">
        <w:rPr>
          <w:rFonts w:ascii="Arial" w:eastAsia="Times New Roman" w:hAnsi="Arial" w:cs="Arial"/>
          <w:color w:val="000000"/>
          <w:lang w:eastAsia="es-CO"/>
        </w:rPr>
        <w:t xml:space="preserve"> seis (0.6) Salarios Mínimos Legales Mensuales Vigentes por cada canon mensual de arrendamiento hasta por veinticuatro (24) meses.  </w:t>
      </w:r>
    </w:p>
    <w:p w14:paraId="26168D2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A32B8E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xml:space="preserve">En todo caso, la asignación del subsidio en el marco de lo dispuesto en esta </w:t>
      </w:r>
      <w:proofErr w:type="gramStart"/>
      <w:r w:rsidRPr="009342F9">
        <w:rPr>
          <w:rFonts w:ascii="Arial" w:eastAsia="Times New Roman" w:hAnsi="Arial" w:cs="Arial"/>
          <w:color w:val="000000"/>
          <w:lang w:eastAsia="es-CO"/>
        </w:rPr>
        <w:t>sección,</w:t>
      </w:r>
      <w:proofErr w:type="gramEnd"/>
      <w:r w:rsidRPr="009342F9">
        <w:rPr>
          <w:rFonts w:ascii="Arial" w:eastAsia="Times New Roman" w:hAnsi="Arial" w:cs="Arial"/>
          <w:color w:val="000000"/>
          <w:lang w:eastAsia="es-CO"/>
        </w:rPr>
        <w:t xml:space="preserve"> estará sujeta a la disponibilidad de recursos en el Presupuesto General de la Nación a través del Fondo Nacional de Vivienda (Fonvivienda) o quien haga sus veces. La apropiación de estos recursos deberá guardar concordancia con la disponibilidad fiscal establecida tanto en el Marco de Gasto de Mediano Plazo del sector, como en el Marco Fiscal de Mediano Plazo.  </w:t>
      </w:r>
    </w:p>
    <w:p w14:paraId="16EC9A0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DDD36F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El monto del Subsidio Familiar de Vivienda que otorguen las Cajas de Compensación Familiar, con cargo a recursos parafiscales, se determinará teniendo en cuenta los ingresos mensuales del hogar, en SMMLV, y la modalidad de asignación del SFV, de acuerdo con lo establecido a continuación:  </w:t>
      </w:r>
    </w:p>
    <w:p w14:paraId="7A934FD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06AD35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 Adquisición de vivienda nueva: El valor del Subsidio Familiar de Vivienda no podrá superar el definido en la siguiente tabla:  </w:t>
      </w:r>
    </w:p>
    <w:p w14:paraId="1D3A30D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5"/>
        <w:gridCol w:w="2265"/>
        <w:gridCol w:w="3690"/>
      </w:tblGrid>
      <w:tr w:rsidR="00FC79C1" w:rsidRPr="009342F9" w14:paraId="31A38981" w14:textId="77777777" w:rsidTr="00FC79C1">
        <w:trPr>
          <w:trHeight w:val="255"/>
          <w:tblCellSpacing w:w="0" w:type="dxa"/>
          <w:jc w:val="center"/>
        </w:trPr>
        <w:tc>
          <w:tcPr>
            <w:tcW w:w="4530" w:type="dxa"/>
            <w:gridSpan w:val="2"/>
            <w:tcBorders>
              <w:top w:val="outset" w:sz="6" w:space="0" w:color="auto"/>
              <w:left w:val="outset" w:sz="6" w:space="0" w:color="auto"/>
              <w:bottom w:val="outset" w:sz="6" w:space="0" w:color="auto"/>
              <w:right w:val="outset" w:sz="6" w:space="0" w:color="auto"/>
            </w:tcBorders>
            <w:vAlign w:val="center"/>
            <w:hideMark/>
          </w:tcPr>
          <w:p w14:paraId="5C7023C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Ingresos del Hogar en salarios mínimos legales mensuales vigentes </w:t>
            </w:r>
          </w:p>
        </w:tc>
        <w:tc>
          <w:tcPr>
            <w:tcW w:w="3690" w:type="dxa"/>
            <w:vMerge w:val="restart"/>
            <w:tcBorders>
              <w:top w:val="outset" w:sz="6" w:space="0" w:color="auto"/>
              <w:left w:val="outset" w:sz="6" w:space="0" w:color="auto"/>
              <w:bottom w:val="outset" w:sz="6" w:space="0" w:color="auto"/>
              <w:right w:val="outset" w:sz="6" w:space="0" w:color="auto"/>
            </w:tcBorders>
            <w:vAlign w:val="center"/>
            <w:hideMark/>
          </w:tcPr>
          <w:p w14:paraId="5518C0A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Valor del Subsidio en salarios mínimos legales mensuales vigentes </w:t>
            </w:r>
          </w:p>
        </w:tc>
      </w:tr>
      <w:tr w:rsidR="00FC79C1" w:rsidRPr="009342F9" w14:paraId="0ADC608D" w14:textId="77777777" w:rsidTr="00FC79C1">
        <w:trPr>
          <w:trHeight w:val="105"/>
          <w:tblCellSpacing w:w="0" w:type="dxa"/>
          <w:jc w:val="center"/>
        </w:trPr>
        <w:tc>
          <w:tcPr>
            <w:tcW w:w="2265" w:type="dxa"/>
            <w:tcBorders>
              <w:top w:val="outset" w:sz="6" w:space="0" w:color="auto"/>
              <w:left w:val="outset" w:sz="6" w:space="0" w:color="auto"/>
              <w:bottom w:val="outset" w:sz="6" w:space="0" w:color="auto"/>
              <w:right w:val="outset" w:sz="6" w:space="0" w:color="auto"/>
            </w:tcBorders>
            <w:vAlign w:val="center"/>
            <w:hideMark/>
          </w:tcPr>
          <w:p w14:paraId="69DEF49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Desde </w:t>
            </w:r>
          </w:p>
        </w:tc>
        <w:tc>
          <w:tcPr>
            <w:tcW w:w="2265" w:type="dxa"/>
            <w:tcBorders>
              <w:top w:val="outset" w:sz="6" w:space="0" w:color="auto"/>
              <w:left w:val="outset" w:sz="6" w:space="0" w:color="auto"/>
              <w:bottom w:val="outset" w:sz="6" w:space="0" w:color="auto"/>
              <w:right w:val="outset" w:sz="6" w:space="0" w:color="auto"/>
            </w:tcBorders>
            <w:vAlign w:val="center"/>
            <w:hideMark/>
          </w:tcPr>
          <w:p w14:paraId="295A908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Hasta </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266BFE5" w14:textId="77777777" w:rsidR="00FC79C1" w:rsidRPr="009342F9" w:rsidRDefault="00FC79C1" w:rsidP="00FC79C1">
            <w:pPr>
              <w:spacing w:after="0" w:line="240" w:lineRule="auto"/>
              <w:jc w:val="both"/>
              <w:rPr>
                <w:rFonts w:ascii="Arial" w:eastAsia="Times New Roman" w:hAnsi="Arial" w:cs="Arial"/>
                <w:color w:val="000000"/>
                <w:lang w:eastAsia="es-CO"/>
              </w:rPr>
            </w:pPr>
          </w:p>
        </w:tc>
      </w:tr>
      <w:tr w:rsidR="00FC79C1" w:rsidRPr="009342F9" w14:paraId="092AD241" w14:textId="77777777" w:rsidTr="00FC79C1">
        <w:trPr>
          <w:trHeight w:val="105"/>
          <w:tblCellSpacing w:w="0" w:type="dxa"/>
          <w:jc w:val="center"/>
        </w:trPr>
        <w:tc>
          <w:tcPr>
            <w:tcW w:w="2265" w:type="dxa"/>
            <w:tcBorders>
              <w:top w:val="outset" w:sz="6" w:space="0" w:color="auto"/>
              <w:left w:val="outset" w:sz="6" w:space="0" w:color="auto"/>
              <w:bottom w:val="outset" w:sz="6" w:space="0" w:color="auto"/>
              <w:right w:val="outset" w:sz="6" w:space="0" w:color="auto"/>
            </w:tcBorders>
            <w:vAlign w:val="center"/>
            <w:hideMark/>
          </w:tcPr>
          <w:p w14:paraId="4370C91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0  </w:t>
            </w:r>
          </w:p>
        </w:tc>
        <w:tc>
          <w:tcPr>
            <w:tcW w:w="2265" w:type="dxa"/>
            <w:tcBorders>
              <w:top w:val="outset" w:sz="6" w:space="0" w:color="auto"/>
              <w:left w:val="outset" w:sz="6" w:space="0" w:color="auto"/>
              <w:bottom w:val="outset" w:sz="6" w:space="0" w:color="auto"/>
              <w:right w:val="outset" w:sz="6" w:space="0" w:color="auto"/>
            </w:tcBorders>
            <w:vAlign w:val="center"/>
            <w:hideMark/>
          </w:tcPr>
          <w:p w14:paraId="58DEE58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w:t>
            </w:r>
          </w:p>
        </w:tc>
        <w:tc>
          <w:tcPr>
            <w:tcW w:w="3690" w:type="dxa"/>
            <w:tcBorders>
              <w:top w:val="outset" w:sz="6" w:space="0" w:color="auto"/>
              <w:left w:val="outset" w:sz="6" w:space="0" w:color="auto"/>
              <w:bottom w:val="outset" w:sz="6" w:space="0" w:color="auto"/>
              <w:right w:val="outset" w:sz="6" w:space="0" w:color="auto"/>
            </w:tcBorders>
            <w:vAlign w:val="center"/>
            <w:hideMark/>
          </w:tcPr>
          <w:p w14:paraId="7A1816A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30  </w:t>
            </w:r>
          </w:p>
        </w:tc>
      </w:tr>
      <w:tr w:rsidR="00FC79C1" w:rsidRPr="009342F9" w14:paraId="6F19F82C" w14:textId="77777777" w:rsidTr="00FC79C1">
        <w:trPr>
          <w:trHeight w:val="105"/>
          <w:tblCellSpacing w:w="0" w:type="dxa"/>
          <w:jc w:val="center"/>
        </w:trPr>
        <w:tc>
          <w:tcPr>
            <w:tcW w:w="2265" w:type="dxa"/>
            <w:tcBorders>
              <w:top w:val="outset" w:sz="6" w:space="0" w:color="auto"/>
              <w:left w:val="outset" w:sz="6" w:space="0" w:color="auto"/>
              <w:bottom w:val="outset" w:sz="6" w:space="0" w:color="auto"/>
              <w:right w:val="outset" w:sz="6" w:space="0" w:color="auto"/>
            </w:tcBorders>
            <w:vAlign w:val="center"/>
            <w:hideMark/>
          </w:tcPr>
          <w:p w14:paraId="4AD0AE3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&gt;2  </w:t>
            </w:r>
          </w:p>
        </w:tc>
        <w:tc>
          <w:tcPr>
            <w:tcW w:w="2265" w:type="dxa"/>
            <w:tcBorders>
              <w:top w:val="outset" w:sz="6" w:space="0" w:color="auto"/>
              <w:left w:val="outset" w:sz="6" w:space="0" w:color="auto"/>
              <w:bottom w:val="outset" w:sz="6" w:space="0" w:color="auto"/>
              <w:right w:val="outset" w:sz="6" w:space="0" w:color="auto"/>
            </w:tcBorders>
            <w:vAlign w:val="center"/>
            <w:hideMark/>
          </w:tcPr>
          <w:p w14:paraId="42B7C94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w:t>
            </w:r>
          </w:p>
        </w:tc>
        <w:tc>
          <w:tcPr>
            <w:tcW w:w="3690" w:type="dxa"/>
            <w:tcBorders>
              <w:top w:val="outset" w:sz="6" w:space="0" w:color="auto"/>
              <w:left w:val="outset" w:sz="6" w:space="0" w:color="auto"/>
              <w:bottom w:val="outset" w:sz="6" w:space="0" w:color="auto"/>
              <w:right w:val="outset" w:sz="6" w:space="0" w:color="auto"/>
            </w:tcBorders>
            <w:vAlign w:val="center"/>
            <w:hideMark/>
          </w:tcPr>
          <w:p w14:paraId="1FB147B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20  </w:t>
            </w:r>
          </w:p>
        </w:tc>
      </w:tr>
    </w:tbl>
    <w:p w14:paraId="52529A0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5EB197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b) Adquisición de vivienda usada: El valor del Subsidio Familiar de Vivienda no podrá superar el definido en la siguiente tabla:  </w:t>
      </w:r>
    </w:p>
    <w:p w14:paraId="673CC2C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5"/>
        <w:gridCol w:w="2265"/>
        <w:gridCol w:w="3825"/>
      </w:tblGrid>
      <w:tr w:rsidR="00FC79C1" w:rsidRPr="009342F9" w14:paraId="0E4FCC82" w14:textId="77777777" w:rsidTr="00FC79C1">
        <w:trPr>
          <w:trHeight w:val="255"/>
          <w:tblCellSpacing w:w="0" w:type="dxa"/>
          <w:jc w:val="center"/>
        </w:trPr>
        <w:tc>
          <w:tcPr>
            <w:tcW w:w="4530" w:type="dxa"/>
            <w:gridSpan w:val="2"/>
            <w:tcBorders>
              <w:top w:val="outset" w:sz="6" w:space="0" w:color="auto"/>
              <w:left w:val="outset" w:sz="6" w:space="0" w:color="auto"/>
              <w:bottom w:val="outset" w:sz="6" w:space="0" w:color="auto"/>
              <w:right w:val="outset" w:sz="6" w:space="0" w:color="auto"/>
            </w:tcBorders>
            <w:vAlign w:val="center"/>
            <w:hideMark/>
          </w:tcPr>
          <w:p w14:paraId="2109DA6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Ingresos del Hogar en salarios mínimos legales mensuales vigentes </w:t>
            </w:r>
          </w:p>
        </w:tc>
        <w:tc>
          <w:tcPr>
            <w:tcW w:w="3825" w:type="dxa"/>
            <w:vMerge w:val="restart"/>
            <w:tcBorders>
              <w:top w:val="outset" w:sz="6" w:space="0" w:color="auto"/>
              <w:left w:val="outset" w:sz="6" w:space="0" w:color="auto"/>
              <w:bottom w:val="outset" w:sz="6" w:space="0" w:color="auto"/>
              <w:right w:val="outset" w:sz="6" w:space="0" w:color="auto"/>
            </w:tcBorders>
            <w:vAlign w:val="center"/>
            <w:hideMark/>
          </w:tcPr>
          <w:p w14:paraId="120CC0D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Valor del Subsidio en salarios mínimos legales mensuales vigentes </w:t>
            </w:r>
          </w:p>
        </w:tc>
      </w:tr>
      <w:tr w:rsidR="00FC79C1" w:rsidRPr="009342F9" w14:paraId="01635532" w14:textId="77777777" w:rsidTr="00FC79C1">
        <w:trPr>
          <w:trHeight w:val="105"/>
          <w:tblCellSpacing w:w="0" w:type="dxa"/>
          <w:jc w:val="center"/>
        </w:trPr>
        <w:tc>
          <w:tcPr>
            <w:tcW w:w="2265" w:type="dxa"/>
            <w:tcBorders>
              <w:top w:val="outset" w:sz="6" w:space="0" w:color="auto"/>
              <w:left w:val="outset" w:sz="6" w:space="0" w:color="auto"/>
              <w:bottom w:val="outset" w:sz="6" w:space="0" w:color="auto"/>
              <w:right w:val="outset" w:sz="6" w:space="0" w:color="auto"/>
            </w:tcBorders>
            <w:vAlign w:val="center"/>
            <w:hideMark/>
          </w:tcPr>
          <w:p w14:paraId="2665521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Desde  </w:t>
            </w:r>
          </w:p>
        </w:tc>
        <w:tc>
          <w:tcPr>
            <w:tcW w:w="2265" w:type="dxa"/>
            <w:tcBorders>
              <w:top w:val="outset" w:sz="6" w:space="0" w:color="auto"/>
              <w:left w:val="outset" w:sz="6" w:space="0" w:color="auto"/>
              <w:bottom w:val="outset" w:sz="6" w:space="0" w:color="auto"/>
              <w:right w:val="outset" w:sz="6" w:space="0" w:color="auto"/>
            </w:tcBorders>
            <w:vAlign w:val="center"/>
            <w:hideMark/>
          </w:tcPr>
          <w:p w14:paraId="180C404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Hasta </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90A0B61" w14:textId="77777777" w:rsidR="00FC79C1" w:rsidRPr="009342F9" w:rsidRDefault="00FC79C1" w:rsidP="00FC79C1">
            <w:pPr>
              <w:spacing w:after="0" w:line="240" w:lineRule="auto"/>
              <w:jc w:val="both"/>
              <w:rPr>
                <w:rFonts w:ascii="Arial" w:eastAsia="Times New Roman" w:hAnsi="Arial" w:cs="Arial"/>
                <w:color w:val="000000"/>
                <w:lang w:eastAsia="es-CO"/>
              </w:rPr>
            </w:pPr>
          </w:p>
        </w:tc>
      </w:tr>
      <w:tr w:rsidR="00FC79C1" w:rsidRPr="009342F9" w14:paraId="791485C5" w14:textId="77777777" w:rsidTr="00FC79C1">
        <w:trPr>
          <w:trHeight w:val="105"/>
          <w:tblCellSpacing w:w="0" w:type="dxa"/>
          <w:jc w:val="center"/>
        </w:trPr>
        <w:tc>
          <w:tcPr>
            <w:tcW w:w="2265" w:type="dxa"/>
            <w:tcBorders>
              <w:top w:val="outset" w:sz="6" w:space="0" w:color="auto"/>
              <w:left w:val="outset" w:sz="6" w:space="0" w:color="auto"/>
              <w:bottom w:val="outset" w:sz="6" w:space="0" w:color="auto"/>
              <w:right w:val="outset" w:sz="6" w:space="0" w:color="auto"/>
            </w:tcBorders>
            <w:vAlign w:val="center"/>
            <w:hideMark/>
          </w:tcPr>
          <w:p w14:paraId="5AC8012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0  </w:t>
            </w:r>
          </w:p>
        </w:tc>
        <w:tc>
          <w:tcPr>
            <w:tcW w:w="2265" w:type="dxa"/>
            <w:tcBorders>
              <w:top w:val="outset" w:sz="6" w:space="0" w:color="auto"/>
              <w:left w:val="outset" w:sz="6" w:space="0" w:color="auto"/>
              <w:bottom w:val="outset" w:sz="6" w:space="0" w:color="auto"/>
              <w:right w:val="outset" w:sz="6" w:space="0" w:color="auto"/>
            </w:tcBorders>
            <w:vAlign w:val="center"/>
            <w:hideMark/>
          </w:tcPr>
          <w:p w14:paraId="45E22D6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w:t>
            </w:r>
          </w:p>
        </w:tc>
        <w:tc>
          <w:tcPr>
            <w:tcW w:w="3825" w:type="dxa"/>
            <w:tcBorders>
              <w:top w:val="outset" w:sz="6" w:space="0" w:color="auto"/>
              <w:left w:val="outset" w:sz="6" w:space="0" w:color="auto"/>
              <w:bottom w:val="outset" w:sz="6" w:space="0" w:color="auto"/>
              <w:right w:val="outset" w:sz="6" w:space="0" w:color="auto"/>
            </w:tcBorders>
            <w:vAlign w:val="center"/>
            <w:hideMark/>
          </w:tcPr>
          <w:p w14:paraId="10F3EE9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22  </w:t>
            </w:r>
          </w:p>
        </w:tc>
      </w:tr>
      <w:tr w:rsidR="00FC79C1" w:rsidRPr="009342F9" w14:paraId="023A545B" w14:textId="77777777" w:rsidTr="00FC79C1">
        <w:trPr>
          <w:trHeight w:val="105"/>
          <w:tblCellSpacing w:w="0" w:type="dxa"/>
          <w:jc w:val="center"/>
        </w:trPr>
        <w:tc>
          <w:tcPr>
            <w:tcW w:w="2265" w:type="dxa"/>
            <w:tcBorders>
              <w:top w:val="outset" w:sz="6" w:space="0" w:color="auto"/>
              <w:left w:val="outset" w:sz="6" w:space="0" w:color="auto"/>
              <w:bottom w:val="outset" w:sz="6" w:space="0" w:color="auto"/>
              <w:right w:val="outset" w:sz="6" w:space="0" w:color="auto"/>
            </w:tcBorders>
            <w:vAlign w:val="center"/>
            <w:hideMark/>
          </w:tcPr>
          <w:p w14:paraId="235CC6E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&gt; 1  </w:t>
            </w:r>
          </w:p>
        </w:tc>
        <w:tc>
          <w:tcPr>
            <w:tcW w:w="2265" w:type="dxa"/>
            <w:tcBorders>
              <w:top w:val="outset" w:sz="6" w:space="0" w:color="auto"/>
              <w:left w:val="outset" w:sz="6" w:space="0" w:color="auto"/>
              <w:bottom w:val="outset" w:sz="6" w:space="0" w:color="auto"/>
              <w:right w:val="outset" w:sz="6" w:space="0" w:color="auto"/>
            </w:tcBorders>
            <w:vAlign w:val="center"/>
            <w:hideMark/>
          </w:tcPr>
          <w:p w14:paraId="3946B0B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1.5  </w:t>
            </w:r>
          </w:p>
        </w:tc>
        <w:tc>
          <w:tcPr>
            <w:tcW w:w="3825" w:type="dxa"/>
            <w:tcBorders>
              <w:top w:val="outset" w:sz="6" w:space="0" w:color="auto"/>
              <w:left w:val="outset" w:sz="6" w:space="0" w:color="auto"/>
              <w:bottom w:val="outset" w:sz="6" w:space="0" w:color="auto"/>
              <w:right w:val="outset" w:sz="6" w:space="0" w:color="auto"/>
            </w:tcBorders>
            <w:vAlign w:val="center"/>
            <w:hideMark/>
          </w:tcPr>
          <w:p w14:paraId="67F6CD9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21.5  </w:t>
            </w:r>
          </w:p>
        </w:tc>
      </w:tr>
      <w:tr w:rsidR="00FC79C1" w:rsidRPr="009342F9" w14:paraId="2BE09B52" w14:textId="77777777" w:rsidTr="00FC79C1">
        <w:trPr>
          <w:trHeight w:val="105"/>
          <w:tblCellSpacing w:w="0" w:type="dxa"/>
          <w:jc w:val="center"/>
        </w:trPr>
        <w:tc>
          <w:tcPr>
            <w:tcW w:w="2265" w:type="dxa"/>
            <w:tcBorders>
              <w:top w:val="outset" w:sz="6" w:space="0" w:color="auto"/>
              <w:left w:val="outset" w:sz="6" w:space="0" w:color="auto"/>
              <w:bottom w:val="outset" w:sz="6" w:space="0" w:color="auto"/>
              <w:right w:val="outset" w:sz="6" w:space="0" w:color="auto"/>
            </w:tcBorders>
            <w:vAlign w:val="center"/>
            <w:hideMark/>
          </w:tcPr>
          <w:p w14:paraId="12C2DE8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&gt;1.5  </w:t>
            </w:r>
          </w:p>
        </w:tc>
        <w:tc>
          <w:tcPr>
            <w:tcW w:w="2265" w:type="dxa"/>
            <w:tcBorders>
              <w:top w:val="outset" w:sz="6" w:space="0" w:color="auto"/>
              <w:left w:val="outset" w:sz="6" w:space="0" w:color="auto"/>
              <w:bottom w:val="outset" w:sz="6" w:space="0" w:color="auto"/>
              <w:right w:val="outset" w:sz="6" w:space="0" w:color="auto"/>
            </w:tcBorders>
            <w:vAlign w:val="center"/>
            <w:hideMark/>
          </w:tcPr>
          <w:p w14:paraId="58DEE49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w:t>
            </w:r>
          </w:p>
        </w:tc>
        <w:tc>
          <w:tcPr>
            <w:tcW w:w="3825" w:type="dxa"/>
            <w:tcBorders>
              <w:top w:val="outset" w:sz="6" w:space="0" w:color="auto"/>
              <w:left w:val="outset" w:sz="6" w:space="0" w:color="auto"/>
              <w:bottom w:val="outset" w:sz="6" w:space="0" w:color="auto"/>
              <w:right w:val="outset" w:sz="6" w:space="0" w:color="auto"/>
            </w:tcBorders>
            <w:vAlign w:val="center"/>
            <w:hideMark/>
          </w:tcPr>
          <w:p w14:paraId="79F44AA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21  </w:t>
            </w:r>
          </w:p>
        </w:tc>
      </w:tr>
      <w:tr w:rsidR="00FC79C1" w:rsidRPr="009342F9" w14:paraId="17BD6AD9" w14:textId="77777777" w:rsidTr="00FC79C1">
        <w:trPr>
          <w:trHeight w:val="105"/>
          <w:tblCellSpacing w:w="0" w:type="dxa"/>
          <w:jc w:val="center"/>
        </w:trPr>
        <w:tc>
          <w:tcPr>
            <w:tcW w:w="2265" w:type="dxa"/>
            <w:tcBorders>
              <w:top w:val="outset" w:sz="6" w:space="0" w:color="auto"/>
              <w:left w:val="outset" w:sz="6" w:space="0" w:color="auto"/>
              <w:bottom w:val="outset" w:sz="6" w:space="0" w:color="auto"/>
              <w:right w:val="outset" w:sz="6" w:space="0" w:color="auto"/>
            </w:tcBorders>
            <w:vAlign w:val="center"/>
            <w:hideMark/>
          </w:tcPr>
          <w:p w14:paraId="62B36A8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&gt; 2  </w:t>
            </w:r>
          </w:p>
        </w:tc>
        <w:tc>
          <w:tcPr>
            <w:tcW w:w="2265" w:type="dxa"/>
            <w:tcBorders>
              <w:top w:val="outset" w:sz="6" w:space="0" w:color="auto"/>
              <w:left w:val="outset" w:sz="6" w:space="0" w:color="auto"/>
              <w:bottom w:val="outset" w:sz="6" w:space="0" w:color="auto"/>
              <w:right w:val="outset" w:sz="6" w:space="0" w:color="auto"/>
            </w:tcBorders>
            <w:vAlign w:val="center"/>
            <w:hideMark/>
          </w:tcPr>
          <w:p w14:paraId="180AEA2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2.25  </w:t>
            </w:r>
          </w:p>
        </w:tc>
        <w:tc>
          <w:tcPr>
            <w:tcW w:w="3825" w:type="dxa"/>
            <w:tcBorders>
              <w:top w:val="outset" w:sz="6" w:space="0" w:color="auto"/>
              <w:left w:val="outset" w:sz="6" w:space="0" w:color="auto"/>
              <w:bottom w:val="outset" w:sz="6" w:space="0" w:color="auto"/>
              <w:right w:val="outset" w:sz="6" w:space="0" w:color="auto"/>
            </w:tcBorders>
            <w:vAlign w:val="center"/>
            <w:hideMark/>
          </w:tcPr>
          <w:p w14:paraId="75C4BE1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19  </w:t>
            </w:r>
          </w:p>
        </w:tc>
      </w:tr>
      <w:tr w:rsidR="00FC79C1" w:rsidRPr="009342F9" w14:paraId="41EB4FEB" w14:textId="77777777" w:rsidTr="00FC79C1">
        <w:trPr>
          <w:trHeight w:val="105"/>
          <w:tblCellSpacing w:w="0" w:type="dxa"/>
          <w:jc w:val="center"/>
        </w:trPr>
        <w:tc>
          <w:tcPr>
            <w:tcW w:w="2265" w:type="dxa"/>
            <w:tcBorders>
              <w:top w:val="outset" w:sz="6" w:space="0" w:color="auto"/>
              <w:left w:val="outset" w:sz="6" w:space="0" w:color="auto"/>
              <w:bottom w:val="outset" w:sz="6" w:space="0" w:color="auto"/>
              <w:right w:val="outset" w:sz="6" w:space="0" w:color="auto"/>
            </w:tcBorders>
            <w:vAlign w:val="center"/>
            <w:hideMark/>
          </w:tcPr>
          <w:p w14:paraId="58B8CF4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&gt; 2.25  </w:t>
            </w:r>
          </w:p>
        </w:tc>
        <w:tc>
          <w:tcPr>
            <w:tcW w:w="2265" w:type="dxa"/>
            <w:tcBorders>
              <w:top w:val="outset" w:sz="6" w:space="0" w:color="auto"/>
              <w:left w:val="outset" w:sz="6" w:space="0" w:color="auto"/>
              <w:bottom w:val="outset" w:sz="6" w:space="0" w:color="auto"/>
              <w:right w:val="outset" w:sz="6" w:space="0" w:color="auto"/>
            </w:tcBorders>
            <w:vAlign w:val="center"/>
            <w:hideMark/>
          </w:tcPr>
          <w:p w14:paraId="44F5162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2.5  </w:t>
            </w:r>
          </w:p>
        </w:tc>
        <w:tc>
          <w:tcPr>
            <w:tcW w:w="3825" w:type="dxa"/>
            <w:tcBorders>
              <w:top w:val="outset" w:sz="6" w:space="0" w:color="auto"/>
              <w:left w:val="outset" w:sz="6" w:space="0" w:color="auto"/>
              <w:bottom w:val="outset" w:sz="6" w:space="0" w:color="auto"/>
              <w:right w:val="outset" w:sz="6" w:space="0" w:color="auto"/>
            </w:tcBorders>
            <w:vAlign w:val="center"/>
            <w:hideMark/>
          </w:tcPr>
          <w:p w14:paraId="095FF94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17  </w:t>
            </w:r>
          </w:p>
        </w:tc>
      </w:tr>
      <w:tr w:rsidR="00FC79C1" w:rsidRPr="009342F9" w14:paraId="0A40B91A" w14:textId="77777777" w:rsidTr="00FC79C1">
        <w:trPr>
          <w:trHeight w:val="105"/>
          <w:tblCellSpacing w:w="0" w:type="dxa"/>
          <w:jc w:val="center"/>
        </w:trPr>
        <w:tc>
          <w:tcPr>
            <w:tcW w:w="2265" w:type="dxa"/>
            <w:tcBorders>
              <w:top w:val="outset" w:sz="6" w:space="0" w:color="auto"/>
              <w:left w:val="outset" w:sz="6" w:space="0" w:color="auto"/>
              <w:bottom w:val="outset" w:sz="6" w:space="0" w:color="auto"/>
              <w:right w:val="outset" w:sz="6" w:space="0" w:color="auto"/>
            </w:tcBorders>
            <w:vAlign w:val="center"/>
            <w:hideMark/>
          </w:tcPr>
          <w:p w14:paraId="7B65C18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&gt; 2.5  </w:t>
            </w:r>
          </w:p>
        </w:tc>
        <w:tc>
          <w:tcPr>
            <w:tcW w:w="2265" w:type="dxa"/>
            <w:tcBorders>
              <w:top w:val="outset" w:sz="6" w:space="0" w:color="auto"/>
              <w:left w:val="outset" w:sz="6" w:space="0" w:color="auto"/>
              <w:bottom w:val="outset" w:sz="6" w:space="0" w:color="auto"/>
              <w:right w:val="outset" w:sz="6" w:space="0" w:color="auto"/>
            </w:tcBorders>
            <w:vAlign w:val="center"/>
            <w:hideMark/>
          </w:tcPr>
          <w:p w14:paraId="09BDA1F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2.75  </w:t>
            </w:r>
          </w:p>
        </w:tc>
        <w:tc>
          <w:tcPr>
            <w:tcW w:w="3825" w:type="dxa"/>
            <w:tcBorders>
              <w:top w:val="outset" w:sz="6" w:space="0" w:color="auto"/>
              <w:left w:val="outset" w:sz="6" w:space="0" w:color="auto"/>
              <w:bottom w:val="outset" w:sz="6" w:space="0" w:color="auto"/>
              <w:right w:val="outset" w:sz="6" w:space="0" w:color="auto"/>
            </w:tcBorders>
            <w:vAlign w:val="center"/>
            <w:hideMark/>
          </w:tcPr>
          <w:p w14:paraId="4AFA955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15  </w:t>
            </w:r>
          </w:p>
        </w:tc>
      </w:tr>
      <w:tr w:rsidR="00FC79C1" w:rsidRPr="009342F9" w14:paraId="246E246B" w14:textId="77777777" w:rsidTr="00FC79C1">
        <w:trPr>
          <w:trHeight w:val="105"/>
          <w:tblCellSpacing w:w="0" w:type="dxa"/>
          <w:jc w:val="center"/>
        </w:trPr>
        <w:tc>
          <w:tcPr>
            <w:tcW w:w="2265" w:type="dxa"/>
            <w:tcBorders>
              <w:top w:val="outset" w:sz="6" w:space="0" w:color="auto"/>
              <w:left w:val="outset" w:sz="6" w:space="0" w:color="auto"/>
              <w:bottom w:val="outset" w:sz="6" w:space="0" w:color="auto"/>
              <w:right w:val="outset" w:sz="6" w:space="0" w:color="auto"/>
            </w:tcBorders>
            <w:vAlign w:val="center"/>
            <w:hideMark/>
          </w:tcPr>
          <w:p w14:paraId="7009C34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&gt;2.75  </w:t>
            </w:r>
          </w:p>
        </w:tc>
        <w:tc>
          <w:tcPr>
            <w:tcW w:w="2265" w:type="dxa"/>
            <w:tcBorders>
              <w:top w:val="outset" w:sz="6" w:space="0" w:color="auto"/>
              <w:left w:val="outset" w:sz="6" w:space="0" w:color="auto"/>
              <w:bottom w:val="outset" w:sz="6" w:space="0" w:color="auto"/>
              <w:right w:val="outset" w:sz="6" w:space="0" w:color="auto"/>
            </w:tcBorders>
            <w:vAlign w:val="center"/>
            <w:hideMark/>
          </w:tcPr>
          <w:p w14:paraId="41957AC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w:t>
            </w:r>
          </w:p>
        </w:tc>
        <w:tc>
          <w:tcPr>
            <w:tcW w:w="3825" w:type="dxa"/>
            <w:tcBorders>
              <w:top w:val="outset" w:sz="6" w:space="0" w:color="auto"/>
              <w:left w:val="outset" w:sz="6" w:space="0" w:color="auto"/>
              <w:bottom w:val="outset" w:sz="6" w:space="0" w:color="auto"/>
              <w:right w:val="outset" w:sz="6" w:space="0" w:color="auto"/>
            </w:tcBorders>
            <w:vAlign w:val="center"/>
            <w:hideMark/>
          </w:tcPr>
          <w:p w14:paraId="1E93BAB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13  </w:t>
            </w:r>
          </w:p>
        </w:tc>
      </w:tr>
      <w:tr w:rsidR="00FC79C1" w:rsidRPr="009342F9" w14:paraId="3097FAB0" w14:textId="77777777" w:rsidTr="00FC79C1">
        <w:trPr>
          <w:trHeight w:val="105"/>
          <w:tblCellSpacing w:w="0" w:type="dxa"/>
          <w:jc w:val="center"/>
        </w:trPr>
        <w:tc>
          <w:tcPr>
            <w:tcW w:w="2265" w:type="dxa"/>
            <w:tcBorders>
              <w:top w:val="outset" w:sz="6" w:space="0" w:color="auto"/>
              <w:left w:val="outset" w:sz="6" w:space="0" w:color="auto"/>
              <w:bottom w:val="outset" w:sz="6" w:space="0" w:color="auto"/>
              <w:right w:val="outset" w:sz="6" w:space="0" w:color="auto"/>
            </w:tcBorders>
            <w:vAlign w:val="center"/>
            <w:hideMark/>
          </w:tcPr>
          <w:p w14:paraId="3077E9F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&gt; 3  </w:t>
            </w:r>
          </w:p>
        </w:tc>
        <w:tc>
          <w:tcPr>
            <w:tcW w:w="2265" w:type="dxa"/>
            <w:tcBorders>
              <w:top w:val="outset" w:sz="6" w:space="0" w:color="auto"/>
              <w:left w:val="outset" w:sz="6" w:space="0" w:color="auto"/>
              <w:bottom w:val="outset" w:sz="6" w:space="0" w:color="auto"/>
              <w:right w:val="outset" w:sz="6" w:space="0" w:color="auto"/>
            </w:tcBorders>
            <w:vAlign w:val="center"/>
            <w:hideMark/>
          </w:tcPr>
          <w:p w14:paraId="0357CBC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3.5  </w:t>
            </w:r>
          </w:p>
        </w:tc>
        <w:tc>
          <w:tcPr>
            <w:tcW w:w="3825" w:type="dxa"/>
            <w:tcBorders>
              <w:top w:val="outset" w:sz="6" w:space="0" w:color="auto"/>
              <w:left w:val="outset" w:sz="6" w:space="0" w:color="auto"/>
              <w:bottom w:val="outset" w:sz="6" w:space="0" w:color="auto"/>
              <w:right w:val="outset" w:sz="6" w:space="0" w:color="auto"/>
            </w:tcBorders>
            <w:vAlign w:val="center"/>
            <w:hideMark/>
          </w:tcPr>
          <w:p w14:paraId="5A314E5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9  </w:t>
            </w:r>
          </w:p>
        </w:tc>
      </w:tr>
      <w:tr w:rsidR="00FC79C1" w:rsidRPr="009342F9" w14:paraId="0180BF69" w14:textId="77777777" w:rsidTr="00FC79C1">
        <w:trPr>
          <w:trHeight w:val="105"/>
          <w:tblCellSpacing w:w="0" w:type="dxa"/>
          <w:jc w:val="center"/>
        </w:trPr>
        <w:tc>
          <w:tcPr>
            <w:tcW w:w="2265" w:type="dxa"/>
            <w:tcBorders>
              <w:top w:val="outset" w:sz="6" w:space="0" w:color="auto"/>
              <w:left w:val="outset" w:sz="6" w:space="0" w:color="auto"/>
              <w:bottom w:val="outset" w:sz="6" w:space="0" w:color="auto"/>
              <w:right w:val="outset" w:sz="6" w:space="0" w:color="auto"/>
            </w:tcBorders>
            <w:vAlign w:val="center"/>
            <w:hideMark/>
          </w:tcPr>
          <w:p w14:paraId="5178EE8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&gt; 3.5  </w:t>
            </w:r>
          </w:p>
        </w:tc>
        <w:tc>
          <w:tcPr>
            <w:tcW w:w="2265" w:type="dxa"/>
            <w:tcBorders>
              <w:top w:val="outset" w:sz="6" w:space="0" w:color="auto"/>
              <w:left w:val="outset" w:sz="6" w:space="0" w:color="auto"/>
              <w:bottom w:val="outset" w:sz="6" w:space="0" w:color="auto"/>
              <w:right w:val="outset" w:sz="6" w:space="0" w:color="auto"/>
            </w:tcBorders>
            <w:vAlign w:val="center"/>
            <w:hideMark/>
          </w:tcPr>
          <w:p w14:paraId="2764956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w:t>
            </w:r>
          </w:p>
        </w:tc>
        <w:tc>
          <w:tcPr>
            <w:tcW w:w="3825" w:type="dxa"/>
            <w:tcBorders>
              <w:top w:val="outset" w:sz="6" w:space="0" w:color="auto"/>
              <w:left w:val="outset" w:sz="6" w:space="0" w:color="auto"/>
              <w:bottom w:val="outset" w:sz="6" w:space="0" w:color="auto"/>
              <w:right w:val="outset" w:sz="6" w:space="0" w:color="auto"/>
            </w:tcBorders>
            <w:vAlign w:val="center"/>
            <w:hideMark/>
          </w:tcPr>
          <w:p w14:paraId="58C465C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w:t>
            </w:r>
          </w:p>
        </w:tc>
      </w:tr>
    </w:tbl>
    <w:p w14:paraId="433BE34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B8A12B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 Construcción en sitio propio: El valor corresponderá, como máximo, a dieciocho (18) Salarios Mínimos Legales Mensuales Vigentes;  </w:t>
      </w:r>
    </w:p>
    <w:p w14:paraId="2AFD2DE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DD6E9E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d) Mejoramiento de vivienda: El valor corresponderá, como máximo, a dieciocho (18) Salarios Mínimos Legales Mensuales Vigentes;  </w:t>
      </w:r>
    </w:p>
    <w:p w14:paraId="48D948B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2C6AA7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e) Arrendamiento y Arrendamiento con Opción de Compra: El valor corresponderá, como máximo, a </w:t>
      </w:r>
      <w:proofErr w:type="gramStart"/>
      <w:r w:rsidRPr="009342F9">
        <w:rPr>
          <w:rFonts w:ascii="Arial" w:eastAsia="Times New Roman" w:hAnsi="Arial" w:cs="Arial"/>
          <w:color w:val="000000"/>
          <w:lang w:eastAsia="es-CO"/>
        </w:rPr>
        <w:t>cero punto</w:t>
      </w:r>
      <w:proofErr w:type="gramEnd"/>
      <w:r w:rsidRPr="009342F9">
        <w:rPr>
          <w:rFonts w:ascii="Arial" w:eastAsia="Times New Roman" w:hAnsi="Arial" w:cs="Arial"/>
          <w:color w:val="000000"/>
          <w:lang w:eastAsia="es-CO"/>
        </w:rPr>
        <w:t xml:space="preserve"> seis (0.6) Salarios Mínimos Legales Mensuales Vigentes por cada canon mensual de arrendamiento hasta por veinticuatro (24) meses.  </w:t>
      </w:r>
    </w:p>
    <w:p w14:paraId="2A86238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70D770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1°. El Puntaje Sisbén Rural, aplica para el caso de hogares que cuentan actualmente con puntaje del Sisbén Rural pero que presentan sus postulaciones para una unidad de vivienda ubicada en una zona urbana conforme a la normatividad definida en la presente sección.  </w:t>
      </w:r>
    </w:p>
    <w:p w14:paraId="5A9D812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w:t>
      </w:r>
    </w:p>
    <w:p w14:paraId="67713F3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2°. Si un hogar postulante al subsidio que otorga el Gobierno nacional, teniendo ingresos inferiores a cuatro (4) salarios mínimos legales mensuales vigentes, presenta puntaje Sisbén superior a 34.5, el valor del subsidio asignado será de cuatro (4) salarios mínimos mensuales legales vigentes, siempre y cuando el puntaje Sisbén no supere los cincuenta (50) puntos.  </w:t>
      </w:r>
    </w:p>
    <w:p w14:paraId="7E93E13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A342E4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3°. En el Departamento Archipiélago de San Andrés, Providencia y Santa Catalina, el SFV urbano en las modalidades de mejoramiento de vivienda y construcción en sitio propio será hasta de veintidós (22) Salarios Mínimos Legales Mensuales Vigentes, sin perjuicio del puntaje del Sisbén y de los ingresos de los hogares postulantes, que en todo caso deberán ser inferiores a cuatro (4) Salarios Mínimos Legales Mensuales Vigentes.  </w:t>
      </w:r>
    </w:p>
    <w:p w14:paraId="0EE073A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3C0711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4°. Los valores del subsidio familiar de vivienda a que se refiere el numeral 1 del presente artículo solo serán aplicables a los subsidios asignados en virtud de lo dispuesto en esta sección, de manera que no serán aplicables a otros procesos de asignación, como es el caso del Programa de Vivienda Gratuita (subsidio familiar de vivienda 100% en especie), Vivienda de Interés Prioritario para Ahorradores (VIPA), Promoción de Acceso a la Vivienda de Interés Social “Mi Casa Ya”, Semillero de Propietarios y Casa Digna, Vida Digna, los cuales se regirán por lo dispuesto en las secciones correspondientes de este decreto.  </w:t>
      </w:r>
    </w:p>
    <w:p w14:paraId="18BEEFB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FFE5AE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5°. Las Cajas de Compensación Familiar podrán aumentar el valor del subsidio familiar de vivienda urbana nueva que hayan asignado, que se encuentran vigentes y pendientes de aplicar, sin que en ningún caso se supere el valor referido en el literal a) del numeral 2 del presente artículo. Para efectos del desembolso e independientemente de la fecha de asignación del subsidio, su cuantía podrá ser calculada con base en el valor del salario mínimo mensual legal vigente del momento en que se realice el aumento señalado. El ajuste del valor adicional y actualización del valor del subsidio familiar de vivienda urbana nueva, al establecido en el literal a) del numeral 2 del presente artículo, operará siempre y cuando el hogar beneficiario del subsidio lo solicite y, al momento de la realización del ajuste, el hogar mantenga las condiciones establecidas para ser beneficiario del subsidio, de acuerdo con la verificación que realice la Caja de Compensación respectiva.”  </w:t>
      </w:r>
    </w:p>
    <w:p w14:paraId="3992B026" w14:textId="7235754F"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32" w:name="ver_30200373"/>
      <w:bookmarkStart w:id="33" w:name="ver_30109514"/>
      <w:bookmarkStart w:id="34" w:name="ver_30109516"/>
      <w:bookmarkEnd w:id="28"/>
      <w:bookmarkEnd w:id="29"/>
      <w:bookmarkEnd w:id="30"/>
      <w:bookmarkEnd w:id="31"/>
      <w:bookmarkEnd w:id="32"/>
    </w:p>
    <w:p w14:paraId="4B7C6C6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2.1.1.1.1.1.9. Límite a la cuantía del subsidio. No </w:t>
      </w:r>
      <w:proofErr w:type="gramStart"/>
      <w:r w:rsidRPr="009342F9">
        <w:rPr>
          <w:rFonts w:ascii="Arial" w:eastAsia="Times New Roman" w:hAnsi="Arial" w:cs="Arial"/>
          <w:color w:val="000000"/>
          <w:lang w:eastAsia="es-CO"/>
        </w:rPr>
        <w:t>obstante</w:t>
      </w:r>
      <w:proofErr w:type="gramEnd"/>
      <w:r w:rsidRPr="009342F9">
        <w:rPr>
          <w:rFonts w:ascii="Arial" w:eastAsia="Times New Roman" w:hAnsi="Arial" w:cs="Arial"/>
          <w:color w:val="000000"/>
          <w:lang w:eastAsia="es-CO"/>
        </w:rPr>
        <w:t xml:space="preserve"> lo dispuesto en el artículo 2.1.1.1.1.1.8, en ningún caso la cuantía del subsidio de vivienda de interés social otorgado por las Cajas de Compensación Familiar, podrá ser superior al noventa por ciento (90%) del valor o precio de la vivienda a adquirir, construir o mejorar, en la fecha de asignación del subsidio. Para los casos de construcción en sitio propio y mejoramiento de vivienda el 90% será tomado con base en el valor de la construcción o la mejora, en la fecha de asignación del subsidio. Para los casos de arrendamiento y arrendamiento con opción de compra, el 90% será tomado con base en el valor del canon de arrendamiento pactado en el respectivo contrato.” </w:t>
      </w:r>
    </w:p>
    <w:p w14:paraId="0D035E89"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35" w:name="ver_30069031"/>
      <w:bookmarkEnd w:id="33"/>
      <w:bookmarkEnd w:id="34"/>
      <w:bookmarkEnd w:id="35"/>
    </w:p>
    <w:p w14:paraId="554E6C6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2.1.1.1.1.1.10. Participantes en el Sistema de Vivienda de Interés Social. Las alcaldías municipales o distritales, gobernaciones y áreas metropolitanas, en su carácter de instancias responsables, a nivel local y departamental, de la ejecución de la política pública en materia de vivienda y desarrollo urbano, podrán participar en la estructuración y ejecución de los programas de vivienda de interés social en los cuales hagan parte hogares beneficiarios de subsidios otorgados por el Gobierno Nacional, de conformidad con los procedimientos y requisitos establecidos en la ley y la presente sección. </w:t>
      </w:r>
    </w:p>
    <w:p w14:paraId="3CA1CC4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6270C0D" w14:textId="03954D5B" w:rsidR="00FC79C1" w:rsidRPr="009342F9" w:rsidRDefault="00FC79C1" w:rsidP="00FC79C1">
      <w:pPr>
        <w:spacing w:after="0" w:line="240" w:lineRule="auto"/>
        <w:jc w:val="both"/>
        <w:rPr>
          <w:rFonts w:ascii="Arial" w:eastAsia="Times New Roman" w:hAnsi="Arial" w:cs="Arial"/>
          <w:color w:val="000000"/>
          <w:lang w:eastAsia="es-CO"/>
        </w:rPr>
      </w:pPr>
      <w:r w:rsidRPr="3DD719FF">
        <w:rPr>
          <w:rFonts w:ascii="Arial" w:eastAsia="Times New Roman" w:hAnsi="Arial" w:cs="Arial"/>
          <w:color w:val="000000" w:themeColor="text1"/>
          <w:lang w:eastAsia="es-CO"/>
        </w:rPr>
        <w:lastRenderedPageBreak/>
        <w:t>Las Unidades Administrativas, dependencias, entidades u oficinas que cumplan con las funciones de implantar las políticas de vivienda de interés social en el municipio o distrito, los Fondos Departamentales de Vivienda, las entidades territoriales, las Cajas de Compensación Familiar, las Organizaciones Populares de Vivienda, las Organizaciones No Gubernamentales, las sociedades constructoras legalmente constituidas y, en general, las entidades o patrimonios con personería jurídica vigente que tengan incluido en su objeto social la promoción y el desarrollo de programas de vivienda, podrán participar en los diferentes programas de vivienda de interés social a los cuales los beneficiarios podrán aplicar sus subsidios, en los términos previstos en la Ley 3ª de 1991 y las normas reglamentarias. </w:t>
      </w:r>
    </w:p>
    <w:p w14:paraId="0E5F0C9B" w14:textId="60F7CD56"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36" w:name="ver_30069032"/>
      <w:bookmarkEnd w:id="36"/>
    </w:p>
    <w:p w14:paraId="21AD3164" w14:textId="07E24433" w:rsidR="00FC79C1" w:rsidRPr="009342F9" w:rsidRDefault="00FC79C1" w:rsidP="00FC79C1">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SUB-SUBSECCIÓN 1</w:t>
      </w:r>
    </w:p>
    <w:p w14:paraId="0C4C8E6A" w14:textId="77777777" w:rsidR="00FC79C1" w:rsidRPr="009342F9" w:rsidRDefault="00FC79C1" w:rsidP="00FC79C1">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VALOR DEL SUBSIDIO FAMILIAR DE VIVIENDA DE INTERÉS SOCIAL PARA ÁREAS URBANAS EN MODALIDAD DE ADQUISIÓN DE VIVIENDA NUEVA</w:t>
      </w:r>
    </w:p>
    <w:p w14:paraId="70003E1D"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37" w:name="ver_30210161"/>
      <w:bookmarkStart w:id="38" w:name="ver_30069033"/>
      <w:bookmarkEnd w:id="37"/>
    </w:p>
    <w:p w14:paraId="545BD4EC" w14:textId="57AC147B" w:rsidR="00FC79C1"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2.1.1.1.1.1.1.1. Valor del subsidio familiar de vivienda de interés social para áreas urbanas. El monto del subsidio familiar de vivienda de interés social para áreas urbanas que otorgue el Fondo Nacional de Vivienda (Fonvivienda), con cargo a los recursos del Presupuesto General de la Nación en la modalidad de adquisición de vivienda nueva a los hogares beneficiarios a través de las bolsas de recuperadores de residuos reciclables; afectados por situación de desastre, calamidad pública o emergencia; damnificados por atentados terroristas; afectados por el fenómeno de La Niña 2010-2011; hogares en situación de desplazamiento; y Macroproyectos de Interés Social Nacional, podrá ser hasta de noventa salarios mínimos legales mensuales vigentes (90 </w:t>
      </w:r>
      <w:proofErr w:type="spellStart"/>
      <w:r w:rsidRPr="009342F9">
        <w:rPr>
          <w:rFonts w:ascii="Arial" w:eastAsia="Times New Roman" w:hAnsi="Arial" w:cs="Arial"/>
          <w:color w:val="000000"/>
          <w:lang w:eastAsia="es-CO"/>
        </w:rPr>
        <w:t>smlmv</w:t>
      </w:r>
      <w:proofErr w:type="spellEnd"/>
      <w:r w:rsidRPr="009342F9">
        <w:rPr>
          <w:rFonts w:ascii="Arial" w:eastAsia="Times New Roman" w:hAnsi="Arial" w:cs="Arial"/>
          <w:color w:val="000000"/>
          <w:lang w:eastAsia="es-CO"/>
        </w:rPr>
        <w:t>).  </w:t>
      </w:r>
    </w:p>
    <w:p w14:paraId="7F9A98CF" w14:textId="77777777" w:rsidR="009342F9" w:rsidRPr="009342F9" w:rsidRDefault="009342F9" w:rsidP="00FC79C1">
      <w:pPr>
        <w:spacing w:after="0" w:line="240" w:lineRule="auto"/>
        <w:jc w:val="both"/>
        <w:rPr>
          <w:rFonts w:ascii="Arial" w:eastAsia="Times New Roman" w:hAnsi="Arial" w:cs="Arial"/>
          <w:color w:val="000000"/>
          <w:lang w:eastAsia="es-CO"/>
        </w:rPr>
      </w:pPr>
    </w:p>
    <w:p w14:paraId="62043B4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todo caso, el hogar podrá solicitar un valor inferior al establecido en el presente artículo, sustentado en el cierre financiero.  </w:t>
      </w:r>
    </w:p>
    <w:p w14:paraId="13514F1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39" w:name="ver_30069034"/>
      <w:bookmarkEnd w:id="38"/>
      <w:bookmarkEnd w:id="39"/>
    </w:p>
    <w:p w14:paraId="493323AA" w14:textId="676B1D56"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2.1.1.1.1.1.1.2. Aplicación. Lo dispuesto en el anterior artículo aplicará para los subsidios familiares de vivienda de interés social para áreas urbanas en la modalidad de adquisición de vivienda nueva que se asignen por el Fondo Nacional de Vivienda (FONVIVIENDA), con posterioridad al 06 de febrero de 2013. </w:t>
      </w:r>
    </w:p>
    <w:p w14:paraId="34CD2203"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40" w:name="ver_30069035"/>
      <w:bookmarkEnd w:id="40"/>
    </w:p>
    <w:p w14:paraId="3C9EA3A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2.1.1.1.1.1.1.3. Recursos Presupuesto General de la Nación. Los recursos del Presupuesto General de la Nación que se destinen para atender el subsidio familiar de vivienda de interés social de que tratan los artículos precedentes deberán estar sujetos a las disponibilidades fiscales y presupuestales que se prioricen en el Marco de Gasto de Mediano Plazo aprobado para el sector. </w:t>
      </w:r>
    </w:p>
    <w:p w14:paraId="2CF84FD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D1B208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La aplicación de lo previsto en la presente </w:t>
      </w:r>
      <w:proofErr w:type="spellStart"/>
      <w:r w:rsidRPr="009342F9">
        <w:rPr>
          <w:rFonts w:ascii="Arial" w:eastAsia="Times New Roman" w:hAnsi="Arial" w:cs="Arial"/>
          <w:color w:val="000000"/>
          <w:lang w:eastAsia="es-CO"/>
        </w:rPr>
        <w:t>sub-subsección</w:t>
      </w:r>
      <w:proofErr w:type="spellEnd"/>
      <w:r w:rsidRPr="009342F9">
        <w:rPr>
          <w:rFonts w:ascii="Arial" w:eastAsia="Times New Roman" w:hAnsi="Arial" w:cs="Arial"/>
          <w:color w:val="000000"/>
          <w:lang w:eastAsia="es-CO"/>
        </w:rPr>
        <w:t xml:space="preserve"> no podrá dar origen a ajustes presupuestales que impliquen recursos adicionales a los ya contemplados en el Marco de Mediano Plazo vigente para el sector. </w:t>
      </w:r>
    </w:p>
    <w:p w14:paraId="650EB73D"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41" w:name="ver_30069036"/>
      <w:bookmarkEnd w:id="41"/>
    </w:p>
    <w:p w14:paraId="7103C774" w14:textId="315355C8" w:rsidR="00FC79C1" w:rsidRPr="009342F9" w:rsidRDefault="00FC79C1" w:rsidP="00FC79C1">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SUBSECCIÓN 2</w:t>
      </w:r>
    </w:p>
    <w:p w14:paraId="3907AED8" w14:textId="77777777" w:rsidR="00FC79C1" w:rsidRPr="009342F9" w:rsidRDefault="00FC79C1" w:rsidP="00FC79C1">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DISTRIBUCIÓN DE RECURSOS DEL SUBSIDIO FAMILIAR DE VIVIENDA</w:t>
      </w:r>
    </w:p>
    <w:p w14:paraId="76CB5820" w14:textId="77777777" w:rsidR="00FC79C1" w:rsidRPr="009342F9" w:rsidRDefault="00FC79C1" w:rsidP="00FC79C1">
      <w:pPr>
        <w:spacing w:after="0" w:line="240" w:lineRule="auto"/>
        <w:jc w:val="center"/>
        <w:rPr>
          <w:rFonts w:ascii="Arial" w:eastAsia="Times New Roman" w:hAnsi="Arial" w:cs="Arial"/>
          <w:b/>
          <w:bCs/>
          <w:color w:val="000000"/>
          <w:lang w:eastAsia="es-CO"/>
        </w:rPr>
      </w:pPr>
      <w:bookmarkStart w:id="42" w:name="ver_30200462"/>
      <w:bookmarkEnd w:id="42"/>
      <w:r w:rsidRPr="009342F9">
        <w:rPr>
          <w:rFonts w:ascii="Arial" w:eastAsia="Times New Roman" w:hAnsi="Arial" w:cs="Arial"/>
          <w:b/>
          <w:bCs/>
          <w:color w:val="000000"/>
          <w:lang w:eastAsia="es-CO"/>
        </w:rPr>
        <w:t>SUB-SUBSECCIÓN 1 CRITERIOS DE DISTRIBUCIÓN DE RECURSOS DEL GOBIERNO NACIONAL</w:t>
      </w:r>
    </w:p>
    <w:p w14:paraId="7200C4A6" w14:textId="64426966" w:rsidR="00FC79C1" w:rsidRPr="009342F9" w:rsidRDefault="00FC79C1" w:rsidP="00FC79C1">
      <w:pPr>
        <w:spacing w:after="0" w:line="240" w:lineRule="auto"/>
        <w:jc w:val="center"/>
        <w:rPr>
          <w:rFonts w:ascii="Arial" w:eastAsia="Times New Roman" w:hAnsi="Arial" w:cs="Arial"/>
          <w:b/>
          <w:bCs/>
          <w:color w:val="000000"/>
          <w:lang w:eastAsia="es-CO"/>
        </w:rPr>
      </w:pPr>
    </w:p>
    <w:p w14:paraId="22850C6B"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43" w:name="ver_30200415"/>
      <w:bookmarkStart w:id="44" w:name="ver_30069037"/>
      <w:bookmarkEnd w:id="43"/>
    </w:p>
    <w:p w14:paraId="653A1EF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2.1.1.1.1.2.1.1. Derogado </w:t>
      </w:r>
    </w:p>
    <w:p w14:paraId="4A1CF77D"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45" w:name="ver_30200416"/>
      <w:bookmarkStart w:id="46" w:name="ver_30069038"/>
      <w:bookmarkEnd w:id="44"/>
      <w:bookmarkEnd w:id="45"/>
    </w:p>
    <w:p w14:paraId="544F51B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2.1.1.1.1.2.1.2. Derogado </w:t>
      </w:r>
    </w:p>
    <w:p w14:paraId="01FFF657" w14:textId="77777777" w:rsidR="00FC79C1" w:rsidRPr="009342F9" w:rsidRDefault="00FC79C1" w:rsidP="00FC79C1">
      <w:pPr>
        <w:spacing w:after="0" w:line="240" w:lineRule="auto"/>
        <w:jc w:val="both"/>
        <w:rPr>
          <w:rFonts w:ascii="Arial" w:eastAsia="Times New Roman" w:hAnsi="Arial" w:cs="Arial"/>
          <w:color w:val="000000"/>
          <w:lang w:eastAsia="es-CO"/>
        </w:rPr>
      </w:pPr>
    </w:p>
    <w:p w14:paraId="6615DE04" w14:textId="03954D5B" w:rsidR="00FC79C1" w:rsidRDefault="00FC79C1" w:rsidP="00FC79C1">
      <w:pPr>
        <w:spacing w:after="0" w:line="240" w:lineRule="auto"/>
        <w:jc w:val="both"/>
        <w:rPr>
          <w:rFonts w:ascii="Arial" w:eastAsia="Times New Roman" w:hAnsi="Arial" w:cs="Arial"/>
          <w:color w:val="000000"/>
          <w:lang w:eastAsia="es-CO"/>
        </w:rPr>
      </w:pPr>
      <w:bookmarkStart w:id="47" w:name="ver_30200417"/>
      <w:bookmarkStart w:id="48" w:name="ver_30069040"/>
      <w:bookmarkEnd w:id="46"/>
      <w:bookmarkEnd w:id="47"/>
      <w:r w:rsidRPr="3DD719FF">
        <w:rPr>
          <w:rFonts w:ascii="Arial" w:eastAsia="Times New Roman" w:hAnsi="Arial" w:cs="Arial"/>
          <w:color w:val="000000" w:themeColor="text1"/>
          <w:lang w:eastAsia="es-CO"/>
        </w:rPr>
        <w:t>Artículo 2.1.1.1.1.2.1.3. Derogado </w:t>
      </w:r>
    </w:p>
    <w:p w14:paraId="51E42150" w14:textId="03954D5B" w:rsidR="00D04AB5" w:rsidRPr="009342F9" w:rsidRDefault="00D04AB5" w:rsidP="00FC79C1">
      <w:pPr>
        <w:spacing w:after="0" w:line="240" w:lineRule="auto"/>
        <w:jc w:val="both"/>
        <w:rPr>
          <w:rFonts w:ascii="Arial" w:eastAsia="Times New Roman" w:hAnsi="Arial" w:cs="Arial"/>
          <w:color w:val="000000"/>
          <w:lang w:eastAsia="es-CO"/>
        </w:rPr>
      </w:pPr>
    </w:p>
    <w:p w14:paraId="0B0ABA46" w14:textId="77777777" w:rsidR="00FC79C1" w:rsidRPr="009342F9" w:rsidRDefault="00FC79C1" w:rsidP="00FC79C1">
      <w:pPr>
        <w:spacing w:after="0" w:line="240" w:lineRule="auto"/>
        <w:jc w:val="center"/>
        <w:rPr>
          <w:rFonts w:ascii="Arial" w:eastAsia="Times New Roman" w:hAnsi="Arial" w:cs="Arial"/>
          <w:b/>
          <w:bCs/>
          <w:color w:val="000000"/>
          <w:lang w:eastAsia="es-CO"/>
        </w:rPr>
      </w:pPr>
      <w:bookmarkStart w:id="49" w:name="ver_30069041"/>
      <w:bookmarkEnd w:id="48"/>
      <w:bookmarkEnd w:id="49"/>
      <w:r w:rsidRPr="009342F9">
        <w:rPr>
          <w:rFonts w:ascii="Arial" w:eastAsia="Times New Roman" w:hAnsi="Arial" w:cs="Arial"/>
          <w:b/>
          <w:bCs/>
          <w:color w:val="000000"/>
          <w:lang w:eastAsia="es-CO"/>
        </w:rPr>
        <w:t>SUBSECCIÓN 3</w:t>
      </w:r>
    </w:p>
    <w:p w14:paraId="3598C707" w14:textId="03954D5B" w:rsidR="00FC79C1" w:rsidRDefault="00FC79C1" w:rsidP="00FC79C1">
      <w:pPr>
        <w:spacing w:after="0" w:line="240" w:lineRule="auto"/>
        <w:jc w:val="center"/>
        <w:rPr>
          <w:rFonts w:ascii="Arial" w:eastAsia="Times New Roman" w:hAnsi="Arial" w:cs="Arial"/>
          <w:b/>
          <w:bCs/>
          <w:color w:val="000000"/>
          <w:lang w:eastAsia="es-CO"/>
        </w:rPr>
      </w:pPr>
      <w:r w:rsidRPr="3DD719FF">
        <w:rPr>
          <w:rFonts w:ascii="Arial" w:eastAsia="Times New Roman" w:hAnsi="Arial" w:cs="Arial"/>
          <w:b/>
          <w:color w:val="000000" w:themeColor="text1"/>
          <w:lang w:eastAsia="es-CO"/>
        </w:rPr>
        <w:t>ACCESO AL SUBSIDIO FAMILIAR DE VIVIENDA</w:t>
      </w:r>
    </w:p>
    <w:p w14:paraId="660FFE42" w14:textId="03954D5B" w:rsidR="00D04AB5" w:rsidRPr="009342F9" w:rsidRDefault="00D04AB5" w:rsidP="00FC79C1">
      <w:pPr>
        <w:spacing w:after="0" w:line="240" w:lineRule="auto"/>
        <w:jc w:val="center"/>
        <w:rPr>
          <w:rFonts w:ascii="Arial" w:eastAsia="Times New Roman" w:hAnsi="Arial" w:cs="Arial"/>
          <w:b/>
          <w:bCs/>
          <w:color w:val="000000"/>
          <w:lang w:eastAsia="es-CO"/>
        </w:rPr>
      </w:pPr>
    </w:p>
    <w:p w14:paraId="750B8548" w14:textId="7965ED1E" w:rsidR="00FC79C1" w:rsidRPr="009342F9" w:rsidRDefault="00FC79C1" w:rsidP="00FC79C1">
      <w:pPr>
        <w:spacing w:after="0" w:line="240" w:lineRule="auto"/>
        <w:jc w:val="center"/>
        <w:rPr>
          <w:rFonts w:ascii="Arial" w:eastAsia="Times New Roman" w:hAnsi="Arial" w:cs="Arial"/>
          <w:b/>
          <w:bCs/>
          <w:color w:val="000000"/>
          <w:lang w:eastAsia="es-CO"/>
        </w:rPr>
      </w:pPr>
      <w:bookmarkStart w:id="50" w:name="ver_30200418"/>
      <w:bookmarkEnd w:id="50"/>
      <w:r w:rsidRPr="009342F9">
        <w:rPr>
          <w:rFonts w:ascii="Arial" w:eastAsia="Times New Roman" w:hAnsi="Arial" w:cs="Arial"/>
          <w:b/>
          <w:bCs/>
          <w:color w:val="000000"/>
          <w:lang w:eastAsia="es-CO"/>
        </w:rPr>
        <w:t>SUB-SUBSECCIÓN 1</w:t>
      </w:r>
    </w:p>
    <w:p w14:paraId="56050B66" w14:textId="56469F38" w:rsidR="00FC79C1" w:rsidRPr="009342F9" w:rsidRDefault="00FC79C1" w:rsidP="00FC79C1">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OFERTA DE SOLUCIONES DE VIVIENDA-PROCEDIMIENTOS DE ACCESO</w:t>
      </w:r>
    </w:p>
    <w:p w14:paraId="1A9325C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A1D9924" w14:textId="6E570E5E" w:rsidR="00FC79C1" w:rsidRPr="009342F9" w:rsidRDefault="00FC79C1" w:rsidP="00FC79C1">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NUMERAL 1</w:t>
      </w:r>
    </w:p>
    <w:p w14:paraId="7C88BCFC" w14:textId="1CCF22FD" w:rsidR="00FC79C1" w:rsidRPr="009342F9" w:rsidRDefault="00FC79C1" w:rsidP="00FC79C1">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CONCURSOS DE ESFUERZO TERRITORIAL NACIONAL Y DEPARTAMENTA</w:t>
      </w:r>
    </w:p>
    <w:p w14:paraId="04E1DCD9" w14:textId="77777777" w:rsidR="00FC79C1" w:rsidRPr="009342F9" w:rsidRDefault="00FC79C1" w:rsidP="00FC79C1">
      <w:pPr>
        <w:spacing w:after="0" w:line="240" w:lineRule="auto"/>
        <w:jc w:val="both"/>
        <w:rPr>
          <w:rFonts w:ascii="Arial" w:eastAsia="Times New Roman" w:hAnsi="Arial" w:cs="Arial"/>
          <w:color w:val="000000"/>
          <w:lang w:eastAsia="es-CO"/>
        </w:rPr>
      </w:pPr>
    </w:p>
    <w:p w14:paraId="4E26C031"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51" w:name="ver_30200419"/>
      <w:bookmarkStart w:id="52" w:name="ver_30069042"/>
      <w:bookmarkEnd w:id="51"/>
      <w:r w:rsidRPr="009342F9">
        <w:rPr>
          <w:rFonts w:ascii="Arial" w:eastAsia="Times New Roman" w:hAnsi="Arial" w:cs="Arial"/>
          <w:color w:val="000000"/>
          <w:lang w:eastAsia="es-CO"/>
        </w:rPr>
        <w:t>Artículo 2.1.1.1.1.3.1.1.1. Derogado </w:t>
      </w:r>
    </w:p>
    <w:p w14:paraId="3FA7FAEE" w14:textId="77777777" w:rsidR="00FC79C1" w:rsidRPr="009342F9" w:rsidRDefault="00FC79C1" w:rsidP="00FC79C1">
      <w:pPr>
        <w:spacing w:after="0" w:line="240" w:lineRule="auto"/>
        <w:jc w:val="both"/>
        <w:rPr>
          <w:rFonts w:ascii="Arial" w:eastAsia="Times New Roman" w:hAnsi="Arial" w:cs="Arial"/>
          <w:color w:val="000000"/>
          <w:lang w:eastAsia="es-CO"/>
        </w:rPr>
      </w:pPr>
    </w:p>
    <w:p w14:paraId="144B823C"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53" w:name="ver_30200420"/>
      <w:bookmarkStart w:id="54" w:name="ver_30069043"/>
      <w:bookmarkEnd w:id="52"/>
      <w:bookmarkEnd w:id="53"/>
      <w:r w:rsidRPr="009342F9">
        <w:rPr>
          <w:rFonts w:ascii="Arial" w:eastAsia="Times New Roman" w:hAnsi="Arial" w:cs="Arial"/>
          <w:color w:val="000000"/>
          <w:lang w:eastAsia="es-CO"/>
        </w:rPr>
        <w:t>Artículo 2.1.1.1.1.3.1.1.2. Derogado </w:t>
      </w:r>
    </w:p>
    <w:p w14:paraId="28ADB0FF"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55" w:name="ver_30069044"/>
      <w:bookmarkEnd w:id="54"/>
      <w:bookmarkEnd w:id="55"/>
    </w:p>
    <w:p w14:paraId="15232FDE" w14:textId="4A152809" w:rsidR="00FC79C1" w:rsidRPr="009342F9" w:rsidRDefault="00FC79C1" w:rsidP="00FC79C1">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NUMERAL 2</w:t>
      </w:r>
    </w:p>
    <w:p w14:paraId="01F00F79" w14:textId="77777777" w:rsidR="00FC79C1" w:rsidRPr="009342F9" w:rsidRDefault="00FC79C1" w:rsidP="00FC79C1">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ELEGIBILIDAD</w:t>
      </w:r>
    </w:p>
    <w:p w14:paraId="7C57E6A8"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56" w:name="ver_30200421"/>
      <w:bookmarkStart w:id="57" w:name="ver_30069045"/>
      <w:bookmarkStart w:id="58" w:name="ver_30167159"/>
      <w:bookmarkEnd w:id="56"/>
    </w:p>
    <w:p w14:paraId="5338B5F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2.1.1.1.1.3.1.2.1. Derogado </w:t>
      </w:r>
    </w:p>
    <w:p w14:paraId="41AA8799" w14:textId="77777777" w:rsidR="00FC79C1" w:rsidRPr="009342F9" w:rsidRDefault="00FC79C1" w:rsidP="00FC79C1">
      <w:pPr>
        <w:spacing w:after="0" w:line="240" w:lineRule="auto"/>
        <w:jc w:val="both"/>
        <w:rPr>
          <w:rFonts w:ascii="Arial" w:eastAsia="Times New Roman" w:hAnsi="Arial" w:cs="Arial"/>
          <w:color w:val="000000"/>
          <w:lang w:eastAsia="es-CO"/>
        </w:rPr>
      </w:pPr>
    </w:p>
    <w:p w14:paraId="1B6988F1"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59" w:name="ver_30200422"/>
      <w:bookmarkStart w:id="60" w:name="ver_30069046"/>
      <w:bookmarkEnd w:id="57"/>
      <w:bookmarkEnd w:id="58"/>
      <w:bookmarkEnd w:id="59"/>
      <w:r w:rsidRPr="009342F9">
        <w:rPr>
          <w:rFonts w:ascii="Arial" w:eastAsia="Times New Roman" w:hAnsi="Arial" w:cs="Arial"/>
          <w:color w:val="000000"/>
          <w:lang w:eastAsia="es-CO"/>
        </w:rPr>
        <w:t>Artículo 2.1.1.1.1.3.1.2.2. Derogado </w:t>
      </w:r>
    </w:p>
    <w:p w14:paraId="3AB758A6" w14:textId="77777777" w:rsidR="00FC79C1" w:rsidRPr="009342F9" w:rsidRDefault="00FC79C1" w:rsidP="00FC79C1">
      <w:pPr>
        <w:spacing w:after="0" w:line="240" w:lineRule="auto"/>
        <w:jc w:val="both"/>
        <w:rPr>
          <w:rFonts w:ascii="Arial" w:eastAsia="Times New Roman" w:hAnsi="Arial" w:cs="Arial"/>
          <w:color w:val="000000"/>
          <w:lang w:eastAsia="es-CO"/>
        </w:rPr>
      </w:pPr>
    </w:p>
    <w:p w14:paraId="29312F01" w14:textId="77777777" w:rsidR="00FC79C1" w:rsidRDefault="00FC79C1" w:rsidP="00FC79C1">
      <w:pPr>
        <w:spacing w:after="0" w:line="240" w:lineRule="auto"/>
        <w:jc w:val="both"/>
        <w:rPr>
          <w:rFonts w:ascii="Arial" w:eastAsia="Times New Roman" w:hAnsi="Arial" w:cs="Arial"/>
          <w:color w:val="000000"/>
          <w:lang w:eastAsia="es-CO"/>
        </w:rPr>
      </w:pPr>
      <w:bookmarkStart w:id="61" w:name="ver_30200423"/>
      <w:bookmarkStart w:id="62" w:name="ver_30069047"/>
      <w:bookmarkEnd w:id="60"/>
      <w:bookmarkEnd w:id="61"/>
      <w:r w:rsidRPr="009342F9">
        <w:rPr>
          <w:rFonts w:ascii="Arial" w:eastAsia="Times New Roman" w:hAnsi="Arial" w:cs="Arial"/>
          <w:color w:val="000000"/>
          <w:lang w:eastAsia="es-CO"/>
        </w:rPr>
        <w:t>Artículo 2.1.1.1.1.3.1.2.3. Derogado </w:t>
      </w:r>
    </w:p>
    <w:p w14:paraId="5EE50B1C" w14:textId="77777777" w:rsidR="00FC79C1" w:rsidRPr="009342F9" w:rsidRDefault="00FC79C1" w:rsidP="00FC79C1">
      <w:pPr>
        <w:spacing w:after="0" w:line="240" w:lineRule="auto"/>
        <w:jc w:val="both"/>
        <w:rPr>
          <w:rFonts w:ascii="Arial" w:eastAsia="Times New Roman" w:hAnsi="Arial" w:cs="Arial"/>
          <w:color w:val="000000"/>
          <w:lang w:eastAsia="es-CO"/>
        </w:rPr>
      </w:pPr>
    </w:p>
    <w:p w14:paraId="5BD6EE7A" w14:textId="77777777" w:rsidR="00FC79C1" w:rsidRPr="009342F9" w:rsidRDefault="00FC79C1" w:rsidP="00FC79C1">
      <w:pPr>
        <w:spacing w:after="0" w:line="240" w:lineRule="auto"/>
        <w:jc w:val="center"/>
        <w:rPr>
          <w:rFonts w:ascii="Arial" w:eastAsia="Times New Roman" w:hAnsi="Arial" w:cs="Arial"/>
          <w:b/>
          <w:bCs/>
          <w:color w:val="000000"/>
          <w:lang w:eastAsia="es-CO"/>
        </w:rPr>
      </w:pPr>
      <w:bookmarkStart w:id="63" w:name="ver_30069048"/>
      <w:bookmarkEnd w:id="62"/>
      <w:bookmarkEnd w:id="63"/>
      <w:r w:rsidRPr="009342F9">
        <w:rPr>
          <w:rFonts w:ascii="Arial" w:eastAsia="Times New Roman" w:hAnsi="Arial" w:cs="Arial"/>
          <w:b/>
          <w:bCs/>
          <w:color w:val="000000"/>
          <w:lang w:eastAsia="es-CO"/>
        </w:rPr>
        <w:t>NUMERAL 3</w:t>
      </w:r>
    </w:p>
    <w:p w14:paraId="5F87AD4A" w14:textId="77777777" w:rsidR="00FC79C1" w:rsidRPr="009342F9" w:rsidRDefault="00FC79C1" w:rsidP="00FC79C1">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CALIFICACIÓN DE LOS PLANES DE SOLUCIONES DE VIVIENDA</w:t>
      </w:r>
    </w:p>
    <w:p w14:paraId="3FC8EF3C" w14:textId="77777777" w:rsidR="00FC79C1" w:rsidRPr="009342F9" w:rsidRDefault="00FC79C1" w:rsidP="00FC79C1">
      <w:pPr>
        <w:spacing w:after="0" w:line="240" w:lineRule="auto"/>
        <w:jc w:val="center"/>
        <w:rPr>
          <w:rFonts w:ascii="Arial" w:eastAsia="Times New Roman" w:hAnsi="Arial" w:cs="Arial"/>
          <w:b/>
          <w:bCs/>
          <w:color w:val="000000"/>
          <w:lang w:eastAsia="es-CO"/>
        </w:rPr>
      </w:pPr>
      <w:bookmarkStart w:id="64" w:name="ver_30200440"/>
      <w:bookmarkStart w:id="65" w:name="ver_30069049"/>
      <w:bookmarkEnd w:id="64"/>
    </w:p>
    <w:p w14:paraId="1A8E95A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2.1.1.1.1.3.1.3.1. Derogado </w:t>
      </w:r>
    </w:p>
    <w:p w14:paraId="6B102518" w14:textId="77777777" w:rsidR="00FC79C1" w:rsidRPr="009342F9" w:rsidRDefault="00FC79C1" w:rsidP="00FC79C1">
      <w:pPr>
        <w:spacing w:after="0" w:line="240" w:lineRule="auto"/>
        <w:jc w:val="both"/>
        <w:rPr>
          <w:rFonts w:ascii="Arial" w:eastAsia="Times New Roman" w:hAnsi="Arial" w:cs="Arial"/>
          <w:color w:val="000000"/>
          <w:lang w:eastAsia="es-CO"/>
        </w:rPr>
      </w:pPr>
    </w:p>
    <w:p w14:paraId="1DAF471F"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66" w:name="ver_30200441"/>
      <w:bookmarkStart w:id="67" w:name="ver_30069050"/>
      <w:bookmarkEnd w:id="65"/>
      <w:bookmarkEnd w:id="66"/>
      <w:r w:rsidRPr="009342F9">
        <w:rPr>
          <w:rFonts w:ascii="Arial" w:eastAsia="Times New Roman" w:hAnsi="Arial" w:cs="Arial"/>
          <w:color w:val="000000"/>
          <w:lang w:eastAsia="es-CO"/>
        </w:rPr>
        <w:t>Artículo 2.1.1.1.1.3.1.3.2. Derogado </w:t>
      </w:r>
    </w:p>
    <w:p w14:paraId="68482EAD" w14:textId="77777777" w:rsidR="00FC79C1" w:rsidRPr="009342F9" w:rsidRDefault="00FC79C1" w:rsidP="00FC79C1">
      <w:pPr>
        <w:spacing w:after="0" w:line="240" w:lineRule="auto"/>
        <w:jc w:val="both"/>
        <w:rPr>
          <w:rFonts w:ascii="Arial" w:eastAsia="Times New Roman" w:hAnsi="Arial" w:cs="Arial"/>
          <w:color w:val="000000"/>
          <w:lang w:eastAsia="es-CO"/>
        </w:rPr>
      </w:pPr>
    </w:p>
    <w:p w14:paraId="1F755AE0" w14:textId="77777777" w:rsidR="00FC79C1" w:rsidRPr="009342F9" w:rsidRDefault="00FC79C1" w:rsidP="00FC79C1">
      <w:pPr>
        <w:spacing w:after="0" w:line="240" w:lineRule="auto"/>
        <w:jc w:val="center"/>
        <w:rPr>
          <w:rFonts w:ascii="Arial" w:eastAsia="Times New Roman" w:hAnsi="Arial" w:cs="Arial"/>
          <w:b/>
          <w:bCs/>
          <w:color w:val="000000"/>
          <w:lang w:eastAsia="es-CO"/>
        </w:rPr>
      </w:pPr>
      <w:bookmarkStart w:id="68" w:name="ver_30069051"/>
      <w:bookmarkEnd w:id="67"/>
      <w:bookmarkEnd w:id="68"/>
      <w:r w:rsidRPr="009342F9">
        <w:rPr>
          <w:rFonts w:ascii="Arial" w:eastAsia="Times New Roman" w:hAnsi="Arial" w:cs="Arial"/>
          <w:b/>
          <w:bCs/>
          <w:color w:val="000000"/>
          <w:lang w:eastAsia="es-CO"/>
        </w:rPr>
        <w:t>NUMERAL 4</w:t>
      </w:r>
    </w:p>
    <w:p w14:paraId="742BFF64" w14:textId="77777777" w:rsidR="00FC79C1" w:rsidRPr="009342F9" w:rsidRDefault="00FC79C1" w:rsidP="00FC79C1">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EXCEDENTES DE RECURSOS EN LOS CONCURSOS DE ESFUERZO TERRITORIAL</w:t>
      </w:r>
    </w:p>
    <w:p w14:paraId="0B997794"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69" w:name="ver_30200442"/>
      <w:bookmarkStart w:id="70" w:name="ver_30069052"/>
      <w:bookmarkEnd w:id="69"/>
    </w:p>
    <w:p w14:paraId="198D14F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2.1.1.1.1.3.1.4.1. Derogado </w:t>
      </w:r>
    </w:p>
    <w:p w14:paraId="36B3B486" w14:textId="77777777" w:rsidR="00FC79C1" w:rsidRPr="009342F9" w:rsidRDefault="00FC79C1" w:rsidP="00FC79C1">
      <w:pPr>
        <w:spacing w:after="0" w:line="240" w:lineRule="auto"/>
        <w:jc w:val="both"/>
        <w:rPr>
          <w:rFonts w:ascii="Arial" w:eastAsia="Times New Roman" w:hAnsi="Arial" w:cs="Arial"/>
          <w:color w:val="000000"/>
          <w:lang w:eastAsia="es-CO"/>
        </w:rPr>
      </w:pPr>
    </w:p>
    <w:p w14:paraId="2721487C" w14:textId="77777777" w:rsidR="00FC79C1" w:rsidRPr="009342F9" w:rsidRDefault="00FC79C1" w:rsidP="00FC79C1">
      <w:pPr>
        <w:spacing w:after="0" w:line="240" w:lineRule="auto"/>
        <w:jc w:val="center"/>
        <w:rPr>
          <w:rFonts w:ascii="Arial" w:eastAsia="Times New Roman" w:hAnsi="Arial" w:cs="Arial"/>
          <w:b/>
          <w:bCs/>
          <w:color w:val="000000"/>
          <w:lang w:eastAsia="es-CO"/>
        </w:rPr>
      </w:pPr>
      <w:bookmarkStart w:id="71" w:name="ver_30069053"/>
      <w:bookmarkEnd w:id="70"/>
      <w:bookmarkEnd w:id="71"/>
      <w:r w:rsidRPr="009342F9">
        <w:rPr>
          <w:rFonts w:ascii="Arial" w:eastAsia="Times New Roman" w:hAnsi="Arial" w:cs="Arial"/>
          <w:b/>
          <w:bCs/>
          <w:color w:val="000000"/>
          <w:lang w:eastAsia="es-CO"/>
        </w:rPr>
        <w:t>NUMERAL 5</w:t>
      </w:r>
    </w:p>
    <w:p w14:paraId="42E67252" w14:textId="77777777" w:rsidR="00FC79C1" w:rsidRPr="009342F9" w:rsidRDefault="00FC79C1" w:rsidP="00FC79C1">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DISPOSICIONES GENERALES</w:t>
      </w:r>
    </w:p>
    <w:p w14:paraId="6669C175" w14:textId="77777777" w:rsidR="00FC79C1" w:rsidRPr="009342F9" w:rsidRDefault="00FC79C1" w:rsidP="00FC79C1">
      <w:pPr>
        <w:spacing w:after="0" w:line="240" w:lineRule="auto"/>
        <w:jc w:val="center"/>
        <w:rPr>
          <w:rFonts w:ascii="Arial" w:eastAsia="Times New Roman" w:hAnsi="Arial" w:cs="Arial"/>
          <w:b/>
          <w:bCs/>
          <w:color w:val="000000"/>
          <w:lang w:eastAsia="es-CO"/>
        </w:rPr>
      </w:pPr>
      <w:bookmarkStart w:id="72" w:name="ver_30200443"/>
      <w:bookmarkStart w:id="73" w:name="ver_30069054"/>
      <w:bookmarkEnd w:id="72"/>
    </w:p>
    <w:p w14:paraId="022FA31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2.1.1.1.1.3.1.5.1. Derogado </w:t>
      </w:r>
    </w:p>
    <w:p w14:paraId="3DEB8A2C"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74" w:name="ver_30200444"/>
      <w:bookmarkStart w:id="75" w:name="ver_30069055"/>
      <w:bookmarkEnd w:id="73"/>
      <w:bookmarkEnd w:id="74"/>
    </w:p>
    <w:p w14:paraId="10207FF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2.1.1.1.1.3.1.5.2. Derogado </w:t>
      </w:r>
    </w:p>
    <w:p w14:paraId="52A28149"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76" w:name="ver_30200445"/>
      <w:bookmarkStart w:id="77" w:name="ver_30069056"/>
      <w:bookmarkEnd w:id="75"/>
      <w:bookmarkEnd w:id="76"/>
    </w:p>
    <w:p w14:paraId="3F46BEA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2.1.1.1.1.3.1.5.3. Derogado </w:t>
      </w:r>
    </w:p>
    <w:p w14:paraId="180D3DE0" w14:textId="77777777" w:rsidR="00FC79C1" w:rsidRPr="009342F9" w:rsidRDefault="00FC79C1" w:rsidP="00FC79C1">
      <w:pPr>
        <w:spacing w:after="0" w:line="240" w:lineRule="auto"/>
        <w:jc w:val="both"/>
        <w:rPr>
          <w:rFonts w:ascii="Arial" w:eastAsia="Times New Roman" w:hAnsi="Arial" w:cs="Arial"/>
          <w:color w:val="000000"/>
          <w:lang w:eastAsia="es-CO"/>
        </w:rPr>
      </w:pPr>
    </w:p>
    <w:p w14:paraId="656FBD14" w14:textId="77777777" w:rsidR="00FC79C1" w:rsidRPr="009342F9" w:rsidRDefault="00FC79C1" w:rsidP="00FC79C1">
      <w:pPr>
        <w:spacing w:after="0" w:line="240" w:lineRule="auto"/>
        <w:jc w:val="center"/>
        <w:rPr>
          <w:rFonts w:ascii="Arial" w:eastAsia="Times New Roman" w:hAnsi="Arial" w:cs="Arial"/>
          <w:b/>
          <w:bCs/>
          <w:color w:val="000000"/>
          <w:lang w:eastAsia="es-CO"/>
        </w:rPr>
      </w:pPr>
      <w:bookmarkStart w:id="78" w:name="ver_30069057"/>
      <w:bookmarkEnd w:id="77"/>
      <w:bookmarkEnd w:id="78"/>
      <w:r w:rsidRPr="009342F9">
        <w:rPr>
          <w:rFonts w:ascii="Arial" w:eastAsia="Times New Roman" w:hAnsi="Arial" w:cs="Arial"/>
          <w:b/>
          <w:bCs/>
          <w:color w:val="000000"/>
          <w:lang w:eastAsia="es-CO"/>
        </w:rPr>
        <w:t>NUMERAL 6</w:t>
      </w:r>
    </w:p>
    <w:p w14:paraId="0AB59058" w14:textId="77777777" w:rsidR="00FC79C1" w:rsidRPr="009342F9" w:rsidRDefault="00FC79C1" w:rsidP="00FC79C1">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BOLSA PARA POSTULACIONES DE AHORRO PROGRAMADO CONTRACTUAL CON EVALUACIÓN CREDITICIA FAVORABLE</w:t>
      </w:r>
    </w:p>
    <w:p w14:paraId="30CD3A4D" w14:textId="77777777" w:rsidR="00FC79C1" w:rsidRPr="009342F9" w:rsidRDefault="00FC79C1" w:rsidP="00FC79C1">
      <w:pPr>
        <w:spacing w:after="0" w:line="240" w:lineRule="auto"/>
        <w:jc w:val="center"/>
        <w:rPr>
          <w:rFonts w:ascii="Arial" w:eastAsia="Times New Roman" w:hAnsi="Arial" w:cs="Arial"/>
          <w:b/>
          <w:bCs/>
          <w:color w:val="000000"/>
          <w:lang w:eastAsia="es-CO"/>
        </w:rPr>
      </w:pPr>
      <w:bookmarkStart w:id="79" w:name="ver_30200446"/>
      <w:bookmarkStart w:id="80" w:name="ver_30069058"/>
      <w:bookmarkEnd w:id="79"/>
    </w:p>
    <w:p w14:paraId="4C4264B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2.1.1.1.1.3.1.6.1. Derogado </w:t>
      </w:r>
    </w:p>
    <w:p w14:paraId="2DB42FE6"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81" w:name="ver_30200447"/>
      <w:bookmarkStart w:id="82" w:name="ver_30069059"/>
      <w:bookmarkEnd w:id="80"/>
      <w:bookmarkEnd w:id="81"/>
    </w:p>
    <w:p w14:paraId="749E665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2.1.1.1.1.3.1.6.2. Derogado </w:t>
      </w:r>
    </w:p>
    <w:p w14:paraId="7381A79E" w14:textId="77777777" w:rsidR="00FC79C1" w:rsidRPr="009342F9" w:rsidRDefault="00FC79C1" w:rsidP="00FC79C1">
      <w:pPr>
        <w:spacing w:after="0" w:line="240" w:lineRule="auto"/>
        <w:jc w:val="both"/>
        <w:rPr>
          <w:rFonts w:ascii="Arial" w:eastAsia="Times New Roman" w:hAnsi="Arial" w:cs="Arial"/>
          <w:color w:val="000000"/>
          <w:lang w:eastAsia="es-CO"/>
        </w:rPr>
      </w:pPr>
    </w:p>
    <w:p w14:paraId="500847F7" w14:textId="77777777" w:rsidR="00FC79C1" w:rsidRPr="009342F9" w:rsidRDefault="00FC79C1" w:rsidP="00FC79C1">
      <w:pPr>
        <w:spacing w:after="0" w:line="240" w:lineRule="auto"/>
        <w:jc w:val="center"/>
        <w:rPr>
          <w:rFonts w:ascii="Arial" w:eastAsia="Times New Roman" w:hAnsi="Arial" w:cs="Arial"/>
          <w:b/>
          <w:bCs/>
          <w:color w:val="000000"/>
          <w:lang w:eastAsia="es-CO"/>
        </w:rPr>
      </w:pPr>
      <w:bookmarkStart w:id="83" w:name="ver_30069060"/>
      <w:bookmarkEnd w:id="82"/>
      <w:bookmarkEnd w:id="83"/>
      <w:r w:rsidRPr="009342F9">
        <w:rPr>
          <w:rFonts w:ascii="Arial" w:eastAsia="Times New Roman" w:hAnsi="Arial" w:cs="Arial"/>
          <w:b/>
          <w:bCs/>
          <w:color w:val="000000"/>
          <w:lang w:eastAsia="es-CO"/>
        </w:rPr>
        <w:t>SUB-SUBSECCIÓN 2</w:t>
      </w:r>
    </w:p>
    <w:p w14:paraId="68BDBA66" w14:textId="77777777" w:rsidR="00FC79C1" w:rsidRPr="009342F9" w:rsidRDefault="00FC79C1" w:rsidP="00FC79C1">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SISTEMA DE AHORRO PARA LA VIVIENDA</w:t>
      </w:r>
    </w:p>
    <w:p w14:paraId="3C96237C" w14:textId="77777777" w:rsidR="00FC79C1" w:rsidRPr="009342F9" w:rsidRDefault="00FC79C1" w:rsidP="00FC79C1">
      <w:pPr>
        <w:spacing w:after="0" w:line="240" w:lineRule="auto"/>
        <w:jc w:val="center"/>
        <w:rPr>
          <w:rFonts w:ascii="Arial" w:eastAsia="Times New Roman" w:hAnsi="Arial" w:cs="Arial"/>
          <w:b/>
          <w:bCs/>
          <w:color w:val="000000"/>
          <w:lang w:eastAsia="es-CO"/>
        </w:rPr>
      </w:pPr>
      <w:bookmarkStart w:id="84" w:name="ver_30200448"/>
      <w:bookmarkStart w:id="85" w:name="ver_30069061"/>
      <w:bookmarkEnd w:id="84"/>
    </w:p>
    <w:p w14:paraId="66DC26B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2.1.1.1.1.3.2.1. Derogado </w:t>
      </w:r>
    </w:p>
    <w:p w14:paraId="42AC9C21"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86" w:name="ver_30200449"/>
      <w:bookmarkStart w:id="87" w:name="ver_30069062"/>
      <w:bookmarkEnd w:id="85"/>
      <w:bookmarkEnd w:id="86"/>
    </w:p>
    <w:p w14:paraId="72EE6D2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2.1.1.1.1.3.2.2. Derogado </w:t>
      </w:r>
    </w:p>
    <w:p w14:paraId="3FDFA40D" w14:textId="77777777" w:rsidR="00FC79C1" w:rsidRPr="009342F9" w:rsidRDefault="00FC79C1" w:rsidP="00FC79C1">
      <w:pPr>
        <w:spacing w:after="0" w:line="240" w:lineRule="auto"/>
        <w:jc w:val="both"/>
        <w:rPr>
          <w:rFonts w:ascii="Arial" w:eastAsia="Times New Roman" w:hAnsi="Arial" w:cs="Arial"/>
          <w:color w:val="000000"/>
          <w:lang w:eastAsia="es-CO"/>
        </w:rPr>
      </w:pPr>
    </w:p>
    <w:p w14:paraId="13D2324F"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88" w:name="ver_30200450"/>
      <w:bookmarkStart w:id="89" w:name="ver_30069063"/>
      <w:bookmarkEnd w:id="87"/>
      <w:bookmarkEnd w:id="88"/>
      <w:r w:rsidRPr="009342F9">
        <w:rPr>
          <w:rFonts w:ascii="Arial" w:eastAsia="Times New Roman" w:hAnsi="Arial" w:cs="Arial"/>
          <w:color w:val="000000"/>
          <w:lang w:eastAsia="es-CO"/>
        </w:rPr>
        <w:t>Artículo 2.1.1.1.1.3.2.3. Derogado </w:t>
      </w:r>
    </w:p>
    <w:p w14:paraId="435CAFE6"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90" w:name="ver_30200452"/>
      <w:bookmarkStart w:id="91" w:name="ver_30069064"/>
      <w:bookmarkEnd w:id="89"/>
      <w:bookmarkEnd w:id="90"/>
    </w:p>
    <w:p w14:paraId="55D4EBA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2.1.1.1.1.3.2.4. Derogado </w:t>
      </w:r>
    </w:p>
    <w:p w14:paraId="7B92EC6E"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92" w:name="ver_30200453"/>
      <w:bookmarkStart w:id="93" w:name="ver_30069065"/>
      <w:bookmarkEnd w:id="91"/>
      <w:bookmarkEnd w:id="92"/>
    </w:p>
    <w:p w14:paraId="4E85351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2.1.1.1.1.3.2.5. Derogado </w:t>
      </w:r>
    </w:p>
    <w:p w14:paraId="67529A61" w14:textId="77777777" w:rsidR="00FC79C1" w:rsidRPr="009342F9" w:rsidRDefault="00FC79C1" w:rsidP="00FC79C1">
      <w:pPr>
        <w:spacing w:after="0" w:line="240" w:lineRule="auto"/>
        <w:jc w:val="both"/>
        <w:rPr>
          <w:rFonts w:ascii="Arial" w:eastAsia="Times New Roman" w:hAnsi="Arial" w:cs="Arial"/>
          <w:color w:val="000000"/>
          <w:lang w:eastAsia="es-CO"/>
        </w:rPr>
      </w:pPr>
    </w:p>
    <w:p w14:paraId="14C363D5"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94" w:name="ver_30069066"/>
      <w:bookmarkEnd w:id="93"/>
      <w:r w:rsidRPr="009342F9">
        <w:rPr>
          <w:rFonts w:ascii="Arial" w:eastAsia="Times New Roman" w:hAnsi="Arial" w:cs="Arial"/>
          <w:color w:val="000000"/>
          <w:lang w:eastAsia="es-CO"/>
        </w:rPr>
        <w:t>Artículo 2.1.1.1.1.3.2.6. Derogado </w:t>
      </w:r>
    </w:p>
    <w:p w14:paraId="08224A9F"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95" w:name="ver_30069067"/>
      <w:bookmarkEnd w:id="94"/>
      <w:bookmarkEnd w:id="95"/>
    </w:p>
    <w:p w14:paraId="2082F281" w14:textId="2A6BE44E" w:rsidR="00FC79C1" w:rsidRPr="009342F9" w:rsidRDefault="00FC79C1" w:rsidP="00FC79C1">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SUB-SUBSECCIÓN 3</w:t>
      </w:r>
    </w:p>
    <w:p w14:paraId="5A9E1195" w14:textId="03954D5B" w:rsidR="00FC79C1" w:rsidRDefault="00FC79C1" w:rsidP="00FC79C1">
      <w:pPr>
        <w:spacing w:after="0" w:line="240" w:lineRule="auto"/>
        <w:jc w:val="center"/>
        <w:rPr>
          <w:rFonts w:ascii="Arial" w:eastAsia="Times New Roman" w:hAnsi="Arial" w:cs="Arial"/>
          <w:b/>
          <w:bCs/>
          <w:color w:val="000000"/>
          <w:lang w:eastAsia="es-CO"/>
        </w:rPr>
      </w:pPr>
      <w:r w:rsidRPr="3DD719FF">
        <w:rPr>
          <w:rFonts w:ascii="Arial" w:eastAsia="Times New Roman" w:hAnsi="Arial" w:cs="Arial"/>
          <w:b/>
          <w:color w:val="000000" w:themeColor="text1"/>
          <w:lang w:eastAsia="es-CO"/>
        </w:rPr>
        <w:t>POSTULACIÓN A LOS SUBSIDIOS</w:t>
      </w:r>
    </w:p>
    <w:p w14:paraId="4D820E0E" w14:textId="03954D5B" w:rsidR="00D04AB5" w:rsidRPr="009342F9" w:rsidRDefault="00D04AB5" w:rsidP="00FC79C1">
      <w:pPr>
        <w:spacing w:after="0" w:line="240" w:lineRule="auto"/>
        <w:jc w:val="center"/>
        <w:rPr>
          <w:rFonts w:ascii="Arial" w:eastAsia="Times New Roman" w:hAnsi="Arial" w:cs="Arial"/>
          <w:b/>
          <w:bCs/>
          <w:color w:val="000000"/>
          <w:lang w:eastAsia="es-CO"/>
        </w:rPr>
      </w:pPr>
    </w:p>
    <w:p w14:paraId="7D156F58" w14:textId="77777777" w:rsidR="00FC79C1" w:rsidRPr="009342F9" w:rsidRDefault="00FC79C1" w:rsidP="00FC79C1">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NUMERAL 1</w:t>
      </w:r>
    </w:p>
    <w:p w14:paraId="3A5D8A97" w14:textId="77777777" w:rsidR="00FC79C1" w:rsidRPr="009342F9" w:rsidRDefault="00FC79C1" w:rsidP="00FC79C1">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DEL REGISTRO DE POSTULANTES</w:t>
      </w:r>
    </w:p>
    <w:p w14:paraId="319A9401" w14:textId="77777777" w:rsidR="00FC79C1" w:rsidRPr="009342F9" w:rsidRDefault="00FC79C1" w:rsidP="00FC79C1">
      <w:pPr>
        <w:spacing w:after="0" w:line="240" w:lineRule="auto"/>
        <w:jc w:val="center"/>
        <w:rPr>
          <w:rFonts w:ascii="Arial" w:eastAsia="Times New Roman" w:hAnsi="Arial" w:cs="Arial"/>
          <w:b/>
          <w:bCs/>
          <w:color w:val="000000"/>
          <w:lang w:eastAsia="es-CO"/>
        </w:rPr>
      </w:pPr>
      <w:bookmarkStart w:id="96" w:name="ver_30200374"/>
      <w:bookmarkStart w:id="97" w:name="ver_30069069"/>
      <w:bookmarkEnd w:id="96"/>
    </w:p>
    <w:p w14:paraId="122CB95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2.1.1.1.1.3.3.1.1. Postulación. La postulación de los hogares para la obtención del subsidio se realizará ante la entidad otorgante o el operador autorizado con el que se haya suscrito un convenio para tales efectos, mediante el diligenciamiento y entrega de los documentos que se señalan a continuación:  </w:t>
      </w:r>
    </w:p>
    <w:p w14:paraId="58CF035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8BF038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1. Formulario de postulación debidamente diligenciado y suscrito por los miembros que conforman el hogar, con su información socioeconómica, indicación del jefe del hogar postulante y de la persona </w:t>
      </w:r>
      <w:proofErr w:type="gramStart"/>
      <w:r w:rsidRPr="009342F9">
        <w:rPr>
          <w:rFonts w:ascii="Arial" w:eastAsia="Times New Roman" w:hAnsi="Arial" w:cs="Arial"/>
          <w:color w:val="000000"/>
          <w:lang w:eastAsia="es-CO"/>
        </w:rPr>
        <w:t>que</w:t>
      </w:r>
      <w:proofErr w:type="gramEnd"/>
      <w:r w:rsidRPr="009342F9">
        <w:rPr>
          <w:rFonts w:ascii="Arial" w:eastAsia="Times New Roman" w:hAnsi="Arial" w:cs="Arial"/>
          <w:color w:val="000000"/>
          <w:lang w:eastAsia="es-CO"/>
        </w:rPr>
        <w:t xml:space="preserve"> siendo parte del hogar, lo reemplazará si renunciare o falleciere y, mención de la Caja de Compensación Familiar y Fondo de Cesantías a los cuales se encuentren afiliados al momento de postular, si fuere del caso.  </w:t>
      </w:r>
    </w:p>
    <w:p w14:paraId="72F8433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9376CA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El documento incluirá la declaración jurada de los miembros del hogar postulante mayores de edad en la que manifiestan que cumplen en forma conjunta con las condiciones para ser beneficiarios del Subsidio Familiar de Vivienda, que no están incursos en las inhabilidades para solicitarlo, que sus ingresos familiares totales no superan el límite establecido para la respectiva modalidad de subsidio y que los datos suministrados son ciertos, la cual se entenderá surtida con la firma del formulario.  </w:t>
      </w:r>
    </w:p>
    <w:p w14:paraId="1E4FE3D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9E55AA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2. En caso de contar con ahorro previo, copia de la comunicación emitida por la entidad donde se realice el mismo, en la que conste el monto y la inmovilización </w:t>
      </w:r>
      <w:proofErr w:type="gramStart"/>
      <w:r w:rsidRPr="009342F9">
        <w:rPr>
          <w:rFonts w:ascii="Arial" w:eastAsia="Times New Roman" w:hAnsi="Arial" w:cs="Arial"/>
          <w:color w:val="000000"/>
          <w:lang w:eastAsia="es-CO"/>
        </w:rPr>
        <w:t>del mismo</w:t>
      </w:r>
      <w:proofErr w:type="gramEnd"/>
      <w:r w:rsidRPr="009342F9">
        <w:rPr>
          <w:rFonts w:ascii="Arial" w:eastAsia="Times New Roman" w:hAnsi="Arial" w:cs="Arial"/>
          <w:color w:val="000000"/>
          <w:lang w:eastAsia="es-CO"/>
        </w:rPr>
        <w:t>. En el caso de ahorro representado en lotes de terreno, deberá acreditarse la propiedad en cabeza del postulante.  </w:t>
      </w:r>
    </w:p>
    <w:p w14:paraId="6ED4339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DCC80E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Fotocopia de la cédula de ciudadanía de los mayores de 18 años.  </w:t>
      </w:r>
    </w:p>
    <w:p w14:paraId="097ABFD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51D85D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Copia del Carné o certificación municipal del puntaje SISBÉN cuando se requiera acreditar dicho puntaje.  </w:t>
      </w:r>
    </w:p>
    <w:p w14:paraId="18A4B64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1F11FC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5. Autorización para verificar la información suministrada para la postulación del subsidio y aceptación para ser excluido de manera automática del sistema de postulación al subsidio en caso de verificarse que la información aportada no corresponda a la verdad.  </w:t>
      </w:r>
    </w:p>
    <w:p w14:paraId="1A5CDD4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7A29BC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6. Certificado médico que acredite la discapacidad física o mental de alguno de los miembros del hogar, cuando fuere el caso.  </w:t>
      </w:r>
    </w:p>
    <w:p w14:paraId="34400D9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8565F7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7. Carta de preaprobación de crédito hipotecario o de una operación de leasing habitacional, cuando requiera financiación.  </w:t>
      </w:r>
    </w:p>
    <w:p w14:paraId="4498B9C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21D1DC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8. Para los Afiliados a Cajas de Compensación Familiar: certificado de ingresos de la empresa en donde labora.  </w:t>
      </w:r>
    </w:p>
    <w:p w14:paraId="220C447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BAC708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Parágrafo 1°. La entidad otorgante del subsidio familiar de vivienda, al igual que aquellas que esta autorice para tal efecto, verificarán que la documentación se encuentre completa y otorgarán la correspondiente constancia de tal hecho, cuando a ello hubiere lugar. La entidad receptora de la documentación será responsable de su envío a la operadora del sistema de información del subsidio de que trata esta sección, a través de los medios y plazos establecidos en el reglamento de operación </w:t>
      </w:r>
      <w:proofErr w:type="gramStart"/>
      <w:r w:rsidRPr="009342F9">
        <w:rPr>
          <w:rFonts w:ascii="Arial" w:eastAsia="Times New Roman" w:hAnsi="Arial" w:cs="Arial"/>
          <w:color w:val="000000"/>
          <w:lang w:eastAsia="es-CO"/>
        </w:rPr>
        <w:t>del mismo</w:t>
      </w:r>
      <w:proofErr w:type="gramEnd"/>
      <w:r w:rsidRPr="009342F9">
        <w:rPr>
          <w:rFonts w:ascii="Arial" w:eastAsia="Times New Roman" w:hAnsi="Arial" w:cs="Arial"/>
          <w:color w:val="000000"/>
          <w:lang w:eastAsia="es-CO"/>
        </w:rPr>
        <w:t>.  </w:t>
      </w:r>
    </w:p>
    <w:p w14:paraId="31652A2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10F0ED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2°. Para acreditar los recursos complementarios originados en donaciones de Organizaciones No Gubernamentales y de entidades públicas o privadas nacionales o internacionales, o en el caso de aportes económicos solidarios en Organizaciones Populares de Vivienda, la disponibilidad deberá ser certificada por el Representante Legal y el Revisor Fiscal de la respectiva entidad. En el caso de recursos complementarios representados en terrenos, la certificación será el certificado de tradición con no más de treinta (30) días de expedido.  </w:t>
      </w:r>
    </w:p>
    <w:p w14:paraId="09B8D41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2ADB14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el caso de subsidios o aportes municipales o departamentales, certificación de su existencia expedida por la autoridad local competente en cada caso.  </w:t>
      </w:r>
    </w:p>
    <w:p w14:paraId="2C77B83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7E3806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Parágrafo 3°. En el caso de mejoramiento de vivienda y construcción en sitio propio, cuando se trate de propietarios, el título de propiedad de la vivienda a </w:t>
      </w:r>
      <w:proofErr w:type="gramStart"/>
      <w:r w:rsidRPr="009342F9">
        <w:rPr>
          <w:rFonts w:ascii="Arial" w:eastAsia="Times New Roman" w:hAnsi="Arial" w:cs="Arial"/>
          <w:color w:val="000000"/>
          <w:lang w:eastAsia="es-CO"/>
        </w:rPr>
        <w:t>mejorar,</w:t>
      </w:r>
      <w:proofErr w:type="gramEnd"/>
      <w:r w:rsidRPr="009342F9">
        <w:rPr>
          <w:rFonts w:ascii="Arial" w:eastAsia="Times New Roman" w:hAnsi="Arial" w:cs="Arial"/>
          <w:color w:val="000000"/>
          <w:lang w:eastAsia="es-CO"/>
        </w:rPr>
        <w:t xml:space="preserve"> debe estar inscrito en la Oficina de Registro de Instrumentos Públicos a nombre de cualquiera de los miembros del hogar postulante, quienes deben habitar en la vivienda. Para acreditar la propiedad del inmueble se debe anexar certificado de tradición y libertad, con fecha de expedición no mayor a treinta (30) días.  </w:t>
      </w:r>
    </w:p>
    <w:p w14:paraId="3DC2E35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89933B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Cuando se trate de poseedores, sobre el inmueble no debe cursar proceso reivindicatorio, para lo cual debe aportarse el respectivo certificado de tradición y libertad con fecha de expedición no mayor a treinta (30) días, contados desde la entrega de documentos por parte del hogar, a su vez, deberá demostrarse la posesión ininterrumpida, pacífica y quieta del inmueble en los términos de los artículos 762 y 764 del Código Civil, que podrá acreditarse a través de alguno de los siguientes documentos:  </w:t>
      </w:r>
    </w:p>
    <w:p w14:paraId="2862A20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AEF457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 Escrito aportado por el hogar que se entenderá suscrito bajo la gravedad del juramento, en el que declare que ejerce la posesión regular del bien inmueble de manera quieta, pública, pacífica e ininterrumpida por un término mínimo de cinco (5) años, y que respecto del inmueble no está en curso proceso reivindicatorio.  </w:t>
      </w:r>
    </w:p>
    <w:p w14:paraId="78485B9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AEE91C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xml:space="preserve">b) Declaración del </w:t>
      </w:r>
      <w:proofErr w:type="gramStart"/>
      <w:r w:rsidRPr="009342F9">
        <w:rPr>
          <w:rFonts w:ascii="Arial" w:eastAsia="Times New Roman" w:hAnsi="Arial" w:cs="Arial"/>
          <w:color w:val="000000"/>
          <w:lang w:eastAsia="es-CO"/>
        </w:rPr>
        <w:t>Presidente</w:t>
      </w:r>
      <w:proofErr w:type="gramEnd"/>
      <w:r w:rsidRPr="009342F9">
        <w:rPr>
          <w:rFonts w:ascii="Arial" w:eastAsia="Times New Roman" w:hAnsi="Arial" w:cs="Arial"/>
          <w:color w:val="000000"/>
          <w:lang w:eastAsia="es-CO"/>
        </w:rPr>
        <w:t xml:space="preserve"> de la Junta de Acción Comunal del barrio en la que quede de manifiesto que el hogar ha ejercido la posesión regular del inmueble por un término mínimo de cinco (5) años, y que respecto del inmueble no está en curso proceso reivindicatorio.  </w:t>
      </w:r>
    </w:p>
    <w:p w14:paraId="7D5BB57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24C9FB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Además de lo anterior, se podrán aportar todos o alguno de los siguientes soportes, los cuales se analizarán para demostrar una sana posesión: pago de servicios públicos, pago de impuestos o contribuciones y valorizaciones, acciones o mejoras sobre el inmueble.  </w:t>
      </w:r>
    </w:p>
    <w:p w14:paraId="10973C0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4E642D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4°. Para efectos de agilizar el flujo de la información relativa a la aprobación del crédito o la operación de leasing habitacional y a la asignación del subsidio, las entidades otorgantes podrán acordar con las entidades que provean la financiación, mecanismos técnicos idóneos y seguros que permitan la entrega y consulta expedita de la misma.”  </w:t>
      </w:r>
    </w:p>
    <w:p w14:paraId="2A390EA0" w14:textId="4A94764A"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EBC42F3"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98" w:name="ver_30200375"/>
      <w:bookmarkStart w:id="99" w:name="ver_30069070"/>
      <w:bookmarkStart w:id="100" w:name="ver_30167708"/>
      <w:bookmarkEnd w:id="97"/>
      <w:bookmarkEnd w:id="98"/>
      <w:r w:rsidRPr="009342F9">
        <w:rPr>
          <w:rFonts w:ascii="Arial" w:eastAsia="Times New Roman" w:hAnsi="Arial" w:cs="Arial"/>
          <w:color w:val="000000"/>
          <w:lang w:eastAsia="es-CO"/>
        </w:rPr>
        <w:t>Artículo 2.1.1.1.1.3.3.1.2. Imposibilidad para postular al subsidio. No podrán postular al Subsidio Familiar de Vivienda de que trata esta sección los hogares que presenten alguna de las siguientes condiciones:  </w:t>
      </w:r>
    </w:p>
    <w:p w14:paraId="67610B1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0F34EA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 Que tengan ingresos totales mensuales superiores al límite establecido para la respectiva modalidad de subsidio;  </w:t>
      </w:r>
    </w:p>
    <w:p w14:paraId="611CC8E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853881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b) Que sean propietarios de una vivienda en el territorio nacional para las modalidades de adquisición de vivienda nueva o usada, arrendamiento y arrendamiento con opción de compra;  </w:t>
      </w:r>
    </w:p>
    <w:p w14:paraId="27992CE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A5C837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 Que alguno de los miembros del hogar postulante haya sido beneficiario de un subsidio familiar de vivienda que haya sido efectivamente aplicado, o de las coberturas a las tasas de interés, salvo quienes hayan perdido la vivienda por imposibilidad de pago, de acuerdo con lo establecido en el artículo 33 de la Ley 546 de 1999, o cuando no la hubieren recibido o esta haya resultado afectada o destruida por causas no imputables a ellos, o cuando la vivienda en la cual se haya aplicado el subsidio haya resultado totalmente destruida o quedado inhabitable como consecuencia de desastres naturales, calamidades públicas, emergencias, o atentados terroristas, o haya sido abandonada o despojada en el marco del conflicto armado interno, o se encuentre en zonas de riesgo por la ocurrencia de eventos físicos peligrosos de origen tecnológico derivados de la ejecución u operación de obras de infraestructura o proyectos de interés nacional y/o estratégicos desarrollados por el Gobierno Nacional, o en zonas de afectación, reserva o retiro, por el diseño, ejecución u operación de obras de infraestructura o proyectos de interés nacional y/o estratégicos desarrollados por el Gobierno nacional, de conformidad con los análisis específicos de riesgos y planes de contingencia de que trata el artículo 42 de la Ley 1523 de 2012, o las normas que la modifiquen, adicionen o sustituyan;  </w:t>
      </w:r>
    </w:p>
    <w:p w14:paraId="0A2D4FF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762873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d) En el caso de mejoramiento y construcción en sitio propio, cuando la vivienda se encuentre en zonas de alto riesgo no mitigable, zonas de protección de recursos naturales, zonas de reserva de obra pública o de infraestructuras básicas del nivel nacional, regional o municipal o áreas no aptas para la localización de vivienda, de acuerdo con los planes de ordenamiento territorial;  </w:t>
      </w:r>
    </w:p>
    <w:p w14:paraId="69EAD8F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192899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 Quienes hubieren presentado información que no corresponda a la verdad en cualquiera de los procesos de acceso al subsidio, restricción que estará vigente durante el término de diez (10) años conforme a lo dispuesto por el artículo 30 de la Ley 3ª de 1991.  </w:t>
      </w:r>
    </w:p>
    <w:p w14:paraId="1DB479F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FB796A1" w14:textId="77777777" w:rsidR="00FC79C1" w:rsidRPr="009342F9" w:rsidRDefault="00FC79C1" w:rsidP="00FC79C1">
      <w:pPr>
        <w:spacing w:after="0" w:line="240" w:lineRule="auto"/>
        <w:jc w:val="both"/>
        <w:rPr>
          <w:rFonts w:ascii="Arial" w:eastAsia="Times New Roman" w:hAnsi="Arial" w:cs="Arial"/>
          <w:color w:val="000000"/>
          <w:lang w:eastAsia="es-CO"/>
        </w:rPr>
      </w:pPr>
      <w:r w:rsidRPr="231E957E">
        <w:rPr>
          <w:rFonts w:ascii="Arial" w:eastAsia="Times New Roman" w:hAnsi="Arial" w:cs="Arial"/>
          <w:color w:val="000000" w:themeColor="text1"/>
          <w:lang w:eastAsia="es-CO"/>
        </w:rPr>
        <w:t xml:space="preserve">Parágrafo. Los beneficiarios de la modalidad de arrendamiento y arrendamiento con opción de </w:t>
      </w:r>
      <w:proofErr w:type="gramStart"/>
      <w:r w:rsidRPr="231E957E">
        <w:rPr>
          <w:rFonts w:ascii="Arial" w:eastAsia="Times New Roman" w:hAnsi="Arial" w:cs="Arial"/>
          <w:color w:val="000000" w:themeColor="text1"/>
          <w:lang w:eastAsia="es-CO"/>
        </w:rPr>
        <w:t>compra,</w:t>
      </w:r>
      <w:proofErr w:type="gramEnd"/>
      <w:r w:rsidRPr="231E957E">
        <w:rPr>
          <w:rFonts w:ascii="Arial" w:eastAsia="Times New Roman" w:hAnsi="Arial" w:cs="Arial"/>
          <w:color w:val="000000" w:themeColor="text1"/>
          <w:lang w:eastAsia="es-CO"/>
        </w:rPr>
        <w:t xml:space="preserve"> podrán postularse al subsidio en cualquiera de las otras modalidades, durante la etapa </w:t>
      </w:r>
      <w:r w:rsidRPr="231E957E">
        <w:rPr>
          <w:rFonts w:ascii="Arial" w:eastAsia="Times New Roman" w:hAnsi="Arial" w:cs="Arial"/>
          <w:color w:val="000000" w:themeColor="text1"/>
          <w:lang w:eastAsia="es-CO"/>
        </w:rPr>
        <w:lastRenderedPageBreak/>
        <w:t>de arrendamiento, no obstante la aplicación efectiva del subsidio solo podrá hacerse cuando haya finalizado la etapa de arrendamiento subsidiado.” </w:t>
      </w:r>
    </w:p>
    <w:p w14:paraId="59BE069F" w14:textId="77777777" w:rsidR="0015034A" w:rsidRPr="009342F9" w:rsidRDefault="0015034A" w:rsidP="00FC79C1">
      <w:pPr>
        <w:spacing w:after="0" w:line="240" w:lineRule="auto"/>
        <w:jc w:val="both"/>
        <w:rPr>
          <w:rFonts w:ascii="Arial" w:eastAsia="Times New Roman" w:hAnsi="Arial" w:cs="Arial"/>
          <w:color w:val="000000"/>
          <w:lang w:eastAsia="es-CO"/>
        </w:rPr>
      </w:pPr>
    </w:p>
    <w:p w14:paraId="7AD80916" w14:textId="77777777" w:rsidR="00FC79C1" w:rsidRPr="009342F9" w:rsidRDefault="00FC79C1" w:rsidP="00FC79C1">
      <w:pPr>
        <w:spacing w:after="0" w:line="240" w:lineRule="auto"/>
        <w:jc w:val="center"/>
        <w:rPr>
          <w:rFonts w:ascii="Arial" w:eastAsia="Times New Roman" w:hAnsi="Arial" w:cs="Arial"/>
          <w:b/>
          <w:bCs/>
          <w:color w:val="000000"/>
          <w:lang w:eastAsia="es-CO"/>
        </w:rPr>
      </w:pPr>
      <w:bookmarkStart w:id="101" w:name="ver_30069071"/>
      <w:bookmarkEnd w:id="99"/>
      <w:bookmarkEnd w:id="100"/>
      <w:bookmarkEnd w:id="101"/>
      <w:r w:rsidRPr="009342F9">
        <w:rPr>
          <w:rFonts w:ascii="Arial" w:eastAsia="Times New Roman" w:hAnsi="Arial" w:cs="Arial"/>
          <w:b/>
          <w:bCs/>
          <w:color w:val="000000"/>
          <w:lang w:eastAsia="es-CO"/>
        </w:rPr>
        <w:t>NUMERAL 2</w:t>
      </w:r>
    </w:p>
    <w:p w14:paraId="4CE19CCF" w14:textId="77777777" w:rsidR="00FC79C1" w:rsidRPr="009342F9" w:rsidRDefault="00FC79C1" w:rsidP="00FC79C1">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MODALIDADES DE POSTULACIÓN</w:t>
      </w:r>
    </w:p>
    <w:p w14:paraId="064988F2"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02" w:name="ver_30200376"/>
      <w:bookmarkStart w:id="103" w:name="ver_30069072"/>
      <w:bookmarkEnd w:id="102"/>
    </w:p>
    <w:p w14:paraId="4E1753E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2.1.1.1.1.3.3.2.</w:t>
      </w:r>
      <w:proofErr w:type="gramStart"/>
      <w:r w:rsidRPr="009342F9">
        <w:rPr>
          <w:rFonts w:ascii="Arial" w:eastAsia="Times New Roman" w:hAnsi="Arial" w:cs="Arial"/>
          <w:color w:val="000000"/>
          <w:lang w:eastAsia="es-CO"/>
        </w:rPr>
        <w:t>1.Modalidad</w:t>
      </w:r>
      <w:proofErr w:type="gramEnd"/>
      <w:r w:rsidRPr="009342F9">
        <w:rPr>
          <w:rFonts w:ascii="Arial" w:eastAsia="Times New Roman" w:hAnsi="Arial" w:cs="Arial"/>
          <w:color w:val="000000"/>
          <w:lang w:eastAsia="es-CO"/>
        </w:rPr>
        <w:t xml:space="preserve"> de la postulación. La postulación de los hogares al subsidio familiar de vivienda y su asignación se hace de manera individual. </w:t>
      </w:r>
    </w:p>
    <w:p w14:paraId="47E6B80C"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04" w:name="ver_30200377"/>
      <w:bookmarkStart w:id="105" w:name="ver_30069073"/>
      <w:bookmarkEnd w:id="103"/>
      <w:bookmarkEnd w:id="104"/>
    </w:p>
    <w:p w14:paraId="792F811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2.1.1.1.1.3.3.2.</w:t>
      </w:r>
      <w:proofErr w:type="gramStart"/>
      <w:r w:rsidRPr="009342F9">
        <w:rPr>
          <w:rFonts w:ascii="Arial" w:eastAsia="Times New Roman" w:hAnsi="Arial" w:cs="Arial"/>
          <w:color w:val="000000"/>
          <w:lang w:eastAsia="es-CO"/>
        </w:rPr>
        <w:t>2.Postulaciones</w:t>
      </w:r>
      <w:proofErr w:type="gramEnd"/>
      <w:r w:rsidRPr="009342F9">
        <w:rPr>
          <w:rFonts w:ascii="Arial" w:eastAsia="Times New Roman" w:hAnsi="Arial" w:cs="Arial"/>
          <w:color w:val="000000"/>
          <w:lang w:eastAsia="es-CO"/>
        </w:rPr>
        <w:t xml:space="preserve"> en grupo. Excepcionalmente se podrán presentar postulaciones en grupo, solamente cuando estas se realicen a través de las unidades administrativas, dependencias, entidades, u oficinas que cumplan con las funciones de implantar las políticas de vivienda de interés social en el municipio o distrito, los Fondos Departamentales de Vivienda, las entidades territoriales, las Cajas de Compensación Familiar, los constructores, las Organizaciones Populares de Vivienda, las Organizaciones No Gubernamentales, u otras entidades con personería jurídica vigente que tengan incluido en su objeto social la promoción y el desarrollo de programas de vivienda de interés social para sus asociados, afiliados o vinculados. </w:t>
      </w:r>
    </w:p>
    <w:bookmarkEnd w:id="105"/>
    <w:p w14:paraId="650CAD7D" w14:textId="77777777" w:rsidR="00FC79C1" w:rsidRPr="009342F9" w:rsidRDefault="00FC79C1" w:rsidP="00FC79C1">
      <w:pPr>
        <w:spacing w:after="0" w:line="240" w:lineRule="auto"/>
        <w:jc w:val="center"/>
        <w:rPr>
          <w:rFonts w:ascii="Arial" w:eastAsia="Times New Roman" w:hAnsi="Arial" w:cs="Arial"/>
          <w:b/>
          <w:bCs/>
          <w:color w:val="000000"/>
          <w:lang w:eastAsia="es-CO"/>
        </w:rPr>
      </w:pPr>
    </w:p>
    <w:p w14:paraId="338BCD69" w14:textId="64567D2A" w:rsidR="00FC79C1" w:rsidRPr="009342F9" w:rsidRDefault="00FC79C1" w:rsidP="00FC79C1">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NUMERAL 3</w:t>
      </w:r>
    </w:p>
    <w:p w14:paraId="15541116" w14:textId="77777777" w:rsidR="00FC79C1" w:rsidRPr="009342F9" w:rsidRDefault="00FC79C1" w:rsidP="00FC79C1">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PERÍODO Y VIGENCIA DE POSTULACIONES</w:t>
      </w:r>
    </w:p>
    <w:p w14:paraId="55202799" w14:textId="77777777" w:rsidR="00FC79C1" w:rsidRPr="009342F9" w:rsidRDefault="00FC79C1" w:rsidP="00FC79C1">
      <w:pPr>
        <w:spacing w:after="0" w:line="240" w:lineRule="auto"/>
        <w:jc w:val="center"/>
        <w:rPr>
          <w:rFonts w:ascii="Arial" w:eastAsia="Times New Roman" w:hAnsi="Arial" w:cs="Arial"/>
          <w:b/>
          <w:bCs/>
          <w:color w:val="000000"/>
          <w:lang w:eastAsia="es-CO"/>
        </w:rPr>
      </w:pPr>
      <w:bookmarkStart w:id="106" w:name="ver_30200378"/>
      <w:bookmarkStart w:id="107" w:name="ver_30069075"/>
      <w:bookmarkEnd w:id="106"/>
    </w:p>
    <w:p w14:paraId="4D9BF1A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2.1.1.1.1.3.3.3.1. Período de postulación. Los representantes legales de las entidades otorgantes del subsidio familiar de vivienda fijarán fechas de apertura y cierre para adelantar los procesos de postulación. La divulgación del cronograma deberá efectuarse mediante la fijación permanente de avisos en lugares visibles de las entidades otorgantes del subsidio y la publicación en las páginas web de </w:t>
      </w:r>
      <w:proofErr w:type="gramStart"/>
      <w:r w:rsidRPr="009342F9">
        <w:rPr>
          <w:rFonts w:ascii="Arial" w:eastAsia="Times New Roman" w:hAnsi="Arial" w:cs="Arial"/>
          <w:color w:val="000000"/>
          <w:lang w:eastAsia="es-CO"/>
        </w:rPr>
        <w:t>las mismas</w:t>
      </w:r>
      <w:proofErr w:type="gramEnd"/>
      <w:r w:rsidRPr="009342F9">
        <w:rPr>
          <w:rFonts w:ascii="Arial" w:eastAsia="Times New Roman" w:hAnsi="Arial" w:cs="Arial"/>
          <w:color w:val="000000"/>
          <w:lang w:eastAsia="es-CO"/>
        </w:rPr>
        <w:t>, de acuerdo al comportamiento de la oferta en el territorio y mediante publicación en el Diario Oficial cuando se trate de convocatorias abiertas por el Fondo Nacional de Vivienda, o por quien este determine para el otorgamiento de subsidios con cargo a los recursos del Gobierno nacional. </w:t>
      </w:r>
    </w:p>
    <w:p w14:paraId="08727FF8"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08" w:name="ver_30200412"/>
      <w:bookmarkStart w:id="109" w:name="ver_30069076"/>
      <w:bookmarkEnd w:id="107"/>
      <w:bookmarkEnd w:id="108"/>
    </w:p>
    <w:p w14:paraId="2BA4033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2.1.1.1.1.3.3.3.2. Derogado  </w:t>
      </w:r>
    </w:p>
    <w:bookmarkEnd w:id="109"/>
    <w:p w14:paraId="5DBB234B" w14:textId="77777777" w:rsidR="00FC79C1" w:rsidRPr="009342F9" w:rsidRDefault="00FC79C1" w:rsidP="00FC79C1">
      <w:pPr>
        <w:spacing w:after="0" w:line="240" w:lineRule="auto"/>
        <w:jc w:val="both"/>
        <w:rPr>
          <w:rFonts w:ascii="Arial" w:eastAsia="Times New Roman" w:hAnsi="Arial" w:cs="Arial"/>
          <w:color w:val="000000"/>
          <w:lang w:eastAsia="es-CO"/>
        </w:rPr>
      </w:pPr>
    </w:p>
    <w:p w14:paraId="761FBB2A" w14:textId="0FB63FD2"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2.1.1.1.1.3.3.3.3. Vigencia de la postulación. Los inscritos en el Registro de Postulantes, que no fueren beneficiarios en una asignación de subsidios, podrán continuar como postulantes hábiles para las asignaciones de la totalidad del año calendario. Si no fueren beneficiarios en las demás asignaciones de dicho año, para continuar siendo postulantes en las asignaciones del año siguiente deberán manifestar tal interés, mediante una comunicación escrita dirigida a la entidad donde postularon por primera vez. Lo anterior, sin perjuicio de la posibilidad de mantenerse en el Registro de Postulantes mediante la actualización de la información, sin que ello afecte la continuidad de las condiciones de postulación del hogar correspondiente. Para efectos de la actualización, las entidades otorgantes del subsidio familiar de vivienda deberán adelantar las gestiones necesarias para divulgar y facilitar a los postulantes las modificaciones a que haya lugar. </w:t>
      </w:r>
    </w:p>
    <w:p w14:paraId="67332ECE" w14:textId="624EB1B1"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10" w:name="ver_30069078"/>
      <w:bookmarkEnd w:id="110"/>
    </w:p>
    <w:p w14:paraId="5A8F3035" w14:textId="6F45E370" w:rsidR="00FC79C1" w:rsidRPr="009342F9" w:rsidRDefault="00FC79C1" w:rsidP="00FC79C1">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NUMERAL 4</w:t>
      </w:r>
    </w:p>
    <w:p w14:paraId="42394AD4" w14:textId="77777777" w:rsidR="00FC79C1" w:rsidRPr="009342F9" w:rsidRDefault="00FC79C1" w:rsidP="00FC79C1">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DISPOSICIONES COMUNES APLICABLES A LA PRESENTE SUB-SUBSECCIÓN</w:t>
      </w:r>
    </w:p>
    <w:p w14:paraId="2AF88C9F"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11" w:name="ver_30069079"/>
      <w:bookmarkEnd w:id="111"/>
    </w:p>
    <w:p w14:paraId="1C376EE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2.1.1.1.1.3.3.4.1. Duplicidad de postulaciones. Ningún hogar podrá presentar simultáneamente más de una postulación para el acceso al subsidio familiar de vivienda, así sea a través de diferentes registros de las personas integrantes del mismo. Si deliberadamente se </w:t>
      </w:r>
      <w:r w:rsidRPr="009342F9">
        <w:rPr>
          <w:rFonts w:ascii="Arial" w:eastAsia="Times New Roman" w:hAnsi="Arial" w:cs="Arial"/>
          <w:color w:val="000000"/>
          <w:lang w:eastAsia="es-CO"/>
        </w:rPr>
        <w:lastRenderedPageBreak/>
        <w:t xml:space="preserve">incurre en esta conducta, las solicitudes correspondientes serán eliminadas de inmediato por la entidad competente. Si se detectare la infracción intencional con posterioridad a la asignación del subsidio, se revocará su asignación </w:t>
      </w:r>
      <w:proofErr w:type="gramStart"/>
      <w:r w:rsidRPr="009342F9">
        <w:rPr>
          <w:rFonts w:ascii="Arial" w:eastAsia="Times New Roman" w:hAnsi="Arial" w:cs="Arial"/>
          <w:color w:val="000000"/>
          <w:lang w:eastAsia="es-CO"/>
        </w:rPr>
        <w:t>y</w:t>
      </w:r>
      <w:proofErr w:type="gramEnd"/>
      <w:r w:rsidRPr="009342F9">
        <w:rPr>
          <w:rFonts w:ascii="Arial" w:eastAsia="Times New Roman" w:hAnsi="Arial" w:cs="Arial"/>
          <w:color w:val="000000"/>
          <w:lang w:eastAsia="es-CO"/>
        </w:rPr>
        <w:t xml:space="preserve"> por ende, no será pagado. Si ya ha sido pagado en parte o totalmente, se ordenará su restitución indexado con el Índice de Precios al Consumidor, IPC, desde la fecha en que se asignó. </w:t>
      </w:r>
    </w:p>
    <w:p w14:paraId="5291B36C" w14:textId="09A83666"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12" w:name="ver_30069080"/>
      <w:bookmarkEnd w:id="112"/>
    </w:p>
    <w:p w14:paraId="3A9D1C1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2.1.1.1.1.3.3.4.2. Lugar de postulación. Para los subsidios otorgados por el Fondo Nacional de Vivienda las postulaciones deberán realizarse en el departamento en donde se aplicará el subsidio. Los hogares afiliados a Cajas de Compensación Familiar deberán realizar la postulación en la Caja a la cual se encuentren afiliados. </w:t>
      </w:r>
    </w:p>
    <w:p w14:paraId="63288469" w14:textId="7382F492" w:rsidR="00FC79C1" w:rsidRPr="009342F9" w:rsidRDefault="00FC79C1" w:rsidP="009342F9">
      <w:pPr>
        <w:spacing w:after="0" w:line="240" w:lineRule="auto"/>
        <w:jc w:val="both"/>
        <w:rPr>
          <w:rFonts w:ascii="Arial" w:eastAsia="Times New Roman" w:hAnsi="Arial" w:cs="Arial"/>
          <w:b/>
          <w:bCs/>
          <w:color w:val="000000"/>
          <w:lang w:eastAsia="es-CO"/>
        </w:rPr>
      </w:pPr>
      <w:r w:rsidRPr="009342F9">
        <w:rPr>
          <w:rFonts w:ascii="Arial" w:eastAsia="Times New Roman" w:hAnsi="Arial" w:cs="Arial"/>
          <w:color w:val="000000"/>
          <w:lang w:eastAsia="es-CO"/>
        </w:rPr>
        <w:t>  </w:t>
      </w:r>
    </w:p>
    <w:p w14:paraId="246CAE40" w14:textId="77777777" w:rsidR="00FC79C1" w:rsidRPr="009342F9" w:rsidRDefault="00FC79C1" w:rsidP="00FC79C1">
      <w:pPr>
        <w:spacing w:after="0" w:line="240" w:lineRule="auto"/>
        <w:jc w:val="center"/>
        <w:rPr>
          <w:rFonts w:ascii="Arial" w:eastAsia="Times New Roman" w:hAnsi="Arial" w:cs="Arial"/>
          <w:b/>
          <w:bCs/>
          <w:color w:val="000000"/>
          <w:lang w:eastAsia="es-CO"/>
        </w:rPr>
      </w:pPr>
      <w:bookmarkStart w:id="113" w:name="ver_30069081"/>
      <w:bookmarkEnd w:id="113"/>
      <w:r w:rsidRPr="009342F9">
        <w:rPr>
          <w:rFonts w:ascii="Arial" w:eastAsia="Times New Roman" w:hAnsi="Arial" w:cs="Arial"/>
          <w:b/>
          <w:bCs/>
          <w:color w:val="000000"/>
          <w:lang w:eastAsia="es-CO"/>
        </w:rPr>
        <w:t>SUBSECCIÓN 4</w:t>
      </w:r>
    </w:p>
    <w:p w14:paraId="78659B9F" w14:textId="03954D5B" w:rsidR="00FC79C1" w:rsidRDefault="00FC79C1" w:rsidP="00FC79C1">
      <w:pPr>
        <w:spacing w:after="0" w:line="240" w:lineRule="auto"/>
        <w:jc w:val="center"/>
        <w:rPr>
          <w:rFonts w:ascii="Arial" w:eastAsia="Times New Roman" w:hAnsi="Arial" w:cs="Arial"/>
          <w:b/>
          <w:bCs/>
          <w:color w:val="000000"/>
          <w:lang w:eastAsia="es-CO"/>
        </w:rPr>
      </w:pPr>
      <w:r w:rsidRPr="3DD719FF">
        <w:rPr>
          <w:rFonts w:ascii="Arial" w:eastAsia="Times New Roman" w:hAnsi="Arial" w:cs="Arial"/>
          <w:b/>
          <w:color w:val="000000" w:themeColor="text1"/>
          <w:lang w:eastAsia="es-CO"/>
        </w:rPr>
        <w:t>CALIFICACIÓN Y ASIGNACIÓN DE SUBSIDIOS</w:t>
      </w:r>
    </w:p>
    <w:p w14:paraId="1B1C44FA" w14:textId="03954D5B" w:rsidR="00D04AB5" w:rsidRPr="009342F9" w:rsidRDefault="00D04AB5" w:rsidP="00FC79C1">
      <w:pPr>
        <w:spacing w:after="0" w:line="240" w:lineRule="auto"/>
        <w:jc w:val="center"/>
        <w:rPr>
          <w:rFonts w:ascii="Arial" w:eastAsia="Times New Roman" w:hAnsi="Arial" w:cs="Arial"/>
          <w:b/>
          <w:bCs/>
          <w:color w:val="000000"/>
          <w:lang w:eastAsia="es-CO"/>
        </w:rPr>
      </w:pPr>
    </w:p>
    <w:p w14:paraId="6D1022D0" w14:textId="77777777" w:rsidR="00FC79C1" w:rsidRPr="009342F9" w:rsidRDefault="00FC79C1" w:rsidP="00FC79C1">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SUB-SUBSECCIÓN 1</w:t>
      </w:r>
    </w:p>
    <w:p w14:paraId="1F146FBD" w14:textId="77777777" w:rsidR="00FC79C1" w:rsidRPr="009342F9" w:rsidRDefault="00FC79C1" w:rsidP="00FC79C1">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CALIFICACIÓN DE POSTULANTES</w:t>
      </w:r>
    </w:p>
    <w:p w14:paraId="6E0F67F8"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14" w:name="ver_30069082"/>
      <w:bookmarkEnd w:id="114"/>
    </w:p>
    <w:p w14:paraId="60148BC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2.1.1.1.1.4.1.1. Verificación de información. Antes de proceder a la calificación de las postulaciones, la entidad otorgante del subsidio familiar de vivienda verificará la información suministrada por los postulantes. </w:t>
      </w:r>
    </w:p>
    <w:p w14:paraId="0F4346B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2FC596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Mensualmente el Instituto Geográfico Agustín Codazzi, IGAC, la Registraduría Nacional del Estado Civil, las Oficinas de Catastro de las ciudades de Bogotá, Medellín, Cali y el departamento de Antioquia, la Superintendencia de Notariado y Registro, las Entidades Financieras, los Fondos de Pensiones y Cesantías, el </w:t>
      </w:r>
      <w:proofErr w:type="spellStart"/>
      <w:r w:rsidRPr="009342F9">
        <w:rPr>
          <w:rFonts w:ascii="Arial" w:eastAsia="Times New Roman" w:hAnsi="Arial" w:cs="Arial"/>
          <w:color w:val="000000"/>
          <w:lang w:eastAsia="es-CO"/>
        </w:rPr>
        <w:t>Inurbe</w:t>
      </w:r>
      <w:proofErr w:type="spellEnd"/>
      <w:r w:rsidRPr="009342F9">
        <w:rPr>
          <w:rFonts w:ascii="Arial" w:eastAsia="Times New Roman" w:hAnsi="Arial" w:cs="Arial"/>
          <w:color w:val="000000"/>
          <w:lang w:eastAsia="es-CO"/>
        </w:rPr>
        <w:t xml:space="preserve"> en Liquidación, las Cajas de Compensación Familiar, el Fondo Nacional de Vivienda, el Banco Agrario, la Caja Promotora de Vivienda Militar y las demás entidades que el Ministerio de Ambiente, Vivienda y Desarrollo Territorial determine, deberán entregar a este o a la entidad que este designe, sin costo alguno y en medio magnético, electrónico o similar, la información necesaria para verificar la información suministrada por los postulantes. </w:t>
      </w:r>
    </w:p>
    <w:p w14:paraId="45FFBC5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EE8EDE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El incumplimiento en la remisión oportuna de la información a la que se hizo alusión en el inciso anterior dará lugar a la aplicación de las sanciones a que haya lugar conforme a la normatividad vigente. </w:t>
      </w:r>
    </w:p>
    <w:p w14:paraId="48FACB3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854092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Las entidades otorgantes tendrán la facultad de revisar en cualquier momento la consistencia y/o veracidad de la información suministrada por el postulante. Si antes de la asignación o de la transferencia de la propiedad de la vivienda al hogar, se comprueba que existió falsedad o imprecisión en los datos suministrados en el formulario de solicitud del subsidio y/o en los documentos que lo acompañan, o en las condiciones o requisitos de la postulación, y/o asignación, se eliminarán las postulaciones presentadas y/o las asignaciones efectuadas. </w:t>
      </w:r>
    </w:p>
    <w:p w14:paraId="2AEEF74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C9132C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Si después de girado el subsidio familiar de vivienda, la entidad otorgante comprueba que existió imprecisión en los datos suministrados en el formulario de postulación y/o en los documentos que lo acompañan, en las condiciones o requisitos de la postulación, y/o asignación, o en los documentos de cobro del subsidio, o que la información suministrada para la postulación no corresponde a la verdad, el monto entregado deberá ser restituido por el hogar beneficiario a la entidad otorgante. </w:t>
      </w:r>
      <w:proofErr w:type="gramStart"/>
      <w:r w:rsidRPr="009342F9">
        <w:rPr>
          <w:rFonts w:ascii="Arial" w:eastAsia="Times New Roman" w:hAnsi="Arial" w:cs="Arial"/>
          <w:color w:val="000000"/>
          <w:lang w:eastAsia="es-CO"/>
        </w:rPr>
        <w:t>El valor a restituir</w:t>
      </w:r>
      <w:proofErr w:type="gramEnd"/>
      <w:r w:rsidRPr="009342F9">
        <w:rPr>
          <w:rFonts w:ascii="Arial" w:eastAsia="Times New Roman" w:hAnsi="Arial" w:cs="Arial"/>
          <w:color w:val="000000"/>
          <w:lang w:eastAsia="es-CO"/>
        </w:rPr>
        <w:t xml:space="preserve"> será el monto del subsidio asignado, indexado con el Índice de Precios al Consumidor, IPC, desde la fecha del desembolso, más los intereses corrientes causados desde esa misma fecha. </w:t>
      </w:r>
    </w:p>
    <w:p w14:paraId="59563A9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C135A9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Adicional a lo expresado, y sin perjuicio de las demás sanciones a que haya lugar, la imprecisión en la información que se detectare en cualquier etapa del proceso, así como la comprobación de que la información suministrada para la postulación al subsidio familiar de vivienda, no corresponde a la verdad, generará la imposibilidad para solicitar de nuevo el subsidio por parte del postulante durante un término de diez (10) años, de conformidad con lo estipulado en el artículo 30 de la Ley 3ª de 1991. </w:t>
      </w:r>
    </w:p>
    <w:p w14:paraId="6D8776F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0EB1A2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Parágrafo. Con el propósito de facilitar y agilizar el proceso de postulación de los hogares, las entidades otorgantes del Subsidio Familiar de Vivienda de Interés </w:t>
      </w:r>
      <w:proofErr w:type="gramStart"/>
      <w:r w:rsidRPr="009342F9">
        <w:rPr>
          <w:rFonts w:ascii="Arial" w:eastAsia="Times New Roman" w:hAnsi="Arial" w:cs="Arial"/>
          <w:color w:val="000000"/>
          <w:lang w:eastAsia="es-CO"/>
        </w:rPr>
        <w:t>Social,</w:t>
      </w:r>
      <w:proofErr w:type="gramEnd"/>
      <w:r w:rsidRPr="009342F9">
        <w:rPr>
          <w:rFonts w:ascii="Arial" w:eastAsia="Times New Roman" w:hAnsi="Arial" w:cs="Arial"/>
          <w:color w:val="000000"/>
          <w:lang w:eastAsia="es-CO"/>
        </w:rPr>
        <w:t xml:space="preserve"> podrán establecer mecanismos de consulta en línea con las entidades a que haya lugar para verificar la información de las postulaciones presentadas. El Ministerio de Vivienda, Ciudad y Territorio reglamentará la materia. En todo caso, los hogares, directamente, o a través de los gestores u oferentes de proyectos de vivienda, las entidades territoriales u oficinas encargadas en los municipios de impulsar el tema de vivienda, podrán solicitar dentro de los primeros cinco (5) días de cada mes al Ministerio de Vivienda, Ciudad y Territorio el cruce de la información de los posibles hogares postulantes, para verificar el cumplimiento de los requisitos antes de la postulación. Dicho Ministerio dará respuesta a esas solicitudes durante los diez (10) días siguientes a la fecha en que fue realizada la solicitud. </w:t>
      </w:r>
    </w:p>
    <w:p w14:paraId="64302A7E" w14:textId="68DDB659"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15" w:name="ver_30069083"/>
      <w:bookmarkEnd w:id="115"/>
    </w:p>
    <w:p w14:paraId="26DAFF5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2.1.1.1.1.4.1.2. Criterios para la calificación de las postulaciones. Una vez surtido el proceso de verificación de la información de que trata el artículo 2.1.1.1.1.4.1.1 de la presente sección, las entidades otorgantes del subsidio calificarán cada una de las postulaciones aceptables que conforman el Registro de Postulantes, esto es, aquellas que no se hubieren rechazado por falta de cumplimiento de los requisitos normativos o por inconsistencias y/o falsedad en la información. </w:t>
      </w:r>
    </w:p>
    <w:p w14:paraId="3A825EB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67919A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Teniendo en cuenta que los aportes para la solución de vivienda que puede realizar un hogar se definen en función de su nivel de ingresos y del número de miembros </w:t>
      </w:r>
      <w:proofErr w:type="gramStart"/>
      <w:r w:rsidRPr="009342F9">
        <w:rPr>
          <w:rFonts w:ascii="Arial" w:eastAsia="Times New Roman" w:hAnsi="Arial" w:cs="Arial"/>
          <w:color w:val="000000"/>
          <w:lang w:eastAsia="es-CO"/>
        </w:rPr>
        <w:t>del mismo</w:t>
      </w:r>
      <w:proofErr w:type="gramEnd"/>
      <w:r w:rsidRPr="009342F9">
        <w:rPr>
          <w:rFonts w:ascii="Arial" w:eastAsia="Times New Roman" w:hAnsi="Arial" w:cs="Arial"/>
          <w:color w:val="000000"/>
          <w:lang w:eastAsia="es-CO"/>
        </w:rPr>
        <w:t>, la calificación de las postulaciones se realizará de acuerdo con la ponderación de variables del ahorro previo y las condiciones socioeconómicas de los postulantes tal y como lo establece la Ley 3ª de 1991 en sus artículos 6° y 7°. Estas variables son las siguientes: </w:t>
      </w:r>
    </w:p>
    <w:p w14:paraId="5ED90C5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7BAE05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Condiciones socioeconómicas de acuerdo con los puntajes del SISBÉN, que evidencien mayor nivel de pobreza, en el caso de postulantes que presenten carné o certificación municipal del puntaje SISBÉN. </w:t>
      </w:r>
    </w:p>
    <w:p w14:paraId="673E0E3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2B3A02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Número de miembros del hogar. </w:t>
      </w:r>
    </w:p>
    <w:p w14:paraId="5012F78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2AE618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Condiciones especiales de los miembros del hogar. </w:t>
      </w:r>
    </w:p>
    <w:p w14:paraId="76DFC14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106566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Ahorro previo. </w:t>
      </w:r>
    </w:p>
    <w:p w14:paraId="6B2C776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3EE15D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 Número de veces que el postulante ha participado en el proceso de asignación de subsidios, sin haber resultado beneficiario, siempre y cuando haya mantenido la inmovilización del ahorro mínimo pactado para la postulación. </w:t>
      </w:r>
    </w:p>
    <w:p w14:paraId="7FC8D9E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75C7C56" w14:textId="77777777" w:rsidR="00FC79C1" w:rsidRPr="009342F9" w:rsidRDefault="00FC79C1" w:rsidP="00FC79C1">
      <w:pPr>
        <w:spacing w:after="0" w:line="240" w:lineRule="auto"/>
        <w:jc w:val="both"/>
        <w:rPr>
          <w:rFonts w:ascii="Arial" w:eastAsia="Times New Roman" w:hAnsi="Arial" w:cs="Arial"/>
          <w:color w:val="000000"/>
          <w:lang w:eastAsia="es-CO"/>
        </w:rPr>
      </w:pPr>
      <w:proofErr w:type="gramStart"/>
      <w:r w:rsidRPr="009342F9">
        <w:rPr>
          <w:rFonts w:ascii="Arial" w:eastAsia="Times New Roman" w:hAnsi="Arial" w:cs="Arial"/>
          <w:color w:val="000000"/>
          <w:lang w:eastAsia="es-CO"/>
        </w:rPr>
        <w:t>Los puntajes a aplicar</w:t>
      </w:r>
      <w:proofErr w:type="gramEnd"/>
      <w:r w:rsidRPr="009342F9">
        <w:rPr>
          <w:rFonts w:ascii="Arial" w:eastAsia="Times New Roman" w:hAnsi="Arial" w:cs="Arial"/>
          <w:color w:val="000000"/>
          <w:lang w:eastAsia="es-CO"/>
        </w:rPr>
        <w:t xml:space="preserve"> a cada una de las variables son los establecidos en el artículo siguiente. </w:t>
      </w:r>
    </w:p>
    <w:p w14:paraId="0DB00FEE"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16" w:name="ver_30180366"/>
      <w:bookmarkStart w:id="117" w:name="ver_30069084"/>
      <w:bookmarkEnd w:id="116"/>
    </w:p>
    <w:p w14:paraId="365FDEC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2.1.1.1.1.4.1.3. Determinación de puntajes para calificación de postulaciones. Para efectos de determinar el puntaje de calificación de cada postulante, se aplicará la siguiente fórmula: </w:t>
      </w:r>
    </w:p>
    <w:p w14:paraId="193DC5CD" w14:textId="673ECBC8"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w:t>
      </w:r>
    </w:p>
    <w:p w14:paraId="71DA15E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Donde:  </w:t>
      </w:r>
    </w:p>
    <w:p w14:paraId="5686FCE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3A04C5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B1: Puntaje del SISBÉN. Para los hogares que se postulen al Fondo Nacional de Vivienda, se determinará conforme al puntaje SISBÉN del respectivo jefe de hogar postulante. Para efectos de la aplicación de esta fórmula a los afiliados a Cajas de Compensación Familiar, la equivalencia del puntaje del SISBÉN será igual al ingreso del hogar dividido en 39.880. </w:t>
      </w:r>
    </w:p>
    <w:p w14:paraId="079D37B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57025D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B2: Si el hogar está conformado por 2 miembros, B2 es igual a 1. Si el hogar está conformado por 3 miembros, B2 es igual a 2. Si el hogar está conformado por 4 miembros, B2 es igual a 3. Si el hogar está conformado por 5 o más miembros, B2 es igual a 4. </w:t>
      </w:r>
    </w:p>
    <w:p w14:paraId="2A68EE0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67FF6C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B3: Condición de mujer u hombre cabeza de familia, hogares con miembro hogar discapacitado, hogares con miembro hogar mayor de 65 años. Si tiene alguna de estas condiciones el hogar, B3 es igual a 1. Si no, B3 es igual a 0. </w:t>
      </w:r>
    </w:p>
    <w:p w14:paraId="462B1CA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EF68C1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B4: Ahorro y Cesantías en relación con el puntaje del SISBÉN. Se obtiene de dividir el ahorro, expresado en pesos, sobre el puntaje del SISBÉN. Para efectos de la aplicación de esta fórmula a los afiliados a Cajas de Compensación Familiar, la equivalencia del puntaje del SISBÉN será igual al ingreso del hogar dividido en 39.980. </w:t>
      </w:r>
    </w:p>
    <w:p w14:paraId="5368C69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596605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B5: Tiempo de ahorro. Se contabiliza el número de meses completos desde la fecha de apertura de la cuenta de ahorro programado o la iniciación de los aportes periódicos, o desde la fecha en que el postulante oficializó su compromiso de aplicar a la vivienda sus cesantías o desde la fecha en que se efectuó el primer pago de la cuota inicial. Cuando el postulante acredite, tanto la apertura de la cuenta, como la formalización del compromiso antes citado, el tiempo de ahorro se contará a partir de la fecha más antigua. </w:t>
      </w:r>
    </w:p>
    <w:p w14:paraId="24FB0E9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E6BDC8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B6: Número de veces que el hogar postulante ha participado en el proceso de asignación del subsidio sin haber resultado beneficiario, cumpliendo con todos los requisitos para la calificación. </w:t>
      </w:r>
    </w:p>
    <w:p w14:paraId="1AF7CB7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F452BF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Cuando se trate de la primera postulación B6 = 0. </w:t>
      </w:r>
    </w:p>
    <w:p w14:paraId="0BB52C4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0706F7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1°. Para efectos del esfuerzo de ahorro en la variable B5, se tendrá como punto de partida la fecha de iniciación del ahorro. Si el producto del ahorro se utilizó en la adquisición de terreno, se tendrá como referencia la fecha de inscripción del título de adquisición en la Oficina de Registro de Instrumentos Públicos competente, siempre y cuando este se encuentre libre de todo gravamen, salvo por la hipoteca constituida a favor de la entidad que financiará su ejecución. </w:t>
      </w:r>
    </w:p>
    <w:p w14:paraId="34701F1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C6665F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2°. Los hogares que presenten alguna de las siguientes condiciones, a saber: madre comunitaria del Instituto de Bienestar Familiar, ICBF, hogares que demuestren tener ahorro programado contractual con evaluación crediticia favorable previa, hogares con miembros afrocolombianos o indígenas, tendrán un puntaje adicional al de su calificación del tres por ciento (3%). </w:t>
      </w:r>
    </w:p>
    <w:p w14:paraId="0F61903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CE55FC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Parágrafo 3°. Los hogares </w:t>
      </w:r>
      <w:proofErr w:type="gramStart"/>
      <w:r w:rsidRPr="009342F9">
        <w:rPr>
          <w:rFonts w:ascii="Arial" w:eastAsia="Times New Roman" w:hAnsi="Arial" w:cs="Arial"/>
          <w:color w:val="000000"/>
          <w:lang w:eastAsia="es-CO"/>
        </w:rPr>
        <w:t>que</w:t>
      </w:r>
      <w:proofErr w:type="gramEnd"/>
      <w:r w:rsidRPr="009342F9">
        <w:rPr>
          <w:rFonts w:ascii="Arial" w:eastAsia="Times New Roman" w:hAnsi="Arial" w:cs="Arial"/>
          <w:color w:val="000000"/>
          <w:lang w:eastAsia="es-CO"/>
        </w:rPr>
        <w:t xml:space="preserve"> habiendo sido beneficiarios del subsidio familiar de vivienda, hayan perdido la vivienda por imposibilidad de pago, podrán postularse nuevamente al subsidio familiar de vivienda en cumplimiento de lo dispuesto en el artículo 33 de la Ley 546 de 1999. Así mismo, una vez calificada su postulación conforme a la fórmula aquí establecida, la asignación por una sola vez más del subsidio familiar de </w:t>
      </w:r>
      <w:proofErr w:type="gramStart"/>
      <w:r w:rsidRPr="009342F9">
        <w:rPr>
          <w:rFonts w:ascii="Arial" w:eastAsia="Times New Roman" w:hAnsi="Arial" w:cs="Arial"/>
          <w:color w:val="000000"/>
          <w:lang w:eastAsia="es-CO"/>
        </w:rPr>
        <w:t>vivienda,</w:t>
      </w:r>
      <w:proofErr w:type="gramEnd"/>
      <w:r w:rsidRPr="009342F9">
        <w:rPr>
          <w:rFonts w:ascii="Arial" w:eastAsia="Times New Roman" w:hAnsi="Arial" w:cs="Arial"/>
          <w:color w:val="000000"/>
          <w:lang w:eastAsia="es-CO"/>
        </w:rPr>
        <w:t xml:space="preserve"> se hará de manera preferente entre todos </w:t>
      </w:r>
      <w:r w:rsidRPr="009342F9">
        <w:rPr>
          <w:rFonts w:ascii="Arial" w:eastAsia="Times New Roman" w:hAnsi="Arial" w:cs="Arial"/>
          <w:color w:val="000000"/>
          <w:lang w:eastAsia="es-CO"/>
        </w:rPr>
        <w:lastRenderedPageBreak/>
        <w:t>los hogares calificados que cumplan con el lleno de los requisitos establecidos en las normas vigentes. </w:t>
      </w:r>
    </w:p>
    <w:p w14:paraId="7697FCB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FC6740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El mismo tratamiento se dará a los hogares que no habiendo sido beneficiarios del subsidio familiar de vivienda, perdieron la vivienda por imposibilidad de pago. </w:t>
      </w:r>
    </w:p>
    <w:p w14:paraId="3B5F483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162BEA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4°. Los hogares que soliciten un subsidio inferior al que tienen derecho, sustentando el cierre financiero del cien por ciento (100%) del valor de la vivienda, obtendrán un puntaje adicional conforme a la siguiente fórmula: </w:t>
      </w:r>
    </w:p>
    <w:p w14:paraId="5439B20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46EFBA6" w14:textId="69E7D401" w:rsidR="00FC79C1" w:rsidRPr="009342F9" w:rsidRDefault="48ABE02E" w:rsidP="00FC79C1">
      <w:pPr>
        <w:spacing w:after="0" w:line="240" w:lineRule="auto"/>
        <w:jc w:val="both"/>
        <w:rPr>
          <w:rFonts w:ascii="Arial" w:eastAsia="Times New Roman" w:hAnsi="Arial" w:cs="Arial"/>
          <w:color w:val="000000"/>
          <w:lang w:eastAsia="es-CO"/>
        </w:rPr>
      </w:pPr>
      <w:r>
        <w:rPr>
          <w:noProof/>
        </w:rPr>
        <w:drawing>
          <wp:inline distT="0" distB="0" distL="0" distR="0" wp14:anchorId="1891892C" wp14:editId="1ABE8D76">
            <wp:extent cx="5452110" cy="1198880"/>
            <wp:effectExtent l="0" t="0" r="0" b="127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pic:nvPicPr>
                  <pic:blipFill>
                    <a:blip r:embed="rId8">
                      <a:extLst>
                        <a:ext uri="{28A0092B-C50C-407E-A947-70E740481C1C}">
                          <a14:useLocalDpi xmlns:a14="http://schemas.microsoft.com/office/drawing/2010/main" val="0"/>
                        </a:ext>
                      </a:extLst>
                    </a:blip>
                    <a:stretch>
                      <a:fillRect/>
                    </a:stretch>
                  </pic:blipFill>
                  <pic:spPr>
                    <a:xfrm>
                      <a:off x="0" y="0"/>
                      <a:ext cx="5452110" cy="1198880"/>
                    </a:xfrm>
                    <a:prstGeom prst="rect">
                      <a:avLst/>
                    </a:prstGeom>
                  </pic:spPr>
                </pic:pic>
              </a:graphicData>
            </a:graphic>
          </wp:inline>
        </w:drawing>
      </w:r>
      <w:r w:rsidR="00FC79C1" w:rsidRPr="3DD719FF">
        <w:rPr>
          <w:rFonts w:ascii="Arial" w:eastAsia="Times New Roman" w:hAnsi="Arial" w:cs="Arial"/>
          <w:color w:val="000000" w:themeColor="text1"/>
          <w:lang w:eastAsia="es-CO"/>
        </w:rPr>
        <w:t> </w:t>
      </w:r>
    </w:p>
    <w:p w14:paraId="4A5BE573"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18" w:name="ver_30069085"/>
      <w:bookmarkEnd w:id="117"/>
      <w:bookmarkEnd w:id="118"/>
    </w:p>
    <w:p w14:paraId="427E478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2.1.1.1.1.4.1.4. Proceso general de selección de beneficiarios de los subsidios. Una vez calificadas cada una de las postulaciones aceptables, la entidad otorgante o el operador autorizado, si fuere el caso, las ordenará de manera automática y en forma secuencial descendente, para conformar un listado de postulantes calificados hasta completar un número de hogares equivalente al total de los recursos disponibles. Los hogares postulantes que no alcanzaren a quedar incorporados en el listado resultante serán excluidos de la correspondiente asignación. </w:t>
      </w:r>
    </w:p>
    <w:p w14:paraId="018A6B8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64B9B9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1°. Si los recursos no son suficientes para atender el monto total de subsidio solicitado por el postulante individual alcanzado por el corte de selección, tanto ese postulante como los que le siguen en el orden secuencial serán excluidos de la correspondiente asignación. </w:t>
      </w:r>
    </w:p>
    <w:p w14:paraId="0D9DCF2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A1FAB9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Parágrafo 2°. Las entidades otorgantes del </w:t>
      </w:r>
      <w:proofErr w:type="gramStart"/>
      <w:r w:rsidRPr="009342F9">
        <w:rPr>
          <w:rFonts w:ascii="Arial" w:eastAsia="Times New Roman" w:hAnsi="Arial" w:cs="Arial"/>
          <w:color w:val="000000"/>
          <w:lang w:eastAsia="es-CO"/>
        </w:rPr>
        <w:t>subsidio,</w:t>
      </w:r>
      <w:proofErr w:type="gramEnd"/>
      <w:r w:rsidRPr="009342F9">
        <w:rPr>
          <w:rFonts w:ascii="Arial" w:eastAsia="Times New Roman" w:hAnsi="Arial" w:cs="Arial"/>
          <w:color w:val="000000"/>
          <w:lang w:eastAsia="es-CO"/>
        </w:rPr>
        <w:t xml:space="preserve"> no asumirán compromiso alguno respecto de los postulantes que no alcanzaren a quedar incorporados en los listados de beneficiarios contenidos en las resoluciones de asignación expedidas en los términos del artículo 2.1.1.1.1.4.3.1 de la presente sección. </w:t>
      </w:r>
    </w:p>
    <w:p w14:paraId="6071A456" w14:textId="53955B26"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19" w:name="ver_30069086"/>
      <w:bookmarkEnd w:id="119"/>
    </w:p>
    <w:p w14:paraId="02BA64B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2.1.1.1.1.4.1.5. Proceso de selección de Postulantes en la “Bolsa para Postulaciones de Ahorro Programado Contractual con Evaluación Crediticia Favorable”. Una vez calificadas las postulaciones conforme a lo dispuesto en los artículos 2.1.1.1.1.4.1.2 y 2.1.1.1.1.4.1.3 de esta sección, y dando prioridad a los hogares cuyos ingresos totales no sean superiores a la suma equivalente a dos salarios mínimos legales mensuales vigentes (2 </w:t>
      </w:r>
      <w:proofErr w:type="spellStart"/>
      <w:r w:rsidRPr="009342F9">
        <w:rPr>
          <w:rFonts w:ascii="Arial" w:eastAsia="Times New Roman" w:hAnsi="Arial" w:cs="Arial"/>
          <w:color w:val="000000"/>
          <w:lang w:eastAsia="es-CO"/>
        </w:rPr>
        <w:t>smlmv</w:t>
      </w:r>
      <w:proofErr w:type="spellEnd"/>
      <w:r w:rsidRPr="009342F9">
        <w:rPr>
          <w:rFonts w:ascii="Arial" w:eastAsia="Times New Roman" w:hAnsi="Arial" w:cs="Arial"/>
          <w:color w:val="000000"/>
          <w:lang w:eastAsia="es-CO"/>
        </w:rPr>
        <w:t>), la entidad otorgante o el operador autorizado, si fuere el caso, las ordenará de manera automática y en forma secuencial descendente para conformar una lista de postulantes calificados hasta completar un número de hogares equivalente al total de los recursos disponibles departamentalmente. </w:t>
      </w:r>
    </w:p>
    <w:p w14:paraId="43B6826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BB616B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Parágrafo. Las entidades otorgantes del </w:t>
      </w:r>
      <w:proofErr w:type="gramStart"/>
      <w:r w:rsidRPr="009342F9">
        <w:rPr>
          <w:rFonts w:ascii="Arial" w:eastAsia="Times New Roman" w:hAnsi="Arial" w:cs="Arial"/>
          <w:color w:val="000000"/>
          <w:lang w:eastAsia="es-CO"/>
        </w:rPr>
        <w:t>subsidio,</w:t>
      </w:r>
      <w:proofErr w:type="gramEnd"/>
      <w:r w:rsidRPr="009342F9">
        <w:rPr>
          <w:rFonts w:ascii="Arial" w:eastAsia="Times New Roman" w:hAnsi="Arial" w:cs="Arial"/>
          <w:color w:val="000000"/>
          <w:lang w:eastAsia="es-CO"/>
        </w:rPr>
        <w:t xml:space="preserve"> no asumirán compromiso alguno respecto de los postulantes que no alcanzaren a quedar incorporados en los listados de beneficiarios contenidos en las resoluciones de asignación expedidas en los términos del artículo 2.1.1.1.1.4.3.155 de la presente sección. </w:t>
      </w:r>
    </w:p>
    <w:p w14:paraId="38FA84CC" w14:textId="640129E8" w:rsidR="00FC79C1"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20" w:name="ver_30069087"/>
      <w:bookmarkEnd w:id="120"/>
    </w:p>
    <w:p w14:paraId="2C842F7B" w14:textId="77777777" w:rsidR="0015034A" w:rsidRDefault="0015034A" w:rsidP="00FC79C1">
      <w:pPr>
        <w:spacing w:after="0" w:line="240" w:lineRule="auto"/>
        <w:jc w:val="both"/>
        <w:rPr>
          <w:rFonts w:ascii="Arial" w:eastAsia="Times New Roman" w:hAnsi="Arial" w:cs="Arial"/>
          <w:color w:val="000000"/>
          <w:lang w:eastAsia="es-CO"/>
        </w:rPr>
      </w:pPr>
    </w:p>
    <w:p w14:paraId="35F1D21F" w14:textId="77777777" w:rsidR="0015034A" w:rsidRDefault="0015034A" w:rsidP="00FC79C1">
      <w:pPr>
        <w:spacing w:after="0" w:line="240" w:lineRule="auto"/>
        <w:jc w:val="both"/>
        <w:rPr>
          <w:rFonts w:ascii="Arial" w:eastAsia="Times New Roman" w:hAnsi="Arial" w:cs="Arial"/>
          <w:color w:val="000000"/>
          <w:lang w:eastAsia="es-CO"/>
        </w:rPr>
      </w:pPr>
    </w:p>
    <w:p w14:paraId="162B8A4A" w14:textId="77777777" w:rsidR="0015034A" w:rsidRDefault="0015034A" w:rsidP="00FC79C1">
      <w:pPr>
        <w:spacing w:after="0" w:line="240" w:lineRule="auto"/>
        <w:jc w:val="both"/>
        <w:rPr>
          <w:rFonts w:ascii="Arial" w:eastAsia="Times New Roman" w:hAnsi="Arial" w:cs="Arial"/>
          <w:color w:val="000000"/>
          <w:lang w:eastAsia="es-CO"/>
        </w:rPr>
      </w:pPr>
    </w:p>
    <w:p w14:paraId="7FC3E75D" w14:textId="6F1CA533" w:rsidR="00FC79C1" w:rsidRPr="009342F9" w:rsidRDefault="00FC79C1" w:rsidP="00FC79C1">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SUB-SUBSECCIÓN 2</w:t>
      </w:r>
    </w:p>
    <w:p w14:paraId="198FDA04" w14:textId="77777777" w:rsidR="00FC79C1" w:rsidRPr="009342F9" w:rsidRDefault="00FC79C1" w:rsidP="00FC79C1">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ASIGNACIÓN DE SUBSIDIOS</w:t>
      </w:r>
    </w:p>
    <w:p w14:paraId="3EAB8F6A"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21" w:name="ver_30069088"/>
      <w:bookmarkEnd w:id="121"/>
    </w:p>
    <w:p w14:paraId="56A9A5A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2.1.1.1.1.4.2.1. Períodos de asignación. Conforme al cronograma al que se hizo alusión en el artículo 2.1.1.1.1.3.3.3.1 de la presente sección, los Representantes Legales de las entidades otorgantes del subsidio familiar de vivienda fijarán las fechas entre las cuales se efectuarán las asignaciones del subsidio familiar. Dicha información será comunicada al público en general, en las mismas condiciones de modo, tiempo y lugar señaladas en el mencionado artículo 2.1.1.1.1.3.3.3.1. </w:t>
      </w:r>
    </w:p>
    <w:p w14:paraId="2161C62F"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22" w:name="ver_30069089"/>
      <w:bookmarkEnd w:id="122"/>
    </w:p>
    <w:p w14:paraId="3EFCBEC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2.1.1.1.1.4.2.2. Deducciones. Del total de los recursos disponibles en cada entidad otorgante, para cada período, se deducirán los valores de los subsidios correspondientes a reclamaciones aceptadas, de conformidad con lo señalado en el artículo 2.1.1.1.1.4.3.3 de este capítulo. </w:t>
      </w:r>
    </w:p>
    <w:p w14:paraId="19B2BFA9" w14:textId="77777777" w:rsidR="009342F9" w:rsidRDefault="009342F9" w:rsidP="00FC79C1">
      <w:pPr>
        <w:spacing w:after="0" w:line="240" w:lineRule="auto"/>
        <w:jc w:val="both"/>
        <w:rPr>
          <w:rFonts w:ascii="Arial" w:eastAsia="Times New Roman" w:hAnsi="Arial" w:cs="Arial"/>
          <w:color w:val="000000"/>
          <w:lang w:eastAsia="es-CO"/>
        </w:rPr>
      </w:pPr>
      <w:bookmarkStart w:id="123" w:name="ver_30069113"/>
      <w:bookmarkEnd w:id="123"/>
    </w:p>
    <w:p w14:paraId="10D662FB" w14:textId="6969C4E0"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2.1.1.1.1.4.2.3. Procedimiento general de asignación de subsidios. Surtido el proceso de calificación de las postulaciones aceptables y configurados los listados de que trata el artículo 2.1.1.1.1.4.1.4 de esta sección, la entidad otorgante del caso efectuará la asignación de los subsidios, mediante la aplicación de los recursos disponibles a los postulantes que les corresponda, de acuerdo con el orden secuencial de las listas de postulantes calificados. La asignación incluirá las postulaciones correspondientes a las mejores calificaciones, hasta completar el total de los recursos disponibles para cada entidad otorgante, sin perjuicio, en el caso de las Cajas de Compensación Familiar, de lo establecido en el artículo 2.1.1.1.1.6.1.8 de la presente sección. </w:t>
      </w:r>
    </w:p>
    <w:p w14:paraId="0B9FE71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0702D4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1°. La asignación que efectúen las Cajas de Compensación Familiar deberá hacerse constar en el documento que cumpla con las condiciones que para tales efectos defina la Superintendencia de Subsidio Familiar. </w:t>
      </w:r>
    </w:p>
    <w:p w14:paraId="3A85B5D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69CCF2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2°. El subsidio asignado por las Cajas de Compensación Familiar en los términos aquí previstos podrá ser aplicado en cualquier municipio del país. </w:t>
      </w:r>
    </w:p>
    <w:p w14:paraId="7A0827F5" w14:textId="0FE5E7E8"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24" w:name="ver_30200413"/>
      <w:bookmarkStart w:id="125" w:name="ver_30069114"/>
      <w:bookmarkEnd w:id="124"/>
    </w:p>
    <w:p w14:paraId="25F1DA6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2.1.1.1.1.4.2.4. Derogado </w:t>
      </w:r>
    </w:p>
    <w:p w14:paraId="4A54EA73" w14:textId="77777777" w:rsidR="00FC79C1" w:rsidRPr="009342F9" w:rsidRDefault="00FC79C1" w:rsidP="00FC79C1">
      <w:pPr>
        <w:spacing w:after="0" w:line="240" w:lineRule="auto"/>
        <w:jc w:val="both"/>
        <w:rPr>
          <w:rFonts w:ascii="Arial" w:eastAsia="Times New Roman" w:hAnsi="Arial" w:cs="Arial"/>
          <w:color w:val="000000"/>
          <w:lang w:eastAsia="es-CO"/>
        </w:rPr>
      </w:pPr>
    </w:p>
    <w:p w14:paraId="71BE6243"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26" w:name="ver_30200379"/>
      <w:bookmarkStart w:id="127" w:name="ver_30109517"/>
      <w:bookmarkStart w:id="128" w:name="ver_30109518"/>
      <w:bookmarkEnd w:id="125"/>
      <w:bookmarkEnd w:id="126"/>
      <w:r w:rsidRPr="009342F9">
        <w:rPr>
          <w:rFonts w:ascii="Arial" w:eastAsia="Times New Roman" w:hAnsi="Arial" w:cs="Arial"/>
          <w:color w:val="000000"/>
          <w:lang w:eastAsia="es-CO"/>
        </w:rPr>
        <w:t>Artículo 2.1.1.1.1.4.2.</w:t>
      </w:r>
      <w:proofErr w:type="gramStart"/>
      <w:r w:rsidRPr="009342F9">
        <w:rPr>
          <w:rFonts w:ascii="Arial" w:eastAsia="Times New Roman" w:hAnsi="Arial" w:cs="Arial"/>
          <w:color w:val="000000"/>
          <w:lang w:eastAsia="es-CO"/>
        </w:rPr>
        <w:t>5.Vigencia</w:t>
      </w:r>
      <w:proofErr w:type="gramEnd"/>
      <w:r w:rsidRPr="009342F9">
        <w:rPr>
          <w:rFonts w:ascii="Arial" w:eastAsia="Times New Roman" w:hAnsi="Arial" w:cs="Arial"/>
          <w:color w:val="000000"/>
          <w:lang w:eastAsia="es-CO"/>
        </w:rPr>
        <w:t xml:space="preserve"> del subsidio. La vigencia del subsidio de vivienda de interés social otorgado con cargo a los recursos del Presupuesto </w:t>
      </w:r>
      <w:proofErr w:type="gramStart"/>
      <w:r w:rsidRPr="009342F9">
        <w:rPr>
          <w:rFonts w:ascii="Arial" w:eastAsia="Times New Roman" w:hAnsi="Arial" w:cs="Arial"/>
          <w:color w:val="000000"/>
          <w:lang w:eastAsia="es-CO"/>
        </w:rPr>
        <w:t>Nacional,</w:t>
      </w:r>
      <w:proofErr w:type="gramEnd"/>
      <w:r w:rsidRPr="009342F9">
        <w:rPr>
          <w:rFonts w:ascii="Arial" w:eastAsia="Times New Roman" w:hAnsi="Arial" w:cs="Arial"/>
          <w:color w:val="000000"/>
          <w:lang w:eastAsia="es-CO"/>
        </w:rPr>
        <w:t xml:space="preserve"> será de seis (6) meses calendario, contados desde el primer día del mes siguiente a la fecha de la publicación de su asignación.  </w:t>
      </w:r>
    </w:p>
    <w:p w14:paraId="2FCC970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6CBD18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el caso de los subsidios de vivienda de interés social asignados por las Cajas de Compensación Familiar con cargo a recursos parafiscales, la vigencia será de treinta y seis (36) meses, contados desde el primer día del mes siguiente a la fecha de la publicación de su asignación.  </w:t>
      </w:r>
    </w:p>
    <w:p w14:paraId="6431C88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4E80FB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el caso del subsidio en la modalidad de arrendamiento y arrendamiento con opción de compra, la vigencia del subsidio será de doce (12) meses que se empezarán a contar desde el momento de terminación de la etapa de arrendamiento subsidiado.  </w:t>
      </w:r>
    </w:p>
    <w:p w14:paraId="35AF72F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6DA29E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Parágrafo 1°. Para los subsidios otorgados con cargo a los recursos del Presupuesto Nacional, cuyos beneficiarios a la fecha de su vencimiento hayan suscrito promesa de compraventa de una vivienda ya construida, en proceso de construcción, o un contrato de construcción de vivienda en los casos de construcción en sitio propio, la vigencia del mismo tendrá una prórroga automática de seis (6) meses adicionales, siempre y cuando el beneficiario del subsidio remita a la entidad otorgante, antes del vencimiento del mismo, la respectiva copia auténtica de la promesa de compraventa, o del contrato de construcción.  </w:t>
      </w:r>
    </w:p>
    <w:p w14:paraId="1A8630E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90FBBC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 suscripción de promesas de compraventa o contratos de construcción de vivienda se deberá realizar únicamente en proyectos que cuenten con su respectiva elegibilidad o licencia de construcción vigente, conforme a lo dispuesto en la normativa vigente sobre la materia.  </w:t>
      </w:r>
    </w:p>
    <w:p w14:paraId="5BA4A12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5C754C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2°. En todo caso, la vigencia del subsidio familiar de vivienda otorgado con cargo a los recursos del Presupuesto Nacional podrá ser prorrogada mediante resolución expedida por el Ministerio de Vivienda, Ciudad y Territorio.  </w:t>
      </w:r>
    </w:p>
    <w:p w14:paraId="5B0BF03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40B685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3°. En el caso de subsidios otorgados con cargo a recursos del Presupuesto Nacional, lo dispuesto en el presente artículo operará siempre y cuando exista disponibilidad de recursos y se dé cumplimiento a las normas del Estatuto Orgánico del Presupuesto.  </w:t>
      </w:r>
    </w:p>
    <w:p w14:paraId="74AE9CD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9C37F4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4°. Las Cajas de Compensación Familiar podrán prorrogar, mediante acta suscrita por el Representante Legal de la misma, la vigencia de los subsidios familiares de vivienda asignados a sus afiliados por un plazo no superior a veinticuatro (24) meses. Para los casos en los que exista giro anticipado de subsidio, esta ampliación estará condicionada a la entrega por parte del oferente de la ampliación de las respectivas garantías, antes de los vencimientos de los subsidios </w:t>
      </w:r>
    </w:p>
    <w:p w14:paraId="0BF7AAC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bookmarkEnd w:id="127"/>
    <w:bookmarkEnd w:id="128"/>
    <w:p w14:paraId="05835C9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2.1.1.1.1.4.2.6. Renuncia al subsidio. El beneficiario del subsidio podrá, en cualquier momento, renunciar voluntariamente al beneficio obtenido, mediante comunicación suscrita en forma conjunta por los miembros del grupo familiar mayores de edad y la devolución a la entidad otorgante del documento que acredita la asignación del subsidio respectivo. La renuncia oportuna al subsidio implica el derecho a postular nuevamente. </w:t>
      </w:r>
    </w:p>
    <w:p w14:paraId="77B6E3CD" w14:textId="19E87A09"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29" w:name="ver_30069117"/>
      <w:bookmarkEnd w:id="129"/>
    </w:p>
    <w:p w14:paraId="3E4E2C0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2.1.1.1.1.4.2.7. De los subsidios asignados en el Departamento Archipiélago de San Andrés, Providencia y Santa Catalina. El Ministerio de Vivienda, Ciudad y Territorio establecerá mediante resolución, la forma de aplicación de los subsidios familiares de vivienda que se otorguen para el Departamento Archipiélago de San Andrés, Providencia y Santa Catalina. </w:t>
      </w:r>
    </w:p>
    <w:p w14:paraId="57FAF80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2092FC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 postulación deberá efectuarse en el Departamento Archipiélago de San Andrés, Providencia y Santa Catalina. El subsidio podrá ser aplicado por la población no raizal para la compra de vivienda nueva en cualquier sitio del país, diferente de dicho departamento. </w:t>
      </w:r>
    </w:p>
    <w:p w14:paraId="6AE6FE62" w14:textId="5703A90A"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30" w:name="ver_30069118"/>
      <w:bookmarkEnd w:id="130"/>
    </w:p>
    <w:p w14:paraId="3AB9E0D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2.1.1.1.1.4.2.8. Auditoría al proceso de otorgamiento del subsidio. Antes de oficializar la asignación del subsidio familiar de vivienda, el Fondo Nacional de Vivienda o la entidad que haga sus veces, deberá obtener la certificación de una firma de auditoría sobre el cumplimiento de los procesos que deben adelantarse para la asignación del subsidio. </w:t>
      </w:r>
    </w:p>
    <w:p w14:paraId="3D54F82D" w14:textId="13B56075"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31" w:name="ver_30069119"/>
      <w:bookmarkEnd w:id="131"/>
    </w:p>
    <w:p w14:paraId="5770A9BD" w14:textId="6A14DC51" w:rsidR="00FC79C1" w:rsidRPr="009342F9" w:rsidRDefault="00FC79C1" w:rsidP="00FC79C1">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SUB-SUBSECCIÓN 3</w:t>
      </w:r>
    </w:p>
    <w:p w14:paraId="182C9EC4" w14:textId="77777777" w:rsidR="00FC79C1" w:rsidRPr="009342F9" w:rsidRDefault="00FC79C1" w:rsidP="00FC79C1">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DISPOSICIONES APLICABLES A LA PRESENTE SUBSECCIÓN</w:t>
      </w:r>
    </w:p>
    <w:p w14:paraId="02D37649" w14:textId="77777777" w:rsidR="00FC79C1" w:rsidRPr="009342F9" w:rsidRDefault="00FC79C1" w:rsidP="00FC79C1">
      <w:pPr>
        <w:spacing w:after="0" w:line="240" w:lineRule="auto"/>
        <w:jc w:val="center"/>
        <w:rPr>
          <w:rFonts w:ascii="Arial" w:eastAsia="Times New Roman" w:hAnsi="Arial" w:cs="Arial"/>
          <w:b/>
          <w:bCs/>
          <w:color w:val="000000"/>
          <w:lang w:eastAsia="es-CO"/>
        </w:rPr>
      </w:pPr>
      <w:bookmarkStart w:id="132" w:name="ver_30069120"/>
      <w:bookmarkEnd w:id="132"/>
    </w:p>
    <w:p w14:paraId="056D810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Artículo 2.1.1.1.1.4.3.1. Oficialización de las asignaciones. El Fondo Nacional de Vivienda publicará, en el Diario Oficial, las resoluciones que incorporen los listados de postulantes beneficiados con la asignación de subsidios. </w:t>
      </w:r>
    </w:p>
    <w:p w14:paraId="54FB86F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076978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Los postulantes cuyos nombres no aparezcan relacionados como beneficiarios en los listados incorporados en las resoluciones de asignación, se entenderán como no beneficiados y podrán realizar las correspondientes reclamaciones en los términos del artículo 2.1.1.1.1.4.3.3 de la presente sección. </w:t>
      </w:r>
    </w:p>
    <w:p w14:paraId="709F073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FE5345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el caso de las Cajas de Compensación Familiar, la divulgación de las listas de los hogares beneficiarios de la asignación se realizará a través de los mecanismos que estas definan, siempre que ellos garanticen el oportuno y eficaz conocimiento de los resultados de los procesos adelantados. </w:t>
      </w:r>
    </w:p>
    <w:p w14:paraId="371568E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B65954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La información que se publique podrá limitarse a los aspectos estrictamente necesarios para la identificación de los hogares beneficiarios, cuando disposiciones legales o reglamentarias consagren previsiones particulares que le otorguen a esta el carácter de reservada. </w:t>
      </w:r>
    </w:p>
    <w:p w14:paraId="06B54D19" w14:textId="1F5F7CD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33" w:name="ver_30069121"/>
      <w:bookmarkEnd w:id="133"/>
    </w:p>
    <w:p w14:paraId="745B7D9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2.1.1.1.1.4.3.2. Comunicación individual sobre asignación del subsidio. Adicional a lo establecido en el artículo anterior, las entidades otorgantes de los subsidios de que trata esta sección suscribirán y entregarán al hogar beneficiario, el documento que acredite la asignación del Subsidio Familiar de Vivienda. Este documento indicará: la fecha de su expedición, los nombres de los miembros del hogar beneficiado y la dirección registrada por estos en el formulario de postulación; sus cédulas de ciudadanía; el monto del subsidio asignado, la modalidad de solución de vivienda a la cual puede aplicar el subsidio; el período de vigencia del subsidio y el departamento en el cual se utilizará. </w:t>
      </w:r>
    </w:p>
    <w:p w14:paraId="7DB56E34" w14:textId="56A2E718"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34" w:name="ver_30069122"/>
      <w:bookmarkEnd w:id="134"/>
    </w:p>
    <w:p w14:paraId="3451B12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2.1.1.1.1.4.3.3. Reclamaciones. Los postulantes no beneficiados que se sientan afectados por el resultado de los procesos de asignación de subsidios adelantados por el Fondo Nacional de Vivienda podrán interponer ante dicha entidad, en los términos y condiciones establecidos por la ley, los recursos a que haya lugar contra las resoluciones expedidas. </w:t>
      </w:r>
    </w:p>
    <w:p w14:paraId="3D05431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DEB85C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el caso de las Cajas de Compensación Familiar, el procedimiento de reclamación se surtirá mediante la presentación por escrito ante la entidad otorgante de las observaciones y reclamos que les merecen los procesos adelantados, para lo cual contarán con un plazo de quince (15) días contados a partir de la publicación de los listados de beneficiarios del subsidio, transcurrido el cual no se atenderán reclamaciones. En este caso, sólo serán atendidos los reclamos fundados en errores de hecho no imputables a los postulantes, previo informe motivado y suscrito por el representante legal de la entidad otorgante, de acuerdo con el procedimiento que para el efecto cada entidad establezca; si aceptada la reclamación los recursos resultaren insuficientes, las postulaciones respectivas se harán efectivas en la siguiente asignación o posteriores. </w:t>
      </w:r>
    </w:p>
    <w:p w14:paraId="1F76D9A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D890A1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Cada entidad otorgante deducirá los valores de los subsidios correspondientes a reclamaciones aceptadas de la suma destinada a la asignación correspondiente o de asignaciones posteriores. </w:t>
      </w:r>
    </w:p>
    <w:p w14:paraId="442F3782" w14:textId="715933C3"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35" w:name="ver_30069123"/>
      <w:bookmarkEnd w:id="135"/>
    </w:p>
    <w:p w14:paraId="455A0C36" w14:textId="7FC1ADA3" w:rsidR="00FC79C1" w:rsidRPr="009342F9" w:rsidRDefault="00FC79C1" w:rsidP="00FC79C1">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SUBSECCIÓN 5</w:t>
      </w:r>
    </w:p>
    <w:p w14:paraId="2A935B2B" w14:textId="03954D5B" w:rsidR="00FC79C1" w:rsidRDefault="00FC79C1" w:rsidP="00FC79C1">
      <w:pPr>
        <w:spacing w:after="0" w:line="240" w:lineRule="auto"/>
        <w:jc w:val="center"/>
        <w:rPr>
          <w:rFonts w:ascii="Arial" w:eastAsia="Times New Roman" w:hAnsi="Arial" w:cs="Arial"/>
          <w:b/>
          <w:bCs/>
          <w:color w:val="000000"/>
          <w:lang w:eastAsia="es-CO"/>
        </w:rPr>
      </w:pPr>
      <w:r w:rsidRPr="3DD719FF">
        <w:rPr>
          <w:rFonts w:ascii="Arial" w:eastAsia="Times New Roman" w:hAnsi="Arial" w:cs="Arial"/>
          <w:b/>
          <w:color w:val="000000" w:themeColor="text1"/>
          <w:lang w:eastAsia="es-CO"/>
        </w:rPr>
        <w:t>GIRO DEL SUBSIDIO FAMILIAR DE VIVIENDA</w:t>
      </w:r>
    </w:p>
    <w:p w14:paraId="53D5C58E" w14:textId="03954D5B" w:rsidR="00D04AB5" w:rsidRPr="009342F9" w:rsidRDefault="00D04AB5" w:rsidP="00FC79C1">
      <w:pPr>
        <w:spacing w:after="0" w:line="240" w:lineRule="auto"/>
        <w:jc w:val="center"/>
        <w:rPr>
          <w:rFonts w:ascii="Arial" w:eastAsia="Times New Roman" w:hAnsi="Arial" w:cs="Arial"/>
          <w:b/>
          <w:bCs/>
          <w:color w:val="000000"/>
          <w:lang w:eastAsia="es-CO"/>
        </w:rPr>
      </w:pPr>
    </w:p>
    <w:p w14:paraId="721D5B82" w14:textId="77777777" w:rsidR="00FC79C1" w:rsidRPr="009342F9" w:rsidRDefault="00FC79C1" w:rsidP="00FC79C1">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SUB-SUBSECCIÓN 1</w:t>
      </w:r>
    </w:p>
    <w:p w14:paraId="6B4C70BA" w14:textId="77777777" w:rsidR="00FC79C1" w:rsidRPr="009342F9" w:rsidRDefault="00FC79C1" w:rsidP="00FC79C1">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lastRenderedPageBreak/>
        <w:t>PROCEDIMIENTO PARA EL GIRO DE LOS RECURSOS DEL SUBSIDIO</w:t>
      </w:r>
    </w:p>
    <w:p w14:paraId="6E8D7BFD" w14:textId="77777777" w:rsidR="00FC79C1" w:rsidRPr="009342F9" w:rsidRDefault="00FC79C1" w:rsidP="00FC79C1">
      <w:pPr>
        <w:spacing w:after="0" w:line="240" w:lineRule="auto"/>
        <w:jc w:val="center"/>
        <w:rPr>
          <w:rFonts w:ascii="Arial" w:eastAsia="Times New Roman" w:hAnsi="Arial" w:cs="Arial"/>
          <w:b/>
          <w:bCs/>
          <w:color w:val="000000"/>
          <w:lang w:eastAsia="es-CO"/>
        </w:rPr>
      </w:pPr>
      <w:bookmarkStart w:id="136" w:name="ver_30200380"/>
      <w:bookmarkStart w:id="137" w:name="ver_30069124"/>
      <w:bookmarkStart w:id="138" w:name="ver_30167187"/>
      <w:bookmarkEnd w:id="136"/>
    </w:p>
    <w:p w14:paraId="44DA92D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2.1.1.1.1.5.1.1. Giro de los recursos. Cuando no se hiciere uso de la facultad del giro anticipado del Subsidio Familiar de Vivienda de que tratan los artículos 2.1.1.1.1.5.1.2 y 2.1.1.1.1.5.1.3 de la presente sección, la entidad otorgante girará el valor </w:t>
      </w:r>
      <w:proofErr w:type="gramStart"/>
      <w:r w:rsidRPr="009342F9">
        <w:rPr>
          <w:rFonts w:ascii="Arial" w:eastAsia="Times New Roman" w:hAnsi="Arial" w:cs="Arial"/>
          <w:color w:val="000000"/>
          <w:lang w:eastAsia="es-CO"/>
        </w:rPr>
        <w:t>del mismo</w:t>
      </w:r>
      <w:proofErr w:type="gramEnd"/>
      <w:r w:rsidRPr="009342F9">
        <w:rPr>
          <w:rFonts w:ascii="Arial" w:eastAsia="Times New Roman" w:hAnsi="Arial" w:cs="Arial"/>
          <w:color w:val="000000"/>
          <w:lang w:eastAsia="es-CO"/>
        </w:rPr>
        <w:t xml:space="preserve"> en favor del oferente de la solución de vivienda previamente declarada elegible a la cual se aplicará, una vez se acredite la conclusión de la solución de vivienda.  </w:t>
      </w:r>
    </w:p>
    <w:p w14:paraId="103F4A2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70C4EB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Para efectos de lo anterior, deberán presentarse los siguientes documentos:  </w:t>
      </w:r>
    </w:p>
    <w:p w14:paraId="5E33FA0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B0B9F9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el caso de adquisición de vivienda nueva:  </w:t>
      </w:r>
    </w:p>
    <w:p w14:paraId="57F5E41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F3BC20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 Copia del certificado de tradición y libertad del inmueble, con una vigencia no mayor a treinta (30) días, que permitan evidenciar la adquisición de la vivienda por el hogar postulante. En todo caso, la entidad otorgante del subsidio podrá efectuar las respectivas consultas a través de la Ventanilla Única de Registro;  </w:t>
      </w:r>
    </w:p>
    <w:p w14:paraId="028EB26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75ECD9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b) Autorización de cobro por parte del beneficiario del subsidio familiar de vivienda;  </w:t>
      </w:r>
    </w:p>
    <w:p w14:paraId="4B011DB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4DD4DB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 Certificado de existencia y recibo a satisfacción de la vivienda, debidamente suscrito por el oferente y por el beneficiario del subsidio o por quien hubiere sido autorizado por este para tales efectos.  </w:t>
      </w:r>
    </w:p>
    <w:p w14:paraId="38FA6E3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A62476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el caso de construcción en sitio propio o mejoramiento:  </w:t>
      </w:r>
    </w:p>
    <w:p w14:paraId="275A596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025226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 Certificado de existencia y recibo a satisfacción de la obra, debidamente suscrito por el oferente y por el beneficiario del subsidio o por quien hubiere sido autorizado por este para tales efectos.  </w:t>
      </w:r>
    </w:p>
    <w:p w14:paraId="3BA6B78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5DB2FD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el caso de arrendamiento y arrendamiento con opción de compra:  </w:t>
      </w:r>
    </w:p>
    <w:p w14:paraId="44C6889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F72177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 Certificado de recibo a satisfacción de la vivienda por el beneficiario del subsidio o por quien hubiere sido autorizado por este para tales efectos.  </w:t>
      </w:r>
    </w:p>
    <w:p w14:paraId="26FBF71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B422D2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1°. En los proyectos de vivienda de interés social, el giro de los recursos que se realice de conformidad con lo dispuesto en el presente artículo sólo podrá efectuarse si se acredita que el lote de terreno en el que se desarrolla la solución de vivienda se encuentra urbanizado.  </w:t>
      </w:r>
    </w:p>
    <w:p w14:paraId="24CB132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DAB6F4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2°. El certificado de tradición y libertad en el que conste la adquisición del inmueble, o el certificado de existencia y recibo a satisfacción de la obra para construcción en sitio propio y mejoramiento, o el recibo a satisfacción de las viviendas en los casos de arrendamiento, según sea el caso, deberán expedirse o suscribirse según sea el caso, dentro del período de vigencia del Subsidio Familiar de Vivienda. Dentro de los noventa (90) días siguientes a su vencimiento el subsidio será pagado, siempre que se acredite el cumplimiento de los respectivos requisitos en las modalidades de adquisición de vivienda nueva, construcción en sitio propio o mejoramiento, según corresponda. Este plazo podrá prorrogarse hasta por treinta (30) días adicionales por parte de la correspondiente Caja de Compensación Familiar, con fundamento en razones debidamente sustentadas y de las cuales deberá dejarse constancia.  </w:t>
      </w:r>
    </w:p>
    <w:p w14:paraId="54D9C18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0E228B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3°. Adicionalmente, se podrán realizar los pagos aquí previstos en forma extemporánea en los siguientes casos, siempre y cuando el plazo adicional no supere los sesenta (60) días calendario:  </w:t>
      </w:r>
    </w:p>
    <w:p w14:paraId="3F41CC8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w:t>
      </w:r>
    </w:p>
    <w:p w14:paraId="5A511AA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Cuando encontrándose en trámite la operación de compraventa, la construcción o el mejoramiento al cual se aplicará el Subsidio Familiar de Vivienda y antes de la expiración de su vigencia, se hace necesario designar un sustituto por fallecimiento del beneficiario.  </w:t>
      </w:r>
    </w:p>
    <w:p w14:paraId="74788C4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FAA533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Cuando la documentación completa ingrese oportunamente para el pago del valor del subsidio al vendedor de la vivienda, pero se detectaren en la misma, errores no advertidos anteriormente, que se deban subsanar.  </w:t>
      </w:r>
    </w:p>
    <w:p w14:paraId="544638B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4FAD45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4°. Los desembolsos de los subsidios asignados por las Cajas de Compensación se realizarán en un plazo máximo de quince (15) días hábiles, una vez el hogar beneficiado cumpla con los requisitos exigidos en la presente sección.  </w:t>
      </w:r>
    </w:p>
    <w:p w14:paraId="45B1043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2FBA06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5°. Los documentos exigidos para el giro del subsidio se acreditarán ante la entidad otorgante, quien autorizará el giro al oferente de la solución de vivienda.”  </w:t>
      </w:r>
    </w:p>
    <w:p w14:paraId="7A46456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721EFBB"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39" w:name="ver_30200381"/>
      <w:bookmarkStart w:id="140" w:name="ver_30069125"/>
      <w:bookmarkEnd w:id="137"/>
      <w:bookmarkEnd w:id="138"/>
      <w:bookmarkEnd w:id="139"/>
      <w:r w:rsidRPr="009342F9">
        <w:rPr>
          <w:rFonts w:ascii="Arial" w:eastAsia="Times New Roman" w:hAnsi="Arial" w:cs="Arial"/>
          <w:color w:val="000000"/>
          <w:lang w:eastAsia="es-CO"/>
        </w:rPr>
        <w:t>Artículo 2.1.1.1.1.5.1.2. Giro anticipado del subsidio. El beneficiario del subsidio familiar de vivienda podrá autorizar el giro anticipado del mismo a favor del oferente. Para proceder a ello, el oferente debe presentar ante la entidad otorgante o su operador, el certificado de elegibilidad del proyecto, las respectivas promesas de compraventa o los contratos previos para la adquisición del dominio, acreditar la constitución de un encargo fiduciario para la administración unificada de los recursos del subsidio o de una fiducia mercantil que administrará los recursos del subsidio a través de un patrimonio autónomo, el contrato que garantice la labor de interventoría, y una póliza que garantice a los beneficiarios del encargo fiduciario o del patrimonio autónomo la construcción de la solución de vivienda, así como la correcta inversión de los recursos desembolsados por concepto del subsidio familiar de vivienda, que debe cubrir el ciento por ciento (100%) del valor de los subsidios desembolsados por la entidad otorgante. </w:t>
      </w:r>
    </w:p>
    <w:p w14:paraId="7BF6A53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02CDF0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El ciento por ciento (100%) del valor de los subsidios se desembolsará al encargo fiduciario o patrimonio autónomo que se constituya, y cuyos beneficiarios serán el hogar beneficiario de subsidio familiar de vivienda y la entidad otorgante del subsidio. </w:t>
      </w:r>
    </w:p>
    <w:p w14:paraId="14743A3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9E994A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El 80% de esta suma se girará al oferente en los términos establecidos mediante resolución por el Ministerio de Vivienda, Ciudad y Territorio. </w:t>
      </w:r>
    </w:p>
    <w:p w14:paraId="20F8107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79BE07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todos os casos, para el giro del veinte por ciento (20%) restante, la entidad otorgante del subsidio familiar de vivienda o el operador autorizado informará por escrito a la fiduciaria el cumplimiento de la totalidad de los requisitos señalados en el artículo 2.1.1.1.1.5.1.1 de la presente sección, según la modalidad de solución de vivienda de que se trate, para que esta proceda a girar los recursos, previa certificación del interventor avalada por la entidad supervisora. De este modo se entenderá legalizada la aplicación total del subsidio, conforme al procedimiento establecido mediante resolución por el Ministerio de Vivienda, Ciudad y Territorio. </w:t>
      </w:r>
    </w:p>
    <w:p w14:paraId="61FE58F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5A8F17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ningún caso podrán destinarse los recursos del subsidio girado de manera anticipada para la construcción o terminación de las obras de urbanismo. </w:t>
      </w:r>
    </w:p>
    <w:p w14:paraId="6D4489B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9634A4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Las condiciones particulares que debe cumplir la póliza, el aval bancario, el encargo fiduciario y la fiducia mercantil, y las referentes a la interventoría y la supervisión, para efectos del presente artículo, serán las establecidas mediante resolución por el Ministerio de Vivienda, Ciudad y Territorio. </w:t>
      </w:r>
    </w:p>
    <w:p w14:paraId="712667A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96453D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Parágrafo 1°. Cuando se trate del giro anticipado de los recursos del subsidio familiar de vivienda en las modalidades de construcción en sitio propio o mejoramiento de vivienda, el oferente debe allegar el contrato de obra suscrito con el hogar beneficiario. </w:t>
      </w:r>
    </w:p>
    <w:p w14:paraId="48F1C3B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DEDFE1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2°. Sin perjuicio de lo dispuesto en el presente artículo, podrá efectuarse el giro anticipado del ciento por ciento (100%) de los recursos del Subsidio Familiar de Vivienda al oferente, cuando la garantía que este constituya para el efecto corresponda a un aval bancario. Dicho aval debe presentar las condiciones mínimas que a continuación se indican, sin perjuicio de aquellas otras adicionales que las entidades otorgantes o el Ministerio de Vivienda, Ciudad y Territorio definan para el desembolso anticipado de los subsidios familiares de vivienda que ellas asignen: </w:t>
      </w:r>
    </w:p>
    <w:p w14:paraId="2E38FA6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AEA9FE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 Que la garantía sea exigible si vencido el plazo de vigencia del Subsidio Familiar de Vivienda de Interés Social o de sus prórrogas, el oferente no da cumplimiento a los requisitos y condiciones establecidas en el artículo 2.1.1.1.1.5.1.1 de la presente sección; </w:t>
      </w:r>
    </w:p>
    <w:p w14:paraId="7606198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30DD5A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b) Que el valor garantizado cubra el ciento por ciento (100%) de las sumas desembolsadas anticipadamente por concepto del subsidio familiar de vivienda, corregidas monetariamente con fundamento en el Índice de Precios al Consumidor, IPC; </w:t>
      </w:r>
    </w:p>
    <w:p w14:paraId="24CAA63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D573C1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 Que la vigencia del aval corresponda como mínimo a la del Subsidio Familiar de Vivienda y a la de sus prórrogas, si las hubiere conforme a lo dispuesto en el artículo 2.1.1.1.1.4.2.5 de la presente sección y tres (3) meses más. </w:t>
      </w:r>
    </w:p>
    <w:p w14:paraId="66A8E2F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81923A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3°. Para el caso del subsidio familiar de vivienda otorgado por las Cajas de Compensación Familiar, el beneficiario podrá autorizar el giro anticipado de los recursos al oferente, quien debe presentar ante la Caja de Compensación Familiar, los documentos señalados en el inciso 1° del presente artículo, con excepción del contrato que acredite la constitución del encargo fiduciario o fiducia mercantil, en cuyo caso, los Representantes Legales de las Cajas de Compensación Familiar en el marco de sus facultades podrán autorizar el giro anticipado del ochenta por ciento (80%) del subsidio, en las condiciones y con las garantías que mediante acta definan, velando en todo caso por la correcta preservación y destinación de los recursos.  </w:t>
      </w:r>
    </w:p>
    <w:p w14:paraId="7779C7C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5F154B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El giro del veinte por ciento (20%) restante para la legalización del subsidio se efectuará una vez el oferente acredite ante la Caja de Compensación Familiar el cumplimiento de la totalidad de los requisitos señalados en el artículo 2.1.1.1.1.5.1.1 de la presente sección.  </w:t>
      </w:r>
    </w:p>
    <w:p w14:paraId="664ABD7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C53CD7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todo caso, las Cajas de Compensación Familiar deben velar por la correcta aplicación del subsidio y en ningún caso, estos recursos podrán ser destinados para la construcción o terminación de las obras de urbanismo.  </w:t>
      </w:r>
    </w:p>
    <w:p w14:paraId="15FED18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BBA27A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los eventos en que se presente el desembolso anticipado del subsidio, este podrá ser considerado como cuota inicial o parte de esta, para la adquisición de la vivienda nueva.” </w:t>
      </w:r>
    </w:p>
    <w:p w14:paraId="5F90F1A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4°. El Ministerio de Vivienda, Ciudad y Territorio podrá establecer aquella información que las entidades fiduciarias deben reportar a la entidad otorgante del subsidio en relación con los subsidios girados anticipadamente, la periodicidad con que ella deba suministrarse y las demás condiciones que estime conducentes a efectos de monitorear la efectiva y adecuada aplicación de los recursos. </w:t>
      </w:r>
    </w:p>
    <w:p w14:paraId="5694BEA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3641FE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Parágrafo 5°. En el acto de postulación a los subsidios familiares de vivienda, el hogar debe otorgar un mandato a la entidad otorgante para que represente sus intereses ante el eventual siniestro en la construcción de la solución de vivienda y correcta inversión de los recursos girados anticipadamente, y proceda a reclamar la indemnización ante la aseguradora, conforme a la reglamentación que para el efecto expida el Ministerio de Vivienda, Ciudad y Territorio. </w:t>
      </w:r>
    </w:p>
    <w:p w14:paraId="18DC4894"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41" w:name="ver_30200382"/>
      <w:bookmarkStart w:id="142" w:name="ver_30069126"/>
      <w:bookmarkEnd w:id="140"/>
      <w:bookmarkEnd w:id="141"/>
    </w:p>
    <w:p w14:paraId="55D90AA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2.1.1.1.1.5.1.</w:t>
      </w:r>
      <w:proofErr w:type="gramStart"/>
      <w:r w:rsidRPr="009342F9">
        <w:rPr>
          <w:rFonts w:ascii="Arial" w:eastAsia="Times New Roman" w:hAnsi="Arial" w:cs="Arial"/>
          <w:color w:val="000000"/>
          <w:lang w:eastAsia="es-CO"/>
        </w:rPr>
        <w:t>3.Otras</w:t>
      </w:r>
      <w:proofErr w:type="gramEnd"/>
      <w:r w:rsidRPr="009342F9">
        <w:rPr>
          <w:rFonts w:ascii="Arial" w:eastAsia="Times New Roman" w:hAnsi="Arial" w:cs="Arial"/>
          <w:color w:val="000000"/>
          <w:lang w:eastAsia="es-CO"/>
        </w:rPr>
        <w:t xml:space="preserve"> modalidades de giro anticipado del subsidio. El giro anticipado del ciento por ciento (100%) del valor del subsidio por parte de las entidades otorgantes de los mismos, incluidas las Cajas de Compensación Familiar, en cualquiera de sus modalidades, también podrá efectuarse, previa autorización de los beneficiarios, a las entidades en las que efectúen el ahorro cuando el hogar cuente con dicho producto, siempre que dichas entidades estén legalmente habilitadas para la administración y manejo de recursos correspondientes al subsidio de vivienda de interés social otorgado con cargo a los recursos del Presupuesto Nacional.  </w:t>
      </w:r>
    </w:p>
    <w:p w14:paraId="027AFEB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38B707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Además de los requisitos que disponga el Ministerio de Vivienda, Ciudad y Territorio y de las condiciones que se establezcan en los convenios que se suscriban con las entidades públicas o privadas que vinculen el ahorro, una vez se produzca el giro anticipado de que aquí se trata, la entidad receptora acreditará los recursos correspondientes en forma individual a cada uno de los hogares beneficiarios en la cuenta de ahorro de cada uno de estos y sólo procederá al desembolso de los mismos al oferente de la solución de vivienda cuando el Fondo Nacional de Vivienda lo autorice, después de verificar la presentación de los documentos señalados en el artículo 2.1.1.1.1.5.1.1 de la presente sección.  </w:t>
      </w:r>
    </w:p>
    <w:p w14:paraId="5766CDA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DECDF5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Igualmente, podrá girarse anticipadamente el subsidio de vivienda de interés social, cuando los hogares beneficiarios autoricen el desembolso </w:t>
      </w:r>
      <w:proofErr w:type="gramStart"/>
      <w:r w:rsidRPr="009342F9">
        <w:rPr>
          <w:rFonts w:ascii="Arial" w:eastAsia="Times New Roman" w:hAnsi="Arial" w:cs="Arial"/>
          <w:color w:val="000000"/>
          <w:lang w:eastAsia="es-CO"/>
        </w:rPr>
        <w:t>del mismo</w:t>
      </w:r>
      <w:proofErr w:type="gramEnd"/>
      <w:r w:rsidRPr="009342F9">
        <w:rPr>
          <w:rFonts w:ascii="Arial" w:eastAsia="Times New Roman" w:hAnsi="Arial" w:cs="Arial"/>
          <w:color w:val="000000"/>
          <w:lang w:eastAsia="es-CO"/>
        </w:rPr>
        <w:t xml:space="preserve"> con destino al pago a entidades públicas que hayan otorgado créditos puente para la construcción de las soluciones de vivienda, todo ello en los términos y condiciones que se definan mediante resolución por parte del Ministerio de Vivienda, Ciudad y Territorio.” </w:t>
      </w:r>
    </w:p>
    <w:p w14:paraId="14B6D114"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43" w:name="ver_30200414"/>
      <w:bookmarkStart w:id="144" w:name="ver_30069127"/>
      <w:bookmarkEnd w:id="142"/>
      <w:bookmarkEnd w:id="143"/>
    </w:p>
    <w:p w14:paraId="447FAD7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2.1.1.1.1.5.1.4. Derogado </w:t>
      </w:r>
    </w:p>
    <w:p w14:paraId="131033C9" w14:textId="6271424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F9F5E10" w14:textId="77777777" w:rsidR="00FC79C1" w:rsidRPr="009342F9" w:rsidRDefault="00FC79C1" w:rsidP="00FC79C1">
      <w:pPr>
        <w:spacing w:after="0" w:line="240" w:lineRule="auto"/>
        <w:jc w:val="center"/>
        <w:rPr>
          <w:rFonts w:ascii="Arial" w:eastAsia="Times New Roman" w:hAnsi="Arial" w:cs="Arial"/>
          <w:b/>
          <w:bCs/>
          <w:color w:val="000000"/>
          <w:lang w:eastAsia="es-CO"/>
        </w:rPr>
      </w:pPr>
      <w:bookmarkStart w:id="145" w:name="ver_30069129"/>
      <w:bookmarkEnd w:id="144"/>
      <w:bookmarkEnd w:id="145"/>
      <w:r w:rsidRPr="009342F9">
        <w:rPr>
          <w:rFonts w:ascii="Arial" w:eastAsia="Times New Roman" w:hAnsi="Arial" w:cs="Arial"/>
          <w:b/>
          <w:bCs/>
          <w:color w:val="000000"/>
          <w:lang w:eastAsia="es-CO"/>
        </w:rPr>
        <w:t>SUB-SUBSECCIÓN 2</w:t>
      </w:r>
    </w:p>
    <w:p w14:paraId="4FE886EB" w14:textId="77777777" w:rsidR="00FC79C1" w:rsidRPr="009342F9" w:rsidRDefault="00FC79C1" w:rsidP="00FC79C1">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DISPOSICIONES COMUNES AL GIRO DE SUBSIDIO FAMILIAR DE VIVIENDA</w:t>
      </w:r>
    </w:p>
    <w:p w14:paraId="268CCFFF" w14:textId="77777777" w:rsidR="00FC79C1" w:rsidRPr="009342F9" w:rsidRDefault="00FC79C1" w:rsidP="00FC79C1">
      <w:pPr>
        <w:spacing w:after="0" w:line="240" w:lineRule="auto"/>
        <w:jc w:val="center"/>
        <w:rPr>
          <w:rFonts w:ascii="Arial" w:eastAsia="Times New Roman" w:hAnsi="Arial" w:cs="Arial"/>
          <w:b/>
          <w:bCs/>
          <w:color w:val="000000"/>
          <w:lang w:eastAsia="es-CO"/>
        </w:rPr>
      </w:pPr>
      <w:bookmarkStart w:id="146" w:name="ver_30069130"/>
      <w:bookmarkEnd w:id="146"/>
    </w:p>
    <w:p w14:paraId="03142F5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2.1.1.1.1.5.2.1. Restitución del subsidio en caso de remate. En el caso en que la vivienda adquirida o construida con aplicación del Subsidio Familiar de Vivienda fuere objeto de remate judicial, dentro del plazo de cinco (5) años contados a partir de la fecha de expedición del documento que acredita la asignación del Subsidio Familiar de Vivienda y luego deducirse el valor del crédito hipotecario insoluto y sus intereses y las costas correspondientes y demás créditos que gocen de privilegio conforme a la ley, deberá restituirse a la entidad otorgante el saldo, hasta el monto del subsidio otorgado, en valor constante. </w:t>
      </w:r>
    </w:p>
    <w:p w14:paraId="386833C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097551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El valor constante de restitución de que trata el presente artículo estará determinado por el valor recibido ajustado de acuerdo con el incremento del Índice de Precios al Consumidor, IPC, entre la fecha de recibo del subsidio y la de restitución. </w:t>
      </w:r>
    </w:p>
    <w:p w14:paraId="1A94B38E" w14:textId="33F925E9"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47" w:name="ver_30069131"/>
      <w:bookmarkEnd w:id="147"/>
    </w:p>
    <w:p w14:paraId="55B903D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2.1.1.1.1.5.2.2. Autorización para enajenación de viviendas de interés social adquiridas con subsidio. No habrá lugar a la restitución del subsidio cuando la entidad otorgante autorice la enajenación de una vivienda adquirida o construida con este, en los términos del artículo 8° de la Ley 3ª de 1991. </w:t>
      </w:r>
    </w:p>
    <w:p w14:paraId="35D5EE6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w:t>
      </w:r>
    </w:p>
    <w:p w14:paraId="6B26E8C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Sin perjuicio de las solicitudes de autorización para enajenación de las soluciones de vivienda de que trata el presente artículo, el Ministerio de Vivienda, Ciudad y Territorio determinará, mediante resolución, las situaciones en las cuales procederá la autorización de parte de la entidad otorgante para la enajenación de las soluciones de vivienda adquiridas, construidas o mejoradas, con el subsidio de vivienda, antes de transcurrido el término mencionado en el artículo 8° de la Ley 3ª de 1991. </w:t>
      </w:r>
    </w:p>
    <w:p w14:paraId="4EBE4AC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5479E9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Los registradores de instrumentos públicos que con ocasión de sus funciones tengan conocimiento de enajenaciones de viviendas obtenidas con el Subsidio Familiar de Vivienda dentro del término de que trata el artículo 8° de la Ley 3ª de 1991, deberán poner tal situación en conocimiento de la respectiva entidad otorgante. </w:t>
      </w:r>
    </w:p>
    <w:p w14:paraId="1B3E3E9E" w14:textId="583B4A00"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48" w:name="ver_30069132"/>
      <w:bookmarkEnd w:id="148"/>
    </w:p>
    <w:p w14:paraId="3DF4EF6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2.1.1.1.1.5.2.3. Supervisión y vigilancia de los recursos del subsidio. El Ministerio de Vivienda, Ciudad y Territorio y las entidades otorgantes podrán definir mecanismos para la supervisión y vigilancia del uso adecuado de los recursos del subsidio familiar de vivienda. </w:t>
      </w:r>
    </w:p>
    <w:p w14:paraId="7891A24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2F0752B" w14:textId="2E0885A5" w:rsidR="00FC79C1" w:rsidRPr="009342F9" w:rsidRDefault="00FC79C1" w:rsidP="00FC79C1">
      <w:pPr>
        <w:spacing w:after="0" w:line="240" w:lineRule="auto"/>
        <w:jc w:val="center"/>
        <w:rPr>
          <w:rFonts w:ascii="Arial" w:eastAsia="Times New Roman" w:hAnsi="Arial" w:cs="Arial"/>
          <w:b/>
          <w:bCs/>
          <w:color w:val="000000"/>
          <w:lang w:eastAsia="es-CO"/>
        </w:rPr>
      </w:pPr>
      <w:bookmarkStart w:id="149" w:name="ver_30069133"/>
      <w:bookmarkEnd w:id="149"/>
      <w:r w:rsidRPr="009342F9">
        <w:rPr>
          <w:rFonts w:ascii="Arial" w:eastAsia="Times New Roman" w:hAnsi="Arial" w:cs="Arial"/>
          <w:b/>
          <w:bCs/>
          <w:color w:val="000000"/>
          <w:lang w:eastAsia="es-CO"/>
        </w:rPr>
        <w:t>SUBSECCIÓN 6</w:t>
      </w:r>
    </w:p>
    <w:p w14:paraId="7DCBB381" w14:textId="77777777" w:rsidR="00FC79C1" w:rsidRDefault="00FC79C1" w:rsidP="00FC79C1">
      <w:pPr>
        <w:spacing w:after="0" w:line="240" w:lineRule="auto"/>
        <w:jc w:val="center"/>
        <w:rPr>
          <w:rFonts w:ascii="Arial" w:eastAsia="Times New Roman" w:hAnsi="Arial" w:cs="Arial"/>
          <w:b/>
          <w:bCs/>
          <w:color w:val="000000"/>
          <w:lang w:eastAsia="es-CO"/>
        </w:rPr>
      </w:pPr>
      <w:r w:rsidRPr="231E957E">
        <w:rPr>
          <w:rFonts w:ascii="Arial" w:eastAsia="Times New Roman" w:hAnsi="Arial" w:cs="Arial"/>
          <w:b/>
          <w:color w:val="000000" w:themeColor="text1"/>
          <w:lang w:eastAsia="es-CO"/>
        </w:rPr>
        <w:t>DEL SUBSIDIO FAMILIAR DE VIVIENDA ADMINISTRADO POR LAS CAJAS DE COMPENSACIÓN FAMILIAR</w:t>
      </w:r>
    </w:p>
    <w:p w14:paraId="08B868D1" w14:textId="77777777" w:rsidR="007C7D44" w:rsidRPr="009342F9" w:rsidRDefault="007C7D44" w:rsidP="00FC79C1">
      <w:pPr>
        <w:spacing w:after="0" w:line="240" w:lineRule="auto"/>
        <w:jc w:val="center"/>
        <w:rPr>
          <w:rFonts w:ascii="Arial" w:eastAsia="Times New Roman" w:hAnsi="Arial" w:cs="Arial"/>
          <w:b/>
          <w:bCs/>
          <w:color w:val="000000"/>
          <w:lang w:eastAsia="es-CO"/>
        </w:rPr>
      </w:pPr>
    </w:p>
    <w:p w14:paraId="0AB2679C" w14:textId="77777777" w:rsidR="00FC79C1" w:rsidRPr="009342F9" w:rsidRDefault="00FC79C1" w:rsidP="00FC79C1">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SUB-SUBSECCIÓN 1</w:t>
      </w:r>
    </w:p>
    <w:p w14:paraId="793D7601" w14:textId="77777777" w:rsidR="00FC79C1" w:rsidRPr="009342F9" w:rsidRDefault="00FC79C1" w:rsidP="00FC79C1">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APORTES, CONFORMACIÓN Y MANEJO DE LOS FONDOS PARA EL SUBSIDIO FAMILIAR DE VIVIENDA</w:t>
      </w:r>
    </w:p>
    <w:p w14:paraId="45E4F641"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50" w:name="ver_30200383"/>
      <w:bookmarkStart w:id="151" w:name="ver_30069134"/>
      <w:bookmarkEnd w:id="150"/>
    </w:p>
    <w:p w14:paraId="7BC7F90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2.1.1.1.1.6.1.</w:t>
      </w:r>
      <w:proofErr w:type="gramStart"/>
      <w:r w:rsidRPr="009342F9">
        <w:rPr>
          <w:rFonts w:ascii="Arial" w:eastAsia="Times New Roman" w:hAnsi="Arial" w:cs="Arial"/>
          <w:color w:val="000000"/>
          <w:lang w:eastAsia="es-CO"/>
        </w:rPr>
        <w:t>1.Aportes</w:t>
      </w:r>
      <w:proofErr w:type="gramEnd"/>
      <w:r w:rsidRPr="009342F9">
        <w:rPr>
          <w:rFonts w:ascii="Arial" w:eastAsia="Times New Roman" w:hAnsi="Arial" w:cs="Arial"/>
          <w:color w:val="000000"/>
          <w:lang w:eastAsia="es-CO"/>
        </w:rPr>
        <w:t xml:space="preserve"> de los fondos para el Subsidio Familiar de Vivienda de Interés Social. Los aportes de recursos parafiscales que constituyan los Fondos para el Subsidio Familiar de Vivienda de Interés Social (FOVIS), responderán como mínimo a los porcentajes establecidos en las normas vigentes sobre la materia y podrán ser utilizados para la financiación de procesos de acompañamiento social, en la proporción que determine el Ministerio de Vivienda, Ciudad y Territorio, la cual se calculará sobre los recursos efectivamente asignados como Subsidio Familiar de Vivienda en la vigencia inmediatamente anterior.” </w:t>
      </w:r>
    </w:p>
    <w:p w14:paraId="7512B7AE"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52" w:name="ver_30069135"/>
      <w:bookmarkEnd w:id="151"/>
      <w:bookmarkEnd w:id="152"/>
    </w:p>
    <w:p w14:paraId="5031F6BA" w14:textId="341A6EA0"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2.1.1.1.1.6.1.2. Constitución de </w:t>
      </w:r>
      <w:proofErr w:type="spellStart"/>
      <w:r w:rsidRPr="009342F9">
        <w:rPr>
          <w:rFonts w:ascii="Arial" w:eastAsia="Times New Roman" w:hAnsi="Arial" w:cs="Arial"/>
          <w:color w:val="000000"/>
          <w:lang w:eastAsia="es-CO"/>
        </w:rPr>
        <w:t>Fovis</w:t>
      </w:r>
      <w:proofErr w:type="spellEnd"/>
      <w:r w:rsidRPr="009342F9">
        <w:rPr>
          <w:rFonts w:ascii="Arial" w:eastAsia="Times New Roman" w:hAnsi="Arial" w:cs="Arial"/>
          <w:color w:val="000000"/>
          <w:lang w:eastAsia="es-CO"/>
        </w:rPr>
        <w:t xml:space="preserve"> voluntarios. Las Cajas de Compensación Familiar que no estén obligadas a constituir el Fondo para el Subsidio de Vivienda de Interés Social podrán constituir voluntariamente dicho Fondo, con recursos provenientes del presupuesto de excedentes financieros, presupuesto de inversión o aporte patronal. </w:t>
      </w:r>
    </w:p>
    <w:p w14:paraId="27D30E0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6CE98F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la respectiva solicitud de autorización de constitución de los Fondos, o en aquella presentada para el incremento de los aportes, se deberá hacer explícito el porcentaje de aporte el cual no podrá variar durante la respectiva vigencia anual de recaudo del aporte. </w:t>
      </w:r>
    </w:p>
    <w:p w14:paraId="4F2C814C" w14:textId="3394743E"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53" w:name="ver_30069136"/>
      <w:bookmarkEnd w:id="153"/>
    </w:p>
    <w:p w14:paraId="796911E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2.1.1.1.1.6.1.3. Régimen de los </w:t>
      </w:r>
      <w:proofErr w:type="spellStart"/>
      <w:r w:rsidRPr="009342F9">
        <w:rPr>
          <w:rFonts w:ascii="Arial" w:eastAsia="Times New Roman" w:hAnsi="Arial" w:cs="Arial"/>
          <w:color w:val="000000"/>
          <w:lang w:eastAsia="es-CO"/>
        </w:rPr>
        <w:t>Fovis</w:t>
      </w:r>
      <w:proofErr w:type="spellEnd"/>
      <w:r w:rsidRPr="009342F9">
        <w:rPr>
          <w:rFonts w:ascii="Arial" w:eastAsia="Times New Roman" w:hAnsi="Arial" w:cs="Arial"/>
          <w:color w:val="000000"/>
          <w:lang w:eastAsia="es-CO"/>
        </w:rPr>
        <w:t xml:space="preserve"> voluntarios. Las Cajas de Compensación Familiar que no estén obligadas y decidan voluntariamente constituir el Fondo para el Subsidio Familiar de Vivienda de Interés Social, se someterán a la reglamentación de los fondos de que trata esta sección. </w:t>
      </w:r>
    </w:p>
    <w:p w14:paraId="0AB1E0BC" w14:textId="5218916A"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54" w:name="ver_30069137"/>
      <w:bookmarkEnd w:id="154"/>
    </w:p>
    <w:p w14:paraId="6507438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2.1.1.1.1.6.1.4. Apropiación de los recursos de los </w:t>
      </w:r>
      <w:proofErr w:type="spellStart"/>
      <w:r w:rsidRPr="009342F9">
        <w:rPr>
          <w:rFonts w:ascii="Arial" w:eastAsia="Times New Roman" w:hAnsi="Arial" w:cs="Arial"/>
          <w:color w:val="000000"/>
          <w:lang w:eastAsia="es-CO"/>
        </w:rPr>
        <w:t>Fovis</w:t>
      </w:r>
      <w:proofErr w:type="spellEnd"/>
      <w:r w:rsidRPr="009342F9">
        <w:rPr>
          <w:rFonts w:ascii="Arial" w:eastAsia="Times New Roman" w:hAnsi="Arial" w:cs="Arial"/>
          <w:color w:val="000000"/>
          <w:lang w:eastAsia="es-CO"/>
        </w:rPr>
        <w:t xml:space="preserve">. La Superintendencia de Subsidio Familiar expedirá todos los años, a más tardar el treinta y uno (31) de enero, las certificaciones correspondientes al </w:t>
      </w:r>
      <w:proofErr w:type="spellStart"/>
      <w:r w:rsidRPr="009342F9">
        <w:rPr>
          <w:rFonts w:ascii="Arial" w:eastAsia="Times New Roman" w:hAnsi="Arial" w:cs="Arial"/>
          <w:color w:val="000000"/>
          <w:lang w:eastAsia="es-CO"/>
        </w:rPr>
        <w:t>cuociente</w:t>
      </w:r>
      <w:proofErr w:type="spellEnd"/>
      <w:r w:rsidRPr="009342F9">
        <w:rPr>
          <w:rFonts w:ascii="Arial" w:eastAsia="Times New Roman" w:hAnsi="Arial" w:cs="Arial"/>
          <w:color w:val="000000"/>
          <w:lang w:eastAsia="es-CO"/>
        </w:rPr>
        <w:t xml:space="preserve"> nacional y a los </w:t>
      </w:r>
      <w:proofErr w:type="spellStart"/>
      <w:r w:rsidRPr="009342F9">
        <w:rPr>
          <w:rFonts w:ascii="Arial" w:eastAsia="Times New Roman" w:hAnsi="Arial" w:cs="Arial"/>
          <w:color w:val="000000"/>
          <w:lang w:eastAsia="es-CO"/>
        </w:rPr>
        <w:t>cuocientes</w:t>
      </w:r>
      <w:proofErr w:type="spellEnd"/>
      <w:r w:rsidRPr="009342F9">
        <w:rPr>
          <w:rFonts w:ascii="Arial" w:eastAsia="Times New Roman" w:hAnsi="Arial" w:cs="Arial"/>
          <w:color w:val="000000"/>
          <w:lang w:eastAsia="es-CO"/>
        </w:rPr>
        <w:t xml:space="preserve"> particulares y fijará </w:t>
      </w:r>
      <w:r w:rsidRPr="009342F9">
        <w:rPr>
          <w:rFonts w:ascii="Arial" w:eastAsia="Times New Roman" w:hAnsi="Arial" w:cs="Arial"/>
          <w:color w:val="000000"/>
          <w:lang w:eastAsia="es-CO"/>
        </w:rPr>
        <w:lastRenderedPageBreak/>
        <w:t>mediante resolución, el porcentaje que le corresponda aportar mensualmente a cada una de las Cajas de Compensación Familiar con destino a su Fondo. </w:t>
      </w:r>
    </w:p>
    <w:p w14:paraId="62B61A2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F157BD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Las Cajas de Compensación Familiar apropiarán, dentro de los primeros diez días (10) calendario de cada mes, los recursos para sus respectivos </w:t>
      </w:r>
      <w:proofErr w:type="spellStart"/>
      <w:r w:rsidRPr="009342F9">
        <w:rPr>
          <w:rFonts w:ascii="Arial" w:eastAsia="Times New Roman" w:hAnsi="Arial" w:cs="Arial"/>
          <w:color w:val="000000"/>
          <w:lang w:eastAsia="es-CO"/>
        </w:rPr>
        <w:t>Fovis</w:t>
      </w:r>
      <w:proofErr w:type="spellEnd"/>
      <w:r w:rsidRPr="009342F9">
        <w:rPr>
          <w:rFonts w:ascii="Arial" w:eastAsia="Times New Roman" w:hAnsi="Arial" w:cs="Arial"/>
          <w:color w:val="000000"/>
          <w:lang w:eastAsia="es-CO"/>
        </w:rPr>
        <w:t xml:space="preserve"> con destino al Subsidio Familiar de Vivienda, aplicando a los recaudos del mes anterior los porcentajes señalados para cada Caja, según lo indicado en la resolución de la Superintendencia del Subsidio Familiar. </w:t>
      </w:r>
    </w:p>
    <w:p w14:paraId="763DD49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D1219F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Las Cajas de Compensación Familiar depositarán a más tardar el día doce (12) de cada mes, los aportes del Fondo correspondientes al Subsidio Familiar de Vivienda, en inversiones líquidas en entidades vigiladas por la Superintendencia Financiera de Colombia. </w:t>
      </w:r>
    </w:p>
    <w:p w14:paraId="7A7A387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D70291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2.1.1.1.1.6.1.5. Recursos de los </w:t>
      </w:r>
      <w:proofErr w:type="spellStart"/>
      <w:r w:rsidRPr="009342F9">
        <w:rPr>
          <w:rFonts w:ascii="Arial" w:eastAsia="Times New Roman" w:hAnsi="Arial" w:cs="Arial"/>
          <w:color w:val="000000"/>
          <w:lang w:eastAsia="es-CO"/>
        </w:rPr>
        <w:t>Fovis</w:t>
      </w:r>
      <w:proofErr w:type="spellEnd"/>
      <w:r w:rsidRPr="009342F9">
        <w:rPr>
          <w:rFonts w:ascii="Arial" w:eastAsia="Times New Roman" w:hAnsi="Arial" w:cs="Arial"/>
          <w:color w:val="000000"/>
          <w:lang w:eastAsia="es-CO"/>
        </w:rPr>
        <w:t xml:space="preserve"> para el subsidio familiar de vivienda de interés social. Los recursos de los Fondos destinados al Subsidio Familiar de Vivienda de Interés Social estarán constituidos por: </w:t>
      </w:r>
    </w:p>
    <w:p w14:paraId="02E52AF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CAE879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 Las transferencias mensuales que realice la Caja de Compensación Familiar, de acuerdo con los porcentajes sobre los aportes parafiscales establecidos para cada caso y destinados al Subsidio Familiar de Vivienda; </w:t>
      </w:r>
    </w:p>
    <w:p w14:paraId="3E93C23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58E57C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b) El capital y los intereses de las inversiones realizadas con recursos de los Fondos para Subsidio Familiar de Vivienda de Interés Social; </w:t>
      </w:r>
    </w:p>
    <w:p w14:paraId="00C93B3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2F0837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 Los recursos provenientes de: </w:t>
      </w:r>
    </w:p>
    <w:p w14:paraId="1FF1579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8B8E5A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i. La recuperación de la inversión en los proyectos de vivienda cuya construcción haya sido contratada por la respectiva Caja, con recursos del </w:t>
      </w:r>
      <w:proofErr w:type="spellStart"/>
      <w:r w:rsidRPr="009342F9">
        <w:rPr>
          <w:rFonts w:ascii="Arial" w:eastAsia="Times New Roman" w:hAnsi="Arial" w:cs="Arial"/>
          <w:color w:val="000000"/>
          <w:lang w:eastAsia="es-CO"/>
        </w:rPr>
        <w:t>Fovis</w:t>
      </w:r>
      <w:proofErr w:type="spellEnd"/>
      <w:r w:rsidRPr="009342F9">
        <w:rPr>
          <w:rFonts w:ascii="Arial" w:eastAsia="Times New Roman" w:hAnsi="Arial" w:cs="Arial"/>
          <w:color w:val="000000"/>
          <w:lang w:eastAsia="es-CO"/>
        </w:rPr>
        <w:t>; </w:t>
      </w:r>
    </w:p>
    <w:p w14:paraId="384E6C2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397775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ii. Los ingresos recibidos por concepto de venta de terrenos adquiridos con recursos de los Fondos, para la construcción de proyectos de vivienda de interés social; </w:t>
      </w:r>
    </w:p>
    <w:p w14:paraId="54C9614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CA4B3A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iii. Los ingresos recibidos por concepto de venta de proyectos de vivienda de interés social adquiridos por las Cajas de Compensación Familiar con recursos de los </w:t>
      </w:r>
      <w:proofErr w:type="spellStart"/>
      <w:r w:rsidRPr="009342F9">
        <w:rPr>
          <w:rFonts w:ascii="Arial" w:eastAsia="Times New Roman" w:hAnsi="Arial" w:cs="Arial"/>
          <w:color w:val="000000"/>
          <w:lang w:eastAsia="es-CO"/>
        </w:rPr>
        <w:t>Fovis</w:t>
      </w:r>
      <w:proofErr w:type="spellEnd"/>
      <w:r w:rsidRPr="009342F9">
        <w:rPr>
          <w:rFonts w:ascii="Arial" w:eastAsia="Times New Roman" w:hAnsi="Arial" w:cs="Arial"/>
          <w:color w:val="000000"/>
          <w:lang w:eastAsia="es-CO"/>
        </w:rPr>
        <w:t>; </w:t>
      </w:r>
    </w:p>
    <w:p w14:paraId="658C307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E2BD3D7" w14:textId="77777777" w:rsidR="00FC79C1" w:rsidRPr="009342F9" w:rsidRDefault="00FC79C1" w:rsidP="00FC79C1">
      <w:pPr>
        <w:spacing w:after="0" w:line="240" w:lineRule="auto"/>
        <w:jc w:val="both"/>
        <w:rPr>
          <w:rFonts w:ascii="Arial" w:eastAsia="Times New Roman" w:hAnsi="Arial" w:cs="Arial"/>
          <w:color w:val="000000"/>
          <w:lang w:eastAsia="es-CO"/>
        </w:rPr>
      </w:pPr>
      <w:proofErr w:type="spellStart"/>
      <w:r w:rsidRPr="009342F9">
        <w:rPr>
          <w:rFonts w:ascii="Arial" w:eastAsia="Times New Roman" w:hAnsi="Arial" w:cs="Arial"/>
          <w:color w:val="000000"/>
          <w:lang w:eastAsia="es-CO"/>
        </w:rPr>
        <w:t>iv</w:t>
      </w:r>
      <w:proofErr w:type="spellEnd"/>
      <w:r w:rsidRPr="009342F9">
        <w:rPr>
          <w:rFonts w:ascii="Arial" w:eastAsia="Times New Roman" w:hAnsi="Arial" w:cs="Arial"/>
          <w:color w:val="000000"/>
          <w:lang w:eastAsia="es-CO"/>
        </w:rPr>
        <w:t xml:space="preserve">. La recuperación de las financiaciones de proyectos de vivienda de interés social, con recursos del </w:t>
      </w:r>
      <w:proofErr w:type="spellStart"/>
      <w:r w:rsidRPr="009342F9">
        <w:rPr>
          <w:rFonts w:ascii="Arial" w:eastAsia="Times New Roman" w:hAnsi="Arial" w:cs="Arial"/>
          <w:color w:val="000000"/>
          <w:lang w:eastAsia="es-CO"/>
        </w:rPr>
        <w:t>Fovis</w:t>
      </w:r>
      <w:proofErr w:type="spellEnd"/>
      <w:r w:rsidRPr="009342F9">
        <w:rPr>
          <w:rFonts w:ascii="Arial" w:eastAsia="Times New Roman" w:hAnsi="Arial" w:cs="Arial"/>
          <w:color w:val="000000"/>
          <w:lang w:eastAsia="es-CO"/>
        </w:rPr>
        <w:t>; </w:t>
      </w:r>
    </w:p>
    <w:p w14:paraId="026AC90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5AFF1C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v. La recuperación de cartera hipotecaria y microcrédito inmobiliario que hayan sido originados con recursos de los </w:t>
      </w:r>
      <w:proofErr w:type="spellStart"/>
      <w:r w:rsidRPr="009342F9">
        <w:rPr>
          <w:rFonts w:ascii="Arial" w:eastAsia="Times New Roman" w:hAnsi="Arial" w:cs="Arial"/>
          <w:color w:val="000000"/>
          <w:lang w:eastAsia="es-CO"/>
        </w:rPr>
        <w:t>Fovis</w:t>
      </w:r>
      <w:proofErr w:type="spellEnd"/>
      <w:r w:rsidRPr="009342F9">
        <w:rPr>
          <w:rFonts w:ascii="Arial" w:eastAsia="Times New Roman" w:hAnsi="Arial" w:cs="Arial"/>
          <w:color w:val="000000"/>
          <w:lang w:eastAsia="es-CO"/>
        </w:rPr>
        <w:t>; </w:t>
      </w:r>
    </w:p>
    <w:p w14:paraId="59DB5B6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F4D5AE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d) Los rendimientos financieros de los recursos del Fondo colocados en proyectos para promoción de oferta. </w:t>
      </w:r>
    </w:p>
    <w:p w14:paraId="65A602E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CCA125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Parágrafo. Los recursos de los </w:t>
      </w:r>
      <w:proofErr w:type="spellStart"/>
      <w:r w:rsidRPr="009342F9">
        <w:rPr>
          <w:rFonts w:ascii="Arial" w:eastAsia="Times New Roman" w:hAnsi="Arial" w:cs="Arial"/>
          <w:color w:val="000000"/>
          <w:lang w:eastAsia="es-CO"/>
        </w:rPr>
        <w:t>Fovis</w:t>
      </w:r>
      <w:proofErr w:type="spellEnd"/>
      <w:r w:rsidRPr="009342F9">
        <w:rPr>
          <w:rFonts w:ascii="Arial" w:eastAsia="Times New Roman" w:hAnsi="Arial" w:cs="Arial"/>
          <w:color w:val="000000"/>
          <w:lang w:eastAsia="es-CO"/>
        </w:rPr>
        <w:t xml:space="preserve"> para el Subsidio Familiar de Vivienda de Interés </w:t>
      </w:r>
      <w:proofErr w:type="gramStart"/>
      <w:r w:rsidRPr="009342F9">
        <w:rPr>
          <w:rFonts w:ascii="Arial" w:eastAsia="Times New Roman" w:hAnsi="Arial" w:cs="Arial"/>
          <w:color w:val="000000"/>
          <w:lang w:eastAsia="es-CO"/>
        </w:rPr>
        <w:t>Social,</w:t>
      </w:r>
      <w:proofErr w:type="gramEnd"/>
      <w:r w:rsidRPr="009342F9">
        <w:rPr>
          <w:rFonts w:ascii="Arial" w:eastAsia="Times New Roman" w:hAnsi="Arial" w:cs="Arial"/>
          <w:color w:val="000000"/>
          <w:lang w:eastAsia="es-CO"/>
        </w:rPr>
        <w:t xml:space="preserve"> se invertirán en valores de alta liquidez, en entidades vigiladas por la Superintendencia Financiera de Colombia, asegurando que su rendimiento sea como mínimo el promedio de interés de los últimos doce (12) meses. </w:t>
      </w:r>
    </w:p>
    <w:p w14:paraId="3320624F" w14:textId="77777777" w:rsidR="009342F9" w:rsidRDefault="009342F9" w:rsidP="00FC79C1">
      <w:pPr>
        <w:spacing w:after="0" w:line="240" w:lineRule="auto"/>
        <w:jc w:val="both"/>
        <w:rPr>
          <w:rFonts w:ascii="Arial" w:eastAsia="Times New Roman" w:hAnsi="Arial" w:cs="Arial"/>
          <w:color w:val="000000"/>
          <w:lang w:eastAsia="es-CO"/>
        </w:rPr>
      </w:pPr>
      <w:bookmarkStart w:id="155" w:name="ver_30069139"/>
      <w:bookmarkEnd w:id="155"/>
    </w:p>
    <w:p w14:paraId="7B6B7C78" w14:textId="27925054"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2.1.1.1.1.6.1.6. Plan Anual de Ejecución de los Recursos del Fondo. Las Cajas de Compensación Familiar elaborarán un Plan Anual de Ejecución de los recursos del </w:t>
      </w:r>
      <w:proofErr w:type="spellStart"/>
      <w:r w:rsidRPr="009342F9">
        <w:rPr>
          <w:rFonts w:ascii="Arial" w:eastAsia="Times New Roman" w:hAnsi="Arial" w:cs="Arial"/>
          <w:color w:val="000000"/>
          <w:lang w:eastAsia="es-CO"/>
        </w:rPr>
        <w:t>Fovis</w:t>
      </w:r>
      <w:proofErr w:type="spellEnd"/>
      <w:r w:rsidRPr="009342F9">
        <w:rPr>
          <w:rFonts w:ascii="Arial" w:eastAsia="Times New Roman" w:hAnsi="Arial" w:cs="Arial"/>
          <w:color w:val="000000"/>
          <w:lang w:eastAsia="es-CO"/>
        </w:rPr>
        <w:t xml:space="preserve">, el cual </w:t>
      </w:r>
      <w:r w:rsidRPr="009342F9">
        <w:rPr>
          <w:rFonts w:ascii="Arial" w:eastAsia="Times New Roman" w:hAnsi="Arial" w:cs="Arial"/>
          <w:color w:val="000000"/>
          <w:lang w:eastAsia="es-CO"/>
        </w:rPr>
        <w:lastRenderedPageBreak/>
        <w:t>presentarán en enero de cada año al Ministerio de Vivienda, Ciudad y Territorio y a la Superintendencia del Subsidio Familiar. </w:t>
      </w:r>
    </w:p>
    <w:p w14:paraId="6592FBC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2D3038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El Plan contendrá en forma discriminada la proyección mensual de ejecución de los recursos apropiados para el Subsidio Familiar de Vivienda, los rendimientos financieros, los recursos por asignar, los recursos por desembolsar, los recursos proyectados en promoción de oferta y los reintegros al Fondo por concepto de vencimientos, renuncias, reembolsos de subsidio, reintegros de promoción de oferta y de cartera por crédito hipotecario y microcrédito inmobiliario. </w:t>
      </w:r>
    </w:p>
    <w:p w14:paraId="3F930334" w14:textId="07DC8DA4"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56" w:name="ver_30069140"/>
      <w:bookmarkEnd w:id="156"/>
    </w:p>
    <w:p w14:paraId="05EEB55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2.1.1.1.1.6.1.7. Evaluación del Plan Anual de Ejecución de los Recursos del </w:t>
      </w:r>
      <w:proofErr w:type="spellStart"/>
      <w:r w:rsidRPr="009342F9">
        <w:rPr>
          <w:rFonts w:ascii="Arial" w:eastAsia="Times New Roman" w:hAnsi="Arial" w:cs="Arial"/>
          <w:color w:val="000000"/>
          <w:lang w:eastAsia="es-CO"/>
        </w:rPr>
        <w:t>Fovis</w:t>
      </w:r>
      <w:proofErr w:type="spellEnd"/>
      <w:r w:rsidRPr="009342F9">
        <w:rPr>
          <w:rFonts w:ascii="Arial" w:eastAsia="Times New Roman" w:hAnsi="Arial" w:cs="Arial"/>
          <w:color w:val="000000"/>
          <w:lang w:eastAsia="es-CO"/>
        </w:rPr>
        <w:t xml:space="preserve"> para el Subsidio Familiar de Vivienda. La Superintendencia del Subsidio Familiar, </w:t>
      </w:r>
      <w:proofErr w:type="gramStart"/>
      <w:r w:rsidRPr="009342F9">
        <w:rPr>
          <w:rFonts w:ascii="Arial" w:eastAsia="Times New Roman" w:hAnsi="Arial" w:cs="Arial"/>
          <w:color w:val="000000"/>
          <w:lang w:eastAsia="es-CO"/>
        </w:rPr>
        <w:t>conjuntamente con</w:t>
      </w:r>
      <w:proofErr w:type="gramEnd"/>
      <w:r w:rsidRPr="009342F9">
        <w:rPr>
          <w:rFonts w:ascii="Arial" w:eastAsia="Times New Roman" w:hAnsi="Arial" w:cs="Arial"/>
          <w:color w:val="000000"/>
          <w:lang w:eastAsia="es-CO"/>
        </w:rPr>
        <w:t xml:space="preserve"> el Ministerio de Vivienda, Ciudad y Territorio, realizará trimestralmente la evaluación y el seguimiento del cumplimiento del Plan Anual de Ejecución de los recursos del </w:t>
      </w:r>
      <w:proofErr w:type="spellStart"/>
      <w:r w:rsidRPr="009342F9">
        <w:rPr>
          <w:rFonts w:ascii="Arial" w:eastAsia="Times New Roman" w:hAnsi="Arial" w:cs="Arial"/>
          <w:color w:val="000000"/>
          <w:lang w:eastAsia="es-CO"/>
        </w:rPr>
        <w:t>Fovis</w:t>
      </w:r>
      <w:proofErr w:type="spellEnd"/>
      <w:r w:rsidRPr="009342F9">
        <w:rPr>
          <w:rFonts w:ascii="Arial" w:eastAsia="Times New Roman" w:hAnsi="Arial" w:cs="Arial"/>
          <w:color w:val="000000"/>
          <w:lang w:eastAsia="es-CO"/>
        </w:rPr>
        <w:t xml:space="preserve"> para el Subsidio Familiar de Vivienda de Interés Social, de acuerdo con los procedimientos de control y evaluación establecidos para el efecto. </w:t>
      </w:r>
    </w:p>
    <w:p w14:paraId="2F3C4D01" w14:textId="4F0A02C0"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57" w:name="ver_30069141"/>
      <w:bookmarkEnd w:id="157"/>
    </w:p>
    <w:p w14:paraId="3762DE1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2.1.1.1.1.6.1.8. Remanentes en la asignación del subsidio. Las Cajas de Compensación Familiar deberán aplicar a sus afiliados postulantes en cada vigencia anual, la asignación de la totalidad de los recursos de los respectivos Fondos destinados al Subsidio Familiar de Vivienda de Interés Social incluidos sus rendimientos, con exclusión de los recursos que efectivamente se comprometan en promoción de oferta. Una vez realizado el corte anual en cada una de las entidades otorgantes, los excedentes de recursos se aplicarán, previo concepto favorable del Ministerio de Vivienda, Ciudad y Territorio y aprobación por la Superintendencia del Subsidio Familiar, en la siguiente forma: </w:t>
      </w:r>
    </w:p>
    <w:p w14:paraId="66EE806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6BFDE4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Los remanentes de cada una de las Cajas de Compensación Familiar se aplicarán a la segunda prioridad señalada en el artículo 68 de la Ley 49 de 1990, de acuerdo con los criterios que establezca el Ministerio de Vivienda, Ciudad y Territorio l y la Superintendencia del Subsidio Familiar, según la información suministrada por las Cajas de Compensación Familiar con corte a 31 de diciembre de cada vigencia anual. </w:t>
      </w:r>
    </w:p>
    <w:p w14:paraId="69BF503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B75229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Si después de este proceso resultaren recursos no utilizados en la segunda prioridad o resultaren excedentes de recursos de Cajas de Compensación Familiar, se aplicarán a la tercera prioridad establecida en el referido artículo 68 de la Ley 49 de 1990, esto es, a los postulantes no afiliados a las Cajas de Compensación, de acuerdo con el orden secuencial de la lista de hogares postulantes calificados entregada por el Fondo Nacional de Vivienda. </w:t>
      </w:r>
    </w:p>
    <w:p w14:paraId="07BC3E0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BA3E66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Cuando los recursos asignados en segunda y tercera prioridad no sean utilizados dentro de la vigencia del Subsidio, retornarán a la Caja original. </w:t>
      </w:r>
    </w:p>
    <w:p w14:paraId="3B0C00F1" w14:textId="25469DE9"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58" w:name="ver_30069142"/>
      <w:bookmarkEnd w:id="158"/>
    </w:p>
    <w:p w14:paraId="568CF71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2.1.1.1.1.6.1.9. Unidad de Caja para la Administración de los Recursos del Fondo del Subsidio Familiar de Vivienda de Interés Social. Las Cajas de Compensación Familiar podrán utilizar los recursos asignados no pagados del Subsidio Familiar de Vivienda, en la promoción de oferta de vivienda de interés social y en nuevas asignaciones del subsidio, siempre y cuando se garantice una liquidez equivalente al treinta por ciento (30%) para el pago de los subsidios </w:t>
      </w:r>
      <w:proofErr w:type="gramStart"/>
      <w:r w:rsidRPr="009342F9">
        <w:rPr>
          <w:rFonts w:ascii="Arial" w:eastAsia="Times New Roman" w:hAnsi="Arial" w:cs="Arial"/>
          <w:color w:val="000000"/>
          <w:lang w:eastAsia="es-CO"/>
        </w:rPr>
        <w:t>asignados</w:t>
      </w:r>
      <w:proofErr w:type="gramEnd"/>
      <w:r w:rsidRPr="009342F9">
        <w:rPr>
          <w:rFonts w:ascii="Arial" w:eastAsia="Times New Roman" w:hAnsi="Arial" w:cs="Arial"/>
          <w:color w:val="000000"/>
          <w:lang w:eastAsia="es-CO"/>
        </w:rPr>
        <w:t xml:space="preserve"> pero no pagados. </w:t>
      </w:r>
    </w:p>
    <w:p w14:paraId="64F305BB" w14:textId="3060665B" w:rsidR="00FC79C1" w:rsidRPr="009342F9" w:rsidRDefault="00FC79C1" w:rsidP="009342F9">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59" w:name="ver_30167725"/>
      <w:bookmarkStart w:id="160" w:name="ver_30069143"/>
      <w:bookmarkEnd w:id="159"/>
    </w:p>
    <w:p w14:paraId="5A2FCAD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2.1.1.1.1.6.1.10. Promoción de oferta de vivienda de interés social con recursos del </w:t>
      </w:r>
      <w:proofErr w:type="spellStart"/>
      <w:r w:rsidRPr="009342F9">
        <w:rPr>
          <w:rFonts w:ascii="Arial" w:eastAsia="Times New Roman" w:hAnsi="Arial" w:cs="Arial"/>
          <w:color w:val="000000"/>
          <w:lang w:eastAsia="es-CO"/>
        </w:rPr>
        <w:t>Fovis</w:t>
      </w:r>
      <w:proofErr w:type="spellEnd"/>
      <w:r w:rsidRPr="009342F9">
        <w:rPr>
          <w:rFonts w:ascii="Arial" w:eastAsia="Times New Roman" w:hAnsi="Arial" w:cs="Arial"/>
          <w:color w:val="000000"/>
          <w:lang w:eastAsia="es-CO"/>
        </w:rPr>
        <w:t>. Se entenderá por promoción de oferta de vivienda de interés social, el conjunto de actividades que adelanten las Cajas de Compensación Familiar para: </w:t>
      </w:r>
    </w:p>
    <w:p w14:paraId="7685C09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43A784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a) Desarrollar proyectos de vivienda de interés social contratando la construcción con constructores privados, públicos, Organizaciones No Gubernamentales u Organizaciones Populares de Vivienda. </w:t>
      </w:r>
    </w:p>
    <w:p w14:paraId="5225661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FCAEEA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b) Financiar oferentes de proyectos y programas de vivienda de interés social en las condiciones que establezca el Consejo Directivo de la respectiva Caja y otorgar créditos hipotecarios y microcréditos para adquisición de vivienda de interés social, en las condiciones establecidas en la Ley 546 de 1999 y demás normas vigentes sobre la materia. </w:t>
      </w:r>
    </w:p>
    <w:p w14:paraId="273161A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C7BB19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 Adquirir proyectos de vivienda de interés social. </w:t>
      </w:r>
    </w:p>
    <w:p w14:paraId="2059902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6FB0F6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d) Comprar y adecuar lotes para adelantar proyectos de vivienda de interés social. </w:t>
      </w:r>
    </w:p>
    <w:p w14:paraId="088A3B2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A0C407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 Destinar recursos en Programas Integrales de Renovación y Redensificación Urbana. </w:t>
      </w:r>
    </w:p>
    <w:p w14:paraId="0312651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3BCAB8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“f) Comprar derechos fiduciarios para desarrollar proyectos de vivienda de interés social” </w:t>
      </w:r>
    </w:p>
    <w:p w14:paraId="1B56F0D0"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61" w:name="ver_30069144"/>
      <w:bookmarkEnd w:id="160"/>
      <w:bookmarkEnd w:id="161"/>
    </w:p>
    <w:p w14:paraId="7161143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2.1.1.1.1.6.1.11. Recursos para promoción de oferta. Las Cajas de Compensación Familiar podrán destinar hasta el cuarenta (40%) por ciento de la proyección total de los recaudos de aporte del FOVIS destinados al Subsidio Familiar de Vivienda, incluyendo los rendimientos y reintegros por renuncias y vencimientos, para desarrollar el conjunto de actividades de </w:t>
      </w:r>
      <w:proofErr w:type="spellStart"/>
      <w:r w:rsidRPr="009342F9">
        <w:rPr>
          <w:rFonts w:ascii="Arial" w:eastAsia="Times New Roman" w:hAnsi="Arial" w:cs="Arial"/>
          <w:color w:val="000000"/>
          <w:lang w:eastAsia="es-CO"/>
        </w:rPr>
        <w:t>que</w:t>
      </w:r>
      <w:proofErr w:type="spellEnd"/>
      <w:r w:rsidRPr="009342F9">
        <w:rPr>
          <w:rFonts w:ascii="Arial" w:eastAsia="Times New Roman" w:hAnsi="Arial" w:cs="Arial"/>
          <w:color w:val="000000"/>
          <w:lang w:eastAsia="es-CO"/>
        </w:rPr>
        <w:t xml:space="preserve"> trata el artículo 2.1.1.1.1.6.1.10 de la presente sección, según la normativa vigente sobre la materia. </w:t>
      </w:r>
    </w:p>
    <w:p w14:paraId="34511B6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694484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El Consejo Directivo de la respectiva Caja de Compensación Familiar aprobará el uso de los recursos de promoción de oferta de vivienda de interés social, señalando, en el acuerdo correspondiente, los siguientes aspectos y adjuntando los respectivos documentos: </w:t>
      </w:r>
    </w:p>
    <w:p w14:paraId="21A4D4A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B7F123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Para la adquisición y desarrollo de proyectos de vivienda de interés social: </w:t>
      </w:r>
    </w:p>
    <w:p w14:paraId="64EA920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5F0424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 El nombre del proyecto y las modalidades de solución de vivienda que el mismo contemple. </w:t>
      </w:r>
    </w:p>
    <w:p w14:paraId="3D2A5DD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D5E59E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b) El número de soluciones contempladas en el proyecto, el valor de venta de </w:t>
      </w:r>
      <w:proofErr w:type="gramStart"/>
      <w:r w:rsidRPr="009342F9">
        <w:rPr>
          <w:rFonts w:ascii="Arial" w:eastAsia="Times New Roman" w:hAnsi="Arial" w:cs="Arial"/>
          <w:color w:val="000000"/>
          <w:lang w:eastAsia="es-CO"/>
        </w:rPr>
        <w:t>las mismas</w:t>
      </w:r>
      <w:proofErr w:type="gramEnd"/>
      <w:r w:rsidRPr="009342F9">
        <w:rPr>
          <w:rFonts w:ascii="Arial" w:eastAsia="Times New Roman" w:hAnsi="Arial" w:cs="Arial"/>
          <w:color w:val="000000"/>
          <w:lang w:eastAsia="es-CO"/>
        </w:rPr>
        <w:t>, el área por unidad de construcción, la disponibilidad de servicios públicos y el número y fecha de licencia de construcción. </w:t>
      </w:r>
    </w:p>
    <w:p w14:paraId="47AC664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BDCD72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 El plazo de ejecución del proyecto con su respectivo cronograma. </w:t>
      </w:r>
    </w:p>
    <w:p w14:paraId="2237152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633BAD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d) El monto de los recursos aprobados. </w:t>
      </w:r>
    </w:p>
    <w:p w14:paraId="7994522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A207FE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 Las fechas de desembolso de los recursos. </w:t>
      </w:r>
    </w:p>
    <w:p w14:paraId="5BD7A3B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AB1C6A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f) Las fechas de reintegro de los recursos. </w:t>
      </w:r>
    </w:p>
    <w:p w14:paraId="111DEC1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3F669C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g) El presupuesto y flujo de caja del proyecto. </w:t>
      </w:r>
    </w:p>
    <w:p w14:paraId="5F45893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9AE794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Para el otorgamiento de créditos hipotecarios y microcréditos para la adquisición de vivienda de interés social por parte de los afiliados de la respectiva Caja: </w:t>
      </w:r>
    </w:p>
    <w:p w14:paraId="056F27E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45BA37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 La proyección del plan anual de ejecución. </w:t>
      </w:r>
    </w:p>
    <w:p w14:paraId="1A9AC31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E3AAE9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b) Monto total de los recursos aprobados que se destinarán para otorgar créditos hipotecarios y microcréditos para adquisición de vivienda de interés social. </w:t>
      </w:r>
    </w:p>
    <w:p w14:paraId="6C49501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3917B4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 El valor individual de los créditos hipotecarios y los microcréditos para adquisición de vivienda de interés social. </w:t>
      </w:r>
    </w:p>
    <w:p w14:paraId="0F32802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F6AFE3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d) Los sistemas de amortización que se apliquen. </w:t>
      </w:r>
    </w:p>
    <w:p w14:paraId="66A801C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65877F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 Las tasas de interés que se aplicarán según el caso, acordes con la reglamentación vigente sobre la materia, identificando los puntos adicionales de margen de intermediación que les permita a las Cajas cubrir el costo de operación. </w:t>
      </w:r>
    </w:p>
    <w:p w14:paraId="1B00498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5119C5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f) El plazo de financiación para cada caso. </w:t>
      </w:r>
    </w:p>
    <w:p w14:paraId="3FA8208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FF3DFC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g) Los requisitos y garantías que se requieran para la aplicación del crédito hipotecario y el microcrédito para adquisición de vivienda de interés social. </w:t>
      </w:r>
    </w:p>
    <w:p w14:paraId="39DD039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EDF0B4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g) Las estrategias de recuperación de cartera, estudio de siniestralidad y cumplimiento de las condiciones y exigencias establecidas en la Ley 546 de 1999 y demás normas vigentes sobre la materia. </w:t>
      </w:r>
    </w:p>
    <w:p w14:paraId="7DC0535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64A4BC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h) La implementación de procesos administrativos y operativos que permitan subrogar los recursos de promoción de oferta de los numerales 1, 3, y 4 del presente artículo en la colocación de créditos hipotecarios y microcréditos para adquisición de vivienda de interés social. </w:t>
      </w:r>
    </w:p>
    <w:p w14:paraId="7B4A186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4967AE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Para el otorgamiento de financiación a oferentes de proyectos y programas de vivienda de interés social para sus respectivos afiliados: </w:t>
      </w:r>
    </w:p>
    <w:p w14:paraId="7BF61AA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B6A5D7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 La proyección del plan anual de ejecución. </w:t>
      </w:r>
    </w:p>
    <w:p w14:paraId="2A90EA4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477D71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b) Monto total de los recursos aprobados que se destinarán para el otorgamiento de financiación de proyectos de vivienda de interés social. </w:t>
      </w:r>
    </w:p>
    <w:p w14:paraId="54847E6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9F118F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 Los requisitos y garantías que se requieren para la aplicación de los montos de financiación de los proyectos de vivienda de interés social. </w:t>
      </w:r>
    </w:p>
    <w:p w14:paraId="3157B1B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C4AA32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d) Las estrategias de recuperación de cartera. </w:t>
      </w:r>
    </w:p>
    <w:p w14:paraId="26622D4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F6F6D9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Para la adquisición de lotes para adelantar proyectos de vivienda de interés social: </w:t>
      </w:r>
    </w:p>
    <w:p w14:paraId="10CBCBD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557C15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 Área total del lote. </w:t>
      </w:r>
    </w:p>
    <w:p w14:paraId="42A1C07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2623BC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b) El valor del lote a adquirir. </w:t>
      </w:r>
    </w:p>
    <w:p w14:paraId="1D9BF5E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335194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 Ubicación y definición del lote. </w:t>
      </w:r>
    </w:p>
    <w:p w14:paraId="271860E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D4A9E7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d) Certificación emitida por la entidad territorial correspondiente en la que conste que el lote a adquirir no se encuentra ubicado en zona de alto riesgo no mitigable. </w:t>
      </w:r>
    </w:p>
    <w:p w14:paraId="62AF1C1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2D49F5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De encontrarse parte del terreno ubicado en zona de riesgo mitigable, deberá presentarse copia del respectivo plan de mitigación. </w:t>
      </w:r>
    </w:p>
    <w:p w14:paraId="61F21E1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w:t>
      </w:r>
    </w:p>
    <w:p w14:paraId="2079C68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 Certificado de libertad y tradición del lote con vigencia no superior a treinta (3) días calendario. </w:t>
      </w:r>
    </w:p>
    <w:p w14:paraId="7AC2F9C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4F4DFA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f) Disponibilidad de servicios públicos. </w:t>
      </w:r>
    </w:p>
    <w:p w14:paraId="6134982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9BD060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g) Monto de los recursos aprobados. </w:t>
      </w:r>
    </w:p>
    <w:p w14:paraId="239C09F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436112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h) Las fechas de desembolso de los recursos. </w:t>
      </w:r>
    </w:p>
    <w:p w14:paraId="193D04A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4E7207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i) Las fechas de reintegro de los recursos. </w:t>
      </w:r>
    </w:p>
    <w:p w14:paraId="41D5C48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0E26C6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 Para destinar recursos en Programas Integrales de Renovación y Redensificación Urbana: </w:t>
      </w:r>
    </w:p>
    <w:p w14:paraId="4966809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C5F14E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 El nombre del proyecto que busque controlar la expansión urbana, reducir el consumo del suelo y apoyar la consolidación de estructura urbana. </w:t>
      </w:r>
    </w:p>
    <w:p w14:paraId="66B13CF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87D2E0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b) El número de soluciones contempladas en el proyecto. </w:t>
      </w:r>
    </w:p>
    <w:p w14:paraId="355C331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D1FC93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 El plazo de ejecución del proyecto con su respectivo cronograma. </w:t>
      </w:r>
    </w:p>
    <w:p w14:paraId="377681F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863E14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d) El monto de los recursos aprobados. </w:t>
      </w:r>
    </w:p>
    <w:p w14:paraId="0AC63BC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1EF489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 Las fechas de desembolso y reintegro de los recursos. </w:t>
      </w:r>
    </w:p>
    <w:p w14:paraId="03C0646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6D9A3C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f) El presupuesto y flujo de caja del proyecto. </w:t>
      </w:r>
    </w:p>
    <w:p w14:paraId="666DF97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409209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1°. Las Cajas de Compensación Familiar que destinen recursos de promoción de oferta para otorgar créditos hipotecarios y microcréditos a sus afiliados para adquisición de vivienda de interés social, deberán contar con los recursos humanos y tecnológicos necesarios para administrar los créditos hipotecarios y los microcréditos, o en su defecto, deberán contratar estos recursos con un tercero especializado, sin exceder el valor de los costos y gastos administrativos de que trata el artículo 2.1.1.1.1.6.2.4 de la presente sección o las normas que la modifiquen, complementen, adicionen o sustituyan. </w:t>
      </w:r>
    </w:p>
    <w:p w14:paraId="0D33A46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1361C8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2°. Las Cajas de Compensación Familiar serán responsables de la administración de los recursos del FOVIS destinados para la adquisición y desarrollo de proyectos de vivienda de interés social y para la adquisición de lotes para adelantar proyectos de vivienda de interés social. </w:t>
      </w:r>
    </w:p>
    <w:p w14:paraId="63F1CB4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E1020E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Las Cajas serán igualmente responsables de la administración de los recursos del FOVIS destinados para el otorgamiento de crédito hipotecario y microcrédito para la adquisición de vivienda de interés social y para el otorgamiento de financiación de proyectos de vivienda de interés social, de conformidad con lo establecido en la Ley 920 de 2004 y las normas que la reglamenten o modifiquen, en cuanto a la evaluación financiera y evaluación de los deudores, aprobación del crédito, cumplimiento de los requisitos, recaudo de cuotas y demás sumas, así como la recuperación de cartera. </w:t>
      </w:r>
    </w:p>
    <w:p w14:paraId="5BCB545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270B68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Las Cajas de Compensación Familiar podrán promover la negociación de la cartera hipotecaria, transferir sus créditos, incluyendo las garantías o los derechos sobre los mismos y sus respectivas garantías, a sociedades </w:t>
      </w:r>
      <w:proofErr w:type="spellStart"/>
      <w:r w:rsidRPr="009342F9">
        <w:rPr>
          <w:rFonts w:ascii="Arial" w:eastAsia="Times New Roman" w:hAnsi="Arial" w:cs="Arial"/>
          <w:color w:val="000000"/>
          <w:lang w:eastAsia="es-CO"/>
        </w:rPr>
        <w:t>titularizadoras</w:t>
      </w:r>
      <w:proofErr w:type="spellEnd"/>
      <w:r w:rsidRPr="009342F9">
        <w:rPr>
          <w:rFonts w:ascii="Arial" w:eastAsia="Times New Roman" w:hAnsi="Arial" w:cs="Arial"/>
          <w:color w:val="000000"/>
          <w:lang w:eastAsia="es-CO"/>
        </w:rPr>
        <w:t>, a sociedades fiduciarias en su calidad de administradores de patrimonios autónomos o a otras entidades autorizadas por el Gobierno Nacional, con el fin de que estas emitan títulos para ser colocados en el mercado. </w:t>
      </w:r>
    </w:p>
    <w:p w14:paraId="59170FB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w:t>
      </w:r>
    </w:p>
    <w:p w14:paraId="64C3B66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3°. La Superintendencia de Subsidio Familiar ejercerá en cualquier momento sus facultades de inspección, vigilancia y control sobre la utilización de los recursos de que trata este artículo, en los términos establecidos en el artículo 20 de la Ley 789 de 2002 o las normas que lo modifiquen, complementen, adicionen o sustituyan. </w:t>
      </w:r>
    </w:p>
    <w:p w14:paraId="0A533726" w14:textId="20C0438B"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62" w:name="ver_30200384"/>
      <w:bookmarkStart w:id="163" w:name="ver_30069145"/>
      <w:bookmarkStart w:id="164" w:name="ver_30167728"/>
      <w:bookmarkEnd w:id="162"/>
    </w:p>
    <w:p w14:paraId="3577751D" w14:textId="0C23585C"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2.1.1.1.1.6.1.12.</w:t>
      </w:r>
      <w:r w:rsidR="0009578D">
        <w:rPr>
          <w:rFonts w:ascii="Arial" w:eastAsia="Times New Roman" w:hAnsi="Arial" w:cs="Arial"/>
          <w:color w:val="000000"/>
          <w:lang w:eastAsia="es-CO"/>
        </w:rPr>
        <w:t xml:space="preserve"> </w:t>
      </w:r>
      <w:r w:rsidRPr="009342F9">
        <w:rPr>
          <w:rFonts w:ascii="Arial" w:eastAsia="Times New Roman" w:hAnsi="Arial" w:cs="Arial"/>
          <w:color w:val="000000"/>
          <w:lang w:eastAsia="es-CO"/>
        </w:rPr>
        <w:t>Desembolso y plazos para la promoción de oferta. Los recursos de los FOVIS para el Subsidio Familiar de Vivienda de Interés Social que se destinen a promoción de oferta serán desembolsados, una vez hayan sido aprobados los respectivos proyectos de vivienda de interés social por parte del Consejo Directivo de la respectiva Caja de Compensación Familiar.  </w:t>
      </w:r>
    </w:p>
    <w:p w14:paraId="42D497E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0D34B0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Los recursos de promoción de oferta destinados para desarrollar o adquirir proyectos de vivienda de interés social y para el otorgamiento de financiación a oferentes de proyectos y programas de vivienda de interés social deberán ser reintegrados al FOVIS en un plazo no mayor a veinticuatro (24) meses, contados a partir de la fecha de su desembolso, este plazo será de sesenta y cinco (65) meses en los casos en que sobre los proyectos desarrollados o adquiridos se aplique el subsidio familiar de vivienda en la modalidad de arrendamiento y arrendamiento con opción de compra, incluido el otorgado en el marco del programa Semillero de Propietarios. Los destinados para adquisición de lotes deberán ser reintegrados al FOVIS en un plazo no mayor a treinta y seis (36) meses, contados a partir de la fecha de su desembolso. Los destinados para programas integrales de renovación y redensificación urbana deberán ser reintegrados al FOVIS en un plazo no mayor a sesenta (60) meses, contados a partir de la fecha de su desembolso. Los destinados para otorgar créditos hipotecarios y microcréditos para adquisición de vivienda de interés social, deberán ser reintegrados al FOVIS en un plazo no mayor a trescientos sesenta (360) meses, contados a partir de la fecha de su desembolso. Los reintegros de los recursos se harán con los incrementos respectivos equivalentes a la variación del IPC.  </w:t>
      </w:r>
    </w:p>
    <w:p w14:paraId="74F1755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E30C23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Las Cajas de Compensación Familiar, podrán ampliar el plazo de reintegro al FOVIS de los recursos de promoción de oferta hasta por doce (12) meses adicionales mediante acuerdo expedido por su respectivo Consejo Directivo. Vencidos los términos antes mencionados, se causarán intereses de mora a la máxima tasa de interés permitida por la Superintendencia Financiera de Colombia hasta la fecha en que sean efectivamente reintegrados los recursos al FOVIS, los cuales serán igualmente pagados con recursos propios, sin perjuicio de la sanción por incumplimiento de que trata el parágrafo 1° del presente artículo.  </w:t>
      </w:r>
    </w:p>
    <w:p w14:paraId="5F975F7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D364DF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1°. El reintegro efectivo de los recursos en los términos totales de 36, 48, 72, 77 y 372 meses, a los que se hizo alusión en los incisos dos y tres del presente artículo, será requisito indispensable para acceder a nuevos recursos. En el evento en que se presente incumplimiento en los términos y condiciones establecidos en el presente artículo, las Cajas de Compensación Familiar no podrán acceder a nuevos recursos para promoción de oferta.  </w:t>
      </w:r>
    </w:p>
    <w:p w14:paraId="3758FE1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C19065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2°. La Superintendencia del Subsidio Familiar vigilará el cumplimiento de las condiciones establecidas en el presente artículo y los plazos de retorno de los recursos al FOVIS. Adicionalmente, cuando se incumplan los términos establecidos en el presente artículo, podrá exigir, en un plazo no mayor a sesenta (60) días, el reintegro de los recursos, sin perjuicio de las sanciones legales a que haya lugar.” </w:t>
      </w:r>
    </w:p>
    <w:p w14:paraId="744DC575" w14:textId="77777777" w:rsidR="00FC79C1" w:rsidRPr="009342F9" w:rsidRDefault="00FC79C1" w:rsidP="00FC79C1">
      <w:pPr>
        <w:spacing w:after="0" w:line="240" w:lineRule="auto"/>
        <w:jc w:val="both"/>
        <w:rPr>
          <w:rFonts w:ascii="Arial" w:eastAsia="Times New Roman" w:hAnsi="Arial" w:cs="Arial"/>
          <w:color w:val="000000"/>
          <w:lang w:eastAsia="es-CO"/>
        </w:rPr>
      </w:pPr>
    </w:p>
    <w:p w14:paraId="669D1E5A"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65" w:name="ver_30109322"/>
      <w:bookmarkEnd w:id="163"/>
      <w:bookmarkEnd w:id="164"/>
      <w:bookmarkEnd w:id="165"/>
      <w:r w:rsidRPr="009342F9">
        <w:rPr>
          <w:rFonts w:ascii="Arial" w:eastAsia="Times New Roman" w:hAnsi="Arial" w:cs="Arial"/>
          <w:color w:val="000000"/>
          <w:lang w:eastAsia="es-CO"/>
        </w:rPr>
        <w:t>Numeral 1. Distribución de recursos de los Fondos Obligatorios para la Vivienda de Interés Social (</w:t>
      </w:r>
      <w:proofErr w:type="spellStart"/>
      <w:r w:rsidRPr="009342F9">
        <w:rPr>
          <w:rFonts w:ascii="Arial" w:eastAsia="Times New Roman" w:hAnsi="Arial" w:cs="Arial"/>
          <w:color w:val="000000"/>
          <w:lang w:eastAsia="es-CO"/>
        </w:rPr>
        <w:t>Fovis</w:t>
      </w:r>
      <w:proofErr w:type="spellEnd"/>
      <w:r w:rsidRPr="009342F9">
        <w:rPr>
          <w:rFonts w:ascii="Arial" w:eastAsia="Times New Roman" w:hAnsi="Arial" w:cs="Arial"/>
          <w:color w:val="000000"/>
          <w:lang w:eastAsia="es-CO"/>
        </w:rPr>
        <w:t>) de las Cajas de Compensación Familiar, en el Territorio Nacional.</w:t>
      </w:r>
    </w:p>
    <w:p w14:paraId="34A23E7C"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66" w:name="ver_30167195"/>
      <w:bookmarkStart w:id="167" w:name="ver_30109329"/>
      <w:bookmarkEnd w:id="166"/>
    </w:p>
    <w:p w14:paraId="4F43E21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Artículo 2.1.1.1.1.6.1.1.1. Destinación de recursos apropiados en el Fondo para el Subsidio Familiar de Vivienda (</w:t>
      </w:r>
      <w:proofErr w:type="spellStart"/>
      <w:r w:rsidRPr="009342F9">
        <w:rPr>
          <w:rFonts w:ascii="Arial" w:eastAsia="Times New Roman" w:hAnsi="Arial" w:cs="Arial"/>
          <w:color w:val="000000"/>
          <w:lang w:eastAsia="es-CO"/>
        </w:rPr>
        <w:t>Fovis</w:t>
      </w:r>
      <w:proofErr w:type="spellEnd"/>
      <w:r w:rsidRPr="009342F9">
        <w:rPr>
          <w:rFonts w:ascii="Arial" w:eastAsia="Times New Roman" w:hAnsi="Arial" w:cs="Arial"/>
          <w:color w:val="000000"/>
          <w:lang w:eastAsia="es-CO"/>
        </w:rPr>
        <w:t xml:space="preserve">). A partir del mes siguiente a la entrada en vigencia de este numeral y por un término de treinta y seis (36) meses, las Cajas de Compensación Familiar (CCF) con </w:t>
      </w:r>
      <w:proofErr w:type="spellStart"/>
      <w:r w:rsidRPr="009342F9">
        <w:rPr>
          <w:rFonts w:ascii="Arial" w:eastAsia="Times New Roman" w:hAnsi="Arial" w:cs="Arial"/>
          <w:color w:val="000000"/>
          <w:lang w:eastAsia="es-CO"/>
        </w:rPr>
        <w:t>cuociente</w:t>
      </w:r>
      <w:proofErr w:type="spellEnd"/>
      <w:r w:rsidRPr="009342F9">
        <w:rPr>
          <w:rFonts w:ascii="Arial" w:eastAsia="Times New Roman" w:hAnsi="Arial" w:cs="Arial"/>
          <w:color w:val="000000"/>
          <w:lang w:eastAsia="es-CO"/>
        </w:rPr>
        <w:t xml:space="preserve"> de recaudo superior al 110%, que adicionalmente estén obligadas a apropiar el 20.5% de los aportes patronales al componente de vivienda, destinarán mensualmente el 15% de los recursos apropiados en el respectivo Fondo para el Subsidio Familiar de Vivienda (</w:t>
      </w:r>
      <w:proofErr w:type="spellStart"/>
      <w:r w:rsidRPr="009342F9">
        <w:rPr>
          <w:rFonts w:ascii="Arial" w:eastAsia="Times New Roman" w:hAnsi="Arial" w:cs="Arial"/>
          <w:color w:val="000000"/>
          <w:lang w:eastAsia="es-CO"/>
        </w:rPr>
        <w:t>Fovis</w:t>
      </w:r>
      <w:proofErr w:type="spellEnd"/>
      <w:r w:rsidRPr="009342F9">
        <w:rPr>
          <w:rFonts w:ascii="Arial" w:eastAsia="Times New Roman" w:hAnsi="Arial" w:cs="Arial"/>
          <w:color w:val="000000"/>
          <w:lang w:eastAsia="es-CO"/>
        </w:rPr>
        <w:t>) para la asignación de subsidios familiares de vivienda urbana en beneficio de hogares afiliados a otras CCF, que oferten proyectos de vivienda de interés social y/o prioritario que resulten seleccionados en las condiciones definidas en el presente Numeral. </w:t>
      </w:r>
    </w:p>
    <w:p w14:paraId="7A44FA9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34E978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1°. Los recursos que se destinen a los propósitos señalados en el presente artículo serán administrados de manera autónoma por cada una de las CCF obligadas a apropiarlos. </w:t>
      </w:r>
    </w:p>
    <w:p w14:paraId="3918B94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489272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2º. Los recursos que se destinen a los propósitos señalados en el presente artículo podrán ser destinados para actividades de promoción de oferta de vivienda de interés social, previstas en el artículo 2.1.1.1.1.6.1.10 de este decreto, solamente en los proyectos que resulten seleccionados de acuerdo con lo establecido en este Numeral, siempre y cuando la CCF posteriormente destine la totalidad de dichos recursos a la asignación de subsidios familiares de vivienda vinculados a los proyectos seleccionados de acuerdo con lo indicado en este numeral. </w:t>
      </w:r>
    </w:p>
    <w:p w14:paraId="1CAF996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79D9C0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3°. Los recursos que se destinen para los propósitos a que se refiere el presente artículo, y que no se encuentren vinculados a la ejecución de proyectos seleccionados de acuerdo con lo establecido en este numeral, dentro de los veinticuatro (24) meses siguientes a la finalización de los treinta y seis (36) meses señalados para la apropiación, deberán destinarse para atender a los hogares afiliados a la CCF que realizó la apropiación, de acuerdo con lo establecido en las normas vigentes. Lo mismo ocurrirá con los subsidios familiares de vivienda que se asignen de acuerdo con lo establecido en este numeral y que por cualquier razón no se legalicen dentro del término de su vigencia. </w:t>
      </w:r>
    </w:p>
    <w:p w14:paraId="1478741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C0985B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4°. Los recursos que, de acuerdo con lo establecido en este artículo, se destinen para la asignación de subsidios familiares de vivienda urbana en beneficio de hogares afiliados a otras CCF, no estarán sujetos a lo establecido en el artículo 2.1.1.1.1.6.1.8 del presente decreto. </w:t>
      </w:r>
    </w:p>
    <w:p w14:paraId="1ACB153F"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68" w:name="ver_30167197"/>
      <w:bookmarkStart w:id="169" w:name="ver_30109331"/>
      <w:bookmarkEnd w:id="167"/>
      <w:bookmarkEnd w:id="168"/>
    </w:p>
    <w:p w14:paraId="7BFAD13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2.1.1.1.1.6.1.1.2. Selección de proyectos de vivienda de interés social y/o prioritario. Las CCF que resulten obligadas a destinar el 15% de los recursos de sus </w:t>
      </w:r>
      <w:proofErr w:type="spellStart"/>
      <w:r w:rsidRPr="009342F9">
        <w:rPr>
          <w:rFonts w:ascii="Arial" w:eastAsia="Times New Roman" w:hAnsi="Arial" w:cs="Arial"/>
          <w:color w:val="000000"/>
          <w:lang w:eastAsia="es-CO"/>
        </w:rPr>
        <w:t>Fovis</w:t>
      </w:r>
      <w:proofErr w:type="spellEnd"/>
      <w:r w:rsidRPr="009342F9">
        <w:rPr>
          <w:rFonts w:ascii="Arial" w:eastAsia="Times New Roman" w:hAnsi="Arial" w:cs="Arial"/>
          <w:color w:val="000000"/>
          <w:lang w:eastAsia="es-CO"/>
        </w:rPr>
        <w:t>, para los propósitos señalados en el artículo 2.1.1.1.1.6.1.1.1 de este decreto, realizarán convocatorias tendientes a seleccionar proyectos de vivienda de interés social y/o prioritario, que cumplan las condiciones técnicas y jurídicas definidas por las CCF convocantes, y que se pretendan desarrollar en municipios diferentes a aquellos en que tengan jurisdicción estas últimas. </w:t>
      </w:r>
    </w:p>
    <w:p w14:paraId="60387E0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247869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Podrán ser oferentes de proyectos, en las convocatorias antes señaladas, las CCF no obligadas a destinar los recursos de que trata el artículo 2.1.1.1.1.6.1.1.1 de este decreto, siempre y cuando acrediten, ante las CCF convocantes, que cuentan, como mínimo, con los recursos y la capacidad necesarias para garantizar la dotación y operación de los equipamientos públicos mínimos requeridos para el proyecto, en la convocatoria. </w:t>
      </w:r>
    </w:p>
    <w:p w14:paraId="3D043E7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6DCC71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Las CCF convocantes serán responsables de verificar la viabilidad técnica, jurídica y financiera de los proyectos de vivienda que se postulen en el marco de los procesos de selección que adelanten, y deberán dar publicidad al proceso de evaluación de los proyectos, así como a los actos de selección de </w:t>
      </w:r>
      <w:proofErr w:type="gramStart"/>
      <w:r w:rsidRPr="009342F9">
        <w:rPr>
          <w:rFonts w:ascii="Arial" w:eastAsia="Times New Roman" w:hAnsi="Arial" w:cs="Arial"/>
          <w:color w:val="000000"/>
          <w:lang w:eastAsia="es-CO"/>
        </w:rPr>
        <w:t>los mismos</w:t>
      </w:r>
      <w:proofErr w:type="gramEnd"/>
      <w:r w:rsidRPr="009342F9">
        <w:rPr>
          <w:rFonts w:ascii="Arial" w:eastAsia="Times New Roman" w:hAnsi="Arial" w:cs="Arial"/>
          <w:color w:val="000000"/>
          <w:lang w:eastAsia="es-CO"/>
        </w:rPr>
        <w:t>. </w:t>
      </w:r>
    </w:p>
    <w:p w14:paraId="3ECE031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0584A8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Parágrafo. Las CCF que actúen como oferentes de proyectos de acuerdo con lo establecido en este numeral, únicamente para la formulación, supervisión y seguimiento de los mismos y hasta por el término de treinta y seis (36) meses contados a partir del mes siguiente a la entrada en vigencia de este numeral, podrán imputar a sus respectivos FOVIS el valor de los costos y gastos operativos en que incurran, sin exceder el 4% del valor correspondiente a las transferencias mensuales por concepto de aportes al FOVIS, con destino al subsidio familiar de vivienda de interés social, adicionales a los recursos a que se refiere el artículo 2.1.1.1.1.6.2.4 de este decreto, y tendrán las mismas condiciones de ejecución que los recursos a que se refiere el citado artículo, sin perjuicio de lo previsto en este decreto. </w:t>
      </w:r>
    </w:p>
    <w:bookmarkEnd w:id="169"/>
    <w:p w14:paraId="46C1AA67" w14:textId="77777777" w:rsidR="00FC79C1" w:rsidRPr="009342F9" w:rsidRDefault="00FC79C1" w:rsidP="00FC79C1">
      <w:pPr>
        <w:spacing w:after="0" w:line="240" w:lineRule="auto"/>
        <w:jc w:val="both"/>
        <w:rPr>
          <w:rFonts w:ascii="Arial" w:eastAsia="Times New Roman" w:hAnsi="Arial" w:cs="Arial"/>
          <w:color w:val="000000"/>
          <w:lang w:eastAsia="es-CO"/>
        </w:rPr>
      </w:pPr>
    </w:p>
    <w:p w14:paraId="06459040" w14:textId="5129AC3E"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2.1.1.1.1.6.1.1.3. Condiciones de acceso al subsidio familiar de vivienda. La(s) CCF(s) que actúe(n) como oferente(s) de los proyectos, deberá(n) verificar la existencia de hogares, que se encuentren afiliados a las CCF que tengan jurisdicción en el municipio en que se pretenda ejecutar, y que cumplan las condiciones establecidas en este Numeral, y en las demás disposiciones que sean aplicables, para ser beneficiarios de los subsidios familiares de vivienda. De conformidad con esta verificación, deberán definir el número de viviendas del proyecto postulado.  </w:t>
      </w:r>
    </w:p>
    <w:p w14:paraId="35BB8BD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6EF9CF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Las CCF convocantes revisarán las condiciones de la demanda potencial presentada por el postulante y podrán definir las condiciones en las cuales el número de viviendas del proyecto postulado puede ser modificado.  </w:t>
      </w:r>
    </w:p>
    <w:p w14:paraId="61660AA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2B4390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Los subsidios familiares de vivienda que se otorguen por parte de las CCF </w:t>
      </w:r>
      <w:proofErr w:type="gramStart"/>
      <w:r w:rsidRPr="009342F9">
        <w:rPr>
          <w:rFonts w:ascii="Arial" w:eastAsia="Times New Roman" w:hAnsi="Arial" w:cs="Arial"/>
          <w:color w:val="000000"/>
          <w:lang w:eastAsia="es-CO"/>
        </w:rPr>
        <w:t>convocantes,</w:t>
      </w:r>
      <w:proofErr w:type="gramEnd"/>
      <w:r w:rsidRPr="009342F9">
        <w:rPr>
          <w:rFonts w:ascii="Arial" w:eastAsia="Times New Roman" w:hAnsi="Arial" w:cs="Arial"/>
          <w:color w:val="000000"/>
          <w:lang w:eastAsia="es-CO"/>
        </w:rPr>
        <w:t xml:space="preserve"> deberán ser aplicados únicamente en la adquisición de las soluciones de vivienda ejecutadas o a ejecutar en el marco de los proyectos que resulten seleccionados de conformidad con lo establecido en este numeral.  </w:t>
      </w:r>
    </w:p>
    <w:p w14:paraId="76FCCBD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B259C9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Una vez seleccionados los proyectos, las CCF convocantes definirán a cuál de estas corresponderá la asignación de los subsidios familiares de vivienda de cada uno de ellos.  </w:t>
      </w:r>
    </w:p>
    <w:p w14:paraId="4CF5862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228679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En todo caso, la CCF a la cual le corresponda la asignación de los subsidios, de acuerdo con lo expuesto, será responsable de garantizar la disponibilidad de recursos para la asignación y desembolso de </w:t>
      </w:r>
      <w:proofErr w:type="gramStart"/>
      <w:r w:rsidRPr="009342F9">
        <w:rPr>
          <w:rFonts w:ascii="Arial" w:eastAsia="Times New Roman" w:hAnsi="Arial" w:cs="Arial"/>
          <w:color w:val="000000"/>
          <w:lang w:eastAsia="es-CO"/>
        </w:rPr>
        <w:t>los mismos</w:t>
      </w:r>
      <w:proofErr w:type="gramEnd"/>
      <w:r w:rsidRPr="009342F9">
        <w:rPr>
          <w:rFonts w:ascii="Arial" w:eastAsia="Times New Roman" w:hAnsi="Arial" w:cs="Arial"/>
          <w:color w:val="000000"/>
          <w:lang w:eastAsia="es-CO"/>
        </w:rPr>
        <w:t>, una vez se cumplan las condiciones señaladas en este Numeral y en las demás normas que resulten aplicables. </w:t>
      </w:r>
    </w:p>
    <w:p w14:paraId="72BA671E"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70" w:name="ver_30109338"/>
      <w:bookmarkEnd w:id="170"/>
    </w:p>
    <w:p w14:paraId="7412EEE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2.1.1.1.1.6.1.1.4. Beneficiarios del subsidio familiar de vivienda. Serán beneficiarios del Subsidio Familiar de Vivienda Urbana asignado en el marco del presente Numeral, los hogares afiliados a las CCF con ingresos no superiores a cuatro (4) Salarios Mínimos Mensuales Legales Vigentes (</w:t>
      </w:r>
      <w:proofErr w:type="spellStart"/>
      <w:r w:rsidRPr="009342F9">
        <w:rPr>
          <w:rFonts w:ascii="Arial" w:eastAsia="Times New Roman" w:hAnsi="Arial" w:cs="Arial"/>
          <w:color w:val="000000"/>
          <w:lang w:eastAsia="es-CO"/>
        </w:rPr>
        <w:t>smlmv</w:t>
      </w:r>
      <w:proofErr w:type="spellEnd"/>
      <w:r w:rsidRPr="009342F9">
        <w:rPr>
          <w:rFonts w:ascii="Arial" w:eastAsia="Times New Roman" w:hAnsi="Arial" w:cs="Arial"/>
          <w:color w:val="000000"/>
          <w:lang w:eastAsia="es-CO"/>
        </w:rPr>
        <w:t>), que cumplan con los requisitos y condiciones establecidas en los artículos 2.1.1.1.1.3.3.1.1. y 2.1.1.1.1.3.3.1.2. del presente decreto.  </w:t>
      </w:r>
    </w:p>
    <w:p w14:paraId="1563B0E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C86E63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El monto del subsidio familiar de </w:t>
      </w:r>
      <w:proofErr w:type="gramStart"/>
      <w:r w:rsidRPr="009342F9">
        <w:rPr>
          <w:rFonts w:ascii="Arial" w:eastAsia="Times New Roman" w:hAnsi="Arial" w:cs="Arial"/>
          <w:color w:val="000000"/>
          <w:lang w:eastAsia="es-CO"/>
        </w:rPr>
        <w:t>vivienda,</w:t>
      </w:r>
      <w:proofErr w:type="gramEnd"/>
      <w:r w:rsidRPr="009342F9">
        <w:rPr>
          <w:rFonts w:ascii="Arial" w:eastAsia="Times New Roman" w:hAnsi="Arial" w:cs="Arial"/>
          <w:color w:val="000000"/>
          <w:lang w:eastAsia="es-CO"/>
        </w:rPr>
        <w:t xml:space="preserve"> se establecerá de conformidad con el rango de ingresos del hogar, de conformidad con lo dispuesto en el artículo 2.1.1.1.1.1.8. del Presente decreto o la norma que lo modifique, adicione o sustituya. </w:t>
      </w:r>
    </w:p>
    <w:p w14:paraId="11F3A8A9"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71" w:name="ver_30167201"/>
      <w:bookmarkStart w:id="172" w:name="ver_30109339"/>
      <w:bookmarkEnd w:id="171"/>
    </w:p>
    <w:p w14:paraId="4B9A28F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2.1.1.1.1.6.1.1.5. Valor del subsidio familiar de vivienda. Los subsidios familiares de vivienda se asignarán de conformidad con los ingresos del hogar beneficiario, así:  </w:t>
      </w:r>
    </w:p>
    <w:p w14:paraId="47D2CB8A" w14:textId="77777777" w:rsidR="00C821B4" w:rsidRDefault="00C821B4" w:rsidP="00FC79C1">
      <w:pPr>
        <w:spacing w:after="0" w:line="240" w:lineRule="auto"/>
        <w:jc w:val="both"/>
        <w:rPr>
          <w:rFonts w:ascii="Arial" w:eastAsia="Times New Roman" w:hAnsi="Arial" w:cs="Arial"/>
          <w:color w:val="000000"/>
          <w:lang w:eastAsia="es-CO"/>
        </w:rPr>
      </w:pPr>
    </w:p>
    <w:p w14:paraId="7421A5AD" w14:textId="1D5B04C5"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 A los hogares con ingresos de hasta dos (2) SMLMV, se asignará un subsidio fa</w:t>
      </w:r>
      <w:r w:rsidRPr="009342F9">
        <w:rPr>
          <w:rFonts w:ascii="Arial" w:eastAsia="Times New Roman" w:hAnsi="Arial" w:cs="Arial"/>
          <w:color w:val="000000"/>
          <w:lang w:eastAsia="es-CO"/>
        </w:rPr>
        <w:softHyphen/>
        <w:t>miliar de vivienda por valor de hasta treinta (30) SMLMV;  </w:t>
      </w:r>
    </w:p>
    <w:p w14:paraId="6826E302" w14:textId="77777777" w:rsidR="00C821B4" w:rsidRDefault="00C821B4" w:rsidP="00FC79C1">
      <w:pPr>
        <w:spacing w:after="0" w:line="240" w:lineRule="auto"/>
        <w:jc w:val="both"/>
        <w:rPr>
          <w:rFonts w:ascii="Arial" w:eastAsia="Times New Roman" w:hAnsi="Arial" w:cs="Arial"/>
          <w:color w:val="000000"/>
          <w:lang w:eastAsia="es-CO"/>
        </w:rPr>
      </w:pPr>
    </w:p>
    <w:p w14:paraId="49DDCEEA" w14:textId="7CD73C0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b) A los hogares con ingresos superiores a dos (2) y hasta cuatro (4) SMLMV, se asignará un subsidio familiar de vivienda por valor de hasta veinte (20) SMLMV.  </w:t>
      </w:r>
    </w:p>
    <w:p w14:paraId="3F8968DC" w14:textId="77777777" w:rsidR="00C821B4" w:rsidRDefault="00C821B4" w:rsidP="00FC79C1">
      <w:pPr>
        <w:spacing w:after="0" w:line="240" w:lineRule="auto"/>
        <w:jc w:val="both"/>
        <w:rPr>
          <w:rFonts w:ascii="Arial" w:eastAsia="Times New Roman" w:hAnsi="Arial" w:cs="Arial"/>
          <w:color w:val="000000"/>
          <w:lang w:eastAsia="es-CO"/>
        </w:rPr>
      </w:pPr>
    </w:p>
    <w:p w14:paraId="5D57C497" w14:textId="36DFB758"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El subsidio familiar de vivienda al que hace referencia el presente artículo podrá aplicarse únicamente para la adquisición de vivienda de interés social urbana nueva. </w:t>
      </w:r>
    </w:p>
    <w:p w14:paraId="0B1DD00B" w14:textId="77777777" w:rsidR="00FC79C1" w:rsidRPr="009342F9" w:rsidRDefault="00FC79C1" w:rsidP="00FC79C1">
      <w:pPr>
        <w:spacing w:after="0" w:line="240" w:lineRule="auto"/>
        <w:jc w:val="both"/>
        <w:rPr>
          <w:rFonts w:ascii="Arial" w:eastAsia="Times New Roman" w:hAnsi="Arial" w:cs="Arial"/>
          <w:color w:val="000000"/>
          <w:lang w:eastAsia="es-CO"/>
        </w:rPr>
      </w:pPr>
    </w:p>
    <w:p w14:paraId="3CE29508"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73" w:name="ver_30167208"/>
      <w:bookmarkStart w:id="174" w:name="ver_30109341"/>
      <w:bookmarkEnd w:id="172"/>
      <w:bookmarkEnd w:id="173"/>
      <w:r w:rsidRPr="009342F9">
        <w:rPr>
          <w:rFonts w:ascii="Arial" w:eastAsia="Times New Roman" w:hAnsi="Arial" w:cs="Arial"/>
          <w:color w:val="000000"/>
          <w:lang w:eastAsia="es-CO"/>
        </w:rPr>
        <w:t>Artículo 2.1.1.1.1.6.1.1.6. Postulación al subsidio familiar de vivienda. El proceso de postulación al subsidio familiar de vivienda de que trata este numeral, será realizado por la CCF a la que se encuentre afiliado el hogar y que sea oferente del proyecto de vivienda que haya resultado seleccionado de conformidad con lo establecido en este numeral, con excepción de lo establecido en el artículo 2.1.1.1.1.6.1.1.10 de este decreto.  </w:t>
      </w:r>
    </w:p>
    <w:p w14:paraId="34B35D2F" w14:textId="77777777" w:rsidR="00C821B4" w:rsidRDefault="00C821B4" w:rsidP="00FC79C1">
      <w:pPr>
        <w:spacing w:after="0" w:line="240" w:lineRule="auto"/>
        <w:jc w:val="both"/>
        <w:rPr>
          <w:rFonts w:ascii="Arial" w:eastAsia="Times New Roman" w:hAnsi="Arial" w:cs="Arial"/>
          <w:color w:val="000000"/>
          <w:lang w:eastAsia="es-CO"/>
        </w:rPr>
      </w:pPr>
    </w:p>
    <w:p w14:paraId="5B7C2640" w14:textId="15889B1D" w:rsidR="00FC79C1"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 información de las postulaciones será remitida a las CCF convocantes, dentro de los doce (12) meses siguientes a la suscripción del convenio entre las CCF convocantes y oferentes, acompañada de una certificación de auditoría interna respectiva, en que se dé constancia que todos los hogares postulantes cumplieron con los requisitos establecidos en el presente numeral y los señalados en los artículos 2.1.1.1.1.3.3.1.1 y 2.1.1.1.1.3.3.1.2 del presente decreto o las normas que lo modifiquen, adicionen o sustituya.  </w:t>
      </w:r>
    </w:p>
    <w:p w14:paraId="1AF48D29" w14:textId="77777777" w:rsidR="009342F9" w:rsidRPr="009342F9" w:rsidRDefault="009342F9" w:rsidP="00FC79C1">
      <w:pPr>
        <w:spacing w:after="0" w:line="240" w:lineRule="auto"/>
        <w:jc w:val="both"/>
        <w:rPr>
          <w:rFonts w:ascii="Arial" w:eastAsia="Times New Roman" w:hAnsi="Arial" w:cs="Arial"/>
          <w:color w:val="000000"/>
          <w:lang w:eastAsia="es-CO"/>
        </w:rPr>
      </w:pPr>
    </w:p>
    <w:p w14:paraId="44D456FE" w14:textId="0EB31021"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Cuando el número de hogares postulados supere el número de viviendas del proyecto seleccionado, la CCF encargada de asignar los subsidios calificará las postulaciones presentadas, utilizando la fórmula establecida en el artículo 2.1.1.1.1.4.1.3 del presente decreto, para determinar cuáles son los hogares que deberán ser beneficiarios de la asignación.  </w:t>
      </w:r>
    </w:p>
    <w:p w14:paraId="067E8C3F" w14:textId="77777777" w:rsidR="00FC79C1" w:rsidRPr="009342F9" w:rsidRDefault="00FC79C1" w:rsidP="00FC79C1">
      <w:pPr>
        <w:spacing w:after="0" w:line="240" w:lineRule="auto"/>
        <w:jc w:val="both"/>
        <w:rPr>
          <w:rFonts w:ascii="Arial" w:eastAsia="Times New Roman" w:hAnsi="Arial" w:cs="Arial"/>
          <w:color w:val="000000"/>
          <w:lang w:eastAsia="es-CO"/>
        </w:rPr>
      </w:pPr>
    </w:p>
    <w:p w14:paraId="211A1DC6" w14:textId="3FD70096"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1°. En caso de renuncias al subsidio familiar de vivienda, los oferentes podrán solicitar la sustitución de los hogares ante la Caja de Compensación Familiar otorgante del mismo, con aquellos que se encuentren postulados y calificados o con los resultantes de nuevas postulaciones.  </w:t>
      </w:r>
    </w:p>
    <w:p w14:paraId="363E6112" w14:textId="77777777" w:rsidR="00FC79C1" w:rsidRPr="009342F9" w:rsidRDefault="00FC79C1" w:rsidP="00FC79C1">
      <w:pPr>
        <w:spacing w:after="0" w:line="240" w:lineRule="auto"/>
        <w:jc w:val="both"/>
        <w:rPr>
          <w:rFonts w:ascii="Arial" w:eastAsia="Times New Roman" w:hAnsi="Arial" w:cs="Arial"/>
          <w:color w:val="000000"/>
          <w:lang w:eastAsia="es-CO"/>
        </w:rPr>
      </w:pPr>
    </w:p>
    <w:p w14:paraId="01F5040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2°. Las CCF convocantes podrán prorrogar el plazo establecido para la remisión de las postulaciones, sin que en ningún caso exceda de veinticuatro (24) meses contados a partir de la suscripción del convenio entre las CCF convocantes y oferentes, por solicitud de las CCF oferentes y aprobada por las CCF convocantes”.  </w:t>
      </w:r>
    </w:p>
    <w:p w14:paraId="004AEA33"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75" w:name="ver_30109343"/>
      <w:bookmarkEnd w:id="174"/>
      <w:bookmarkEnd w:id="175"/>
    </w:p>
    <w:p w14:paraId="550761A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2.1.1.1.1.6.1.1.7. Vigencia del subsidio familiar de vivienda. La vigencia de los subsidios familiares de vivienda otorgados de conformidad con lo dispuesto en el presente Numeral será la señalada en el artículo 2.1.1.1.1.4.2.5 del presente decreto. La asignación de </w:t>
      </w:r>
      <w:proofErr w:type="gramStart"/>
      <w:r w:rsidRPr="009342F9">
        <w:rPr>
          <w:rFonts w:ascii="Arial" w:eastAsia="Times New Roman" w:hAnsi="Arial" w:cs="Arial"/>
          <w:color w:val="000000"/>
          <w:lang w:eastAsia="es-CO"/>
        </w:rPr>
        <w:t>los mismos</w:t>
      </w:r>
      <w:proofErr w:type="gramEnd"/>
      <w:r w:rsidRPr="009342F9">
        <w:rPr>
          <w:rFonts w:ascii="Arial" w:eastAsia="Times New Roman" w:hAnsi="Arial" w:cs="Arial"/>
          <w:color w:val="000000"/>
          <w:lang w:eastAsia="es-CO"/>
        </w:rPr>
        <w:t xml:space="preserve"> deberá realizarse a más tardar cuatro (4) meses antes del plazo previsto para la terminación de las viviendas, de acuerdo con lo establecido en la convocatoria realizada de acuerdo con lo dispuesto en el artículo 2.1.1.1.1.6.1.1.2 de este decreto. </w:t>
      </w:r>
    </w:p>
    <w:p w14:paraId="4B05A179"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76" w:name="ver_30109346"/>
      <w:bookmarkEnd w:id="176"/>
    </w:p>
    <w:p w14:paraId="32106B2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2.1.1.1.1.6.1.1.8. Inspección, vigilancia y control. La Superintendencia de Subsidio Familiar ejercerá, en cualquier momento, sus facultades de inspección, vigilancia y control sobre la aplicación de recursos de que trata el presente Numeral. </w:t>
      </w:r>
    </w:p>
    <w:p w14:paraId="76C1F2AE"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77" w:name="ver_30109347"/>
      <w:bookmarkEnd w:id="177"/>
    </w:p>
    <w:p w14:paraId="0987E41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2.1.1.1.1.6.1.1.9. Aplicación de la sección 2.1.1.1.1 del presente decreto. Se dará aplicación a lo dispuesto en las demás disposiciones de la sección 2.1.1.1.1 del presente decreto y las normas que la modifiquen, adicionen o sustituyan, siempre y cuando no contraríen las disposiciones del presente Numeral”. </w:t>
      </w:r>
    </w:p>
    <w:p w14:paraId="3D4608F8" w14:textId="77777777" w:rsidR="00FC79C1" w:rsidRPr="009342F9" w:rsidRDefault="00FC79C1" w:rsidP="00FC79C1">
      <w:pPr>
        <w:spacing w:after="0" w:line="240" w:lineRule="auto"/>
        <w:jc w:val="both"/>
        <w:rPr>
          <w:rFonts w:ascii="Arial" w:eastAsia="Times New Roman" w:hAnsi="Arial" w:cs="Arial"/>
          <w:color w:val="000000"/>
          <w:lang w:eastAsia="es-CO"/>
        </w:rPr>
      </w:pPr>
    </w:p>
    <w:p w14:paraId="347FCDB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Artículo 2.1.1.1.1.6.1.1.10. Asignación de subsidios familiares de vivienda a afiliados de otras Cajas de Compensación Familiar. En el evento de no existir suficientes hogares que cumplan con los requisitos establecidos en el artículo 2.1.1.1.1.6.1.1.4 del presente decreto afiliados a la CCF oferente, esta podrá asignar subsidios familiares de vivienda a hogares afiliados a otra CCF de la región, siempre y cuando la CCF oferente adelante los trámites de postulación establecidos en el artículo 2.1.1.1.1.6.1.1.6 del presente decreto </w:t>
      </w:r>
    </w:p>
    <w:p w14:paraId="11145FD3" w14:textId="55ACE1CA" w:rsidR="00FC79C1" w:rsidRPr="009342F9" w:rsidRDefault="00FC79C1" w:rsidP="00FC79C1">
      <w:pPr>
        <w:spacing w:after="0" w:line="240" w:lineRule="auto"/>
        <w:jc w:val="center"/>
        <w:rPr>
          <w:rFonts w:ascii="Arial" w:eastAsia="Times New Roman" w:hAnsi="Arial" w:cs="Arial"/>
          <w:b/>
          <w:bCs/>
          <w:color w:val="000000"/>
          <w:lang w:eastAsia="es-CO"/>
        </w:rPr>
      </w:pPr>
      <w:bookmarkStart w:id="178" w:name="ver_30069146"/>
      <w:bookmarkEnd w:id="178"/>
    </w:p>
    <w:p w14:paraId="28AE1D40" w14:textId="46038BBB" w:rsidR="00FC79C1" w:rsidRPr="009342F9" w:rsidRDefault="00FC79C1" w:rsidP="00FC79C1">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SUB-SUBSECCIÓN 2</w:t>
      </w:r>
    </w:p>
    <w:p w14:paraId="3AA4D96C" w14:textId="77777777" w:rsidR="00FC79C1" w:rsidRPr="009342F9" w:rsidRDefault="00FC79C1" w:rsidP="00FC79C1">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DEL SEGUIMIENTO A LA EJECUCIÓN DE LOS RECURSOS DE LOS FONDOS PARA EL SUBSIDIO FAMILIAR DE VIVIENDA DE INTERÉS SOCIAL DE LAS CAJAS DE COMPENSACIÓN FAMILIAR</w:t>
      </w:r>
    </w:p>
    <w:p w14:paraId="6135CE69"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79" w:name="ver_30069147"/>
      <w:bookmarkEnd w:id="179"/>
    </w:p>
    <w:p w14:paraId="683C8B9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2.1.1.1.1.6.2.1. Obligación de reporte. Las Cajas de Compensación Familiar reportarán obligatoriamente a la Superintendencia del Subsidio Familiar, en las condiciones y fechas que esta defina, los estados financieros con el visto bueno de los respectivos revisores fiscales y la información estadística de la vigencia anterior que para el efecto solicite dicha entidad. </w:t>
      </w:r>
    </w:p>
    <w:p w14:paraId="75C47DA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E14EF9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Los recursos parafiscales administrados por las Cajas de Compensación Familiar y destinados a proyectos de inversión en vivienda, independiente de los recursos del respectivo </w:t>
      </w:r>
      <w:proofErr w:type="spellStart"/>
      <w:r w:rsidRPr="009342F9">
        <w:rPr>
          <w:rFonts w:ascii="Arial" w:eastAsia="Times New Roman" w:hAnsi="Arial" w:cs="Arial"/>
          <w:color w:val="000000"/>
          <w:lang w:eastAsia="es-CO"/>
        </w:rPr>
        <w:t>Fovis</w:t>
      </w:r>
      <w:proofErr w:type="spellEnd"/>
      <w:r w:rsidRPr="009342F9">
        <w:rPr>
          <w:rFonts w:ascii="Arial" w:eastAsia="Times New Roman" w:hAnsi="Arial" w:cs="Arial"/>
          <w:color w:val="000000"/>
          <w:lang w:eastAsia="es-CO"/>
        </w:rPr>
        <w:t>, deberán ser reportados trimestralmente a la Superintendencia de Subsidio Familiar especificando los servicios que ofrecen a sus afiliados y el estado de ejecución de los proyectos que adelante, el valor de la vivienda y el número de afiliados beneficiarios de la vivienda discriminado por rango de ingresos. </w:t>
      </w:r>
    </w:p>
    <w:p w14:paraId="42E3653D" w14:textId="24844F58"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80" w:name="ver_30069148"/>
      <w:bookmarkEnd w:id="180"/>
    </w:p>
    <w:p w14:paraId="28AFB20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2.1.1.1.1.6.2.2. Reporte de la gestión administrativa de los </w:t>
      </w:r>
      <w:proofErr w:type="spellStart"/>
      <w:r w:rsidRPr="009342F9">
        <w:rPr>
          <w:rFonts w:ascii="Arial" w:eastAsia="Times New Roman" w:hAnsi="Arial" w:cs="Arial"/>
          <w:color w:val="000000"/>
          <w:lang w:eastAsia="es-CO"/>
        </w:rPr>
        <w:t>Fovis</w:t>
      </w:r>
      <w:proofErr w:type="spellEnd"/>
      <w:r w:rsidRPr="009342F9">
        <w:rPr>
          <w:rFonts w:ascii="Arial" w:eastAsia="Times New Roman" w:hAnsi="Arial" w:cs="Arial"/>
          <w:color w:val="000000"/>
          <w:lang w:eastAsia="es-CO"/>
        </w:rPr>
        <w:t xml:space="preserve">. Las Cajas de Compensación Familiar presentarán a la Superintendencia del Subsidio Familiar dentro de los veinte (20) días siguientes al vencimiento de cada trimestre calendario, informes consolidados sobre la gestión de administración por ellas realizada respecto de los </w:t>
      </w:r>
      <w:proofErr w:type="spellStart"/>
      <w:r w:rsidRPr="009342F9">
        <w:rPr>
          <w:rFonts w:ascii="Arial" w:eastAsia="Times New Roman" w:hAnsi="Arial" w:cs="Arial"/>
          <w:color w:val="000000"/>
          <w:lang w:eastAsia="es-CO"/>
        </w:rPr>
        <w:t>Fovis</w:t>
      </w:r>
      <w:proofErr w:type="spellEnd"/>
      <w:r w:rsidRPr="009342F9">
        <w:rPr>
          <w:rFonts w:ascii="Arial" w:eastAsia="Times New Roman" w:hAnsi="Arial" w:cs="Arial"/>
          <w:color w:val="000000"/>
          <w:lang w:eastAsia="es-CO"/>
        </w:rPr>
        <w:t>, discriminando las diferentes apropiaciones de ley, conforme a los formatos que para el efecto expida la mencionada Superintendencia. </w:t>
      </w:r>
    </w:p>
    <w:p w14:paraId="774C5F7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7F87F8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todo caso, los informes deberán contener como mínimo, lo siguiente: </w:t>
      </w:r>
    </w:p>
    <w:p w14:paraId="23402EC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04FB45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 El balance y estado de resultado y flujo de fondos de los </w:t>
      </w:r>
      <w:proofErr w:type="spellStart"/>
      <w:r w:rsidRPr="009342F9">
        <w:rPr>
          <w:rFonts w:ascii="Arial" w:eastAsia="Times New Roman" w:hAnsi="Arial" w:cs="Arial"/>
          <w:color w:val="000000"/>
          <w:lang w:eastAsia="es-CO"/>
        </w:rPr>
        <w:t>Fovis</w:t>
      </w:r>
      <w:proofErr w:type="spellEnd"/>
      <w:r w:rsidRPr="009342F9">
        <w:rPr>
          <w:rFonts w:ascii="Arial" w:eastAsia="Times New Roman" w:hAnsi="Arial" w:cs="Arial"/>
          <w:color w:val="000000"/>
          <w:lang w:eastAsia="es-CO"/>
        </w:rPr>
        <w:t>; </w:t>
      </w:r>
    </w:p>
    <w:p w14:paraId="3CC5D62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CB575B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b) El monto de las apropiaciones mensuales para los </w:t>
      </w:r>
      <w:proofErr w:type="spellStart"/>
      <w:r w:rsidRPr="009342F9">
        <w:rPr>
          <w:rFonts w:ascii="Arial" w:eastAsia="Times New Roman" w:hAnsi="Arial" w:cs="Arial"/>
          <w:color w:val="000000"/>
          <w:lang w:eastAsia="es-CO"/>
        </w:rPr>
        <w:t>Fovis</w:t>
      </w:r>
      <w:proofErr w:type="spellEnd"/>
      <w:r w:rsidRPr="009342F9">
        <w:rPr>
          <w:rFonts w:ascii="Arial" w:eastAsia="Times New Roman" w:hAnsi="Arial" w:cs="Arial"/>
          <w:color w:val="000000"/>
          <w:lang w:eastAsia="es-CO"/>
        </w:rPr>
        <w:t xml:space="preserve"> discriminando los recursos correspondientes al Subsidio de Vivienda de Interés Social y al resto de apropiaciones; </w:t>
      </w:r>
    </w:p>
    <w:p w14:paraId="2871449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C60682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 El portafolio de inversiones de los recursos para el Subsidio Familiar de Vivienda con sus respectivos rendimientos y vigencias; </w:t>
      </w:r>
    </w:p>
    <w:p w14:paraId="3987CB0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9857E6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d) El monto de los recursos del Subsidio Familiar de Vivienda reintegrados por concepto de promoción de oferta; </w:t>
      </w:r>
    </w:p>
    <w:p w14:paraId="014DFBC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7BFA42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 Los reintegros por vencimientos, renuncias y reembolsos del Subsidio Familiar de Vivienda; </w:t>
      </w:r>
    </w:p>
    <w:p w14:paraId="7E0A51B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CEE29D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f) El monto correspondiente a las asignaciones del Subsidio Familiar de Vivienda, pagos de subsidios, subsidios por pagar, desembolsos de promoción de oferta y el monto destinado a los gastos administrativos del fondo, discriminando el valor de la vivienda, la modalidad de asignación e ingresos del hogar postulante; </w:t>
      </w:r>
    </w:p>
    <w:p w14:paraId="07C7260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E0B5C3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xml:space="preserve">g) El monto correspondiente a los recursos destinados a crédito hipotecario y microcrédito de vivienda provenientes de los recursos de la línea de redescuento de Findeter y de otros fondos diferentes de los </w:t>
      </w:r>
      <w:proofErr w:type="spellStart"/>
      <w:r w:rsidRPr="009342F9">
        <w:rPr>
          <w:rFonts w:ascii="Arial" w:eastAsia="Times New Roman" w:hAnsi="Arial" w:cs="Arial"/>
          <w:color w:val="000000"/>
          <w:lang w:eastAsia="es-CO"/>
        </w:rPr>
        <w:t>Fovis</w:t>
      </w:r>
      <w:proofErr w:type="spellEnd"/>
      <w:r w:rsidRPr="009342F9">
        <w:rPr>
          <w:rFonts w:ascii="Arial" w:eastAsia="Times New Roman" w:hAnsi="Arial" w:cs="Arial"/>
          <w:color w:val="000000"/>
          <w:lang w:eastAsia="es-CO"/>
        </w:rPr>
        <w:t>; </w:t>
      </w:r>
    </w:p>
    <w:p w14:paraId="14DDC39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AA5130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h) Nombre de los proyectos o lotes para vivienda de interés social, su ubicación, número de viviendas y valor de </w:t>
      </w:r>
      <w:proofErr w:type="gramStart"/>
      <w:r w:rsidRPr="009342F9">
        <w:rPr>
          <w:rFonts w:ascii="Arial" w:eastAsia="Times New Roman" w:hAnsi="Arial" w:cs="Arial"/>
          <w:color w:val="000000"/>
          <w:lang w:eastAsia="es-CO"/>
        </w:rPr>
        <w:t>las mismas</w:t>
      </w:r>
      <w:proofErr w:type="gramEnd"/>
      <w:r w:rsidRPr="009342F9">
        <w:rPr>
          <w:rFonts w:ascii="Arial" w:eastAsia="Times New Roman" w:hAnsi="Arial" w:cs="Arial"/>
          <w:color w:val="000000"/>
          <w:lang w:eastAsia="es-CO"/>
        </w:rPr>
        <w:t>, área por unidad de construcción, monto de los recursos aprobados y fechas de desembolso y reintegro de los recursos. </w:t>
      </w:r>
    </w:p>
    <w:p w14:paraId="49D8D77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ECE4F0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1°. Las Cajas de Compensación Familiar deberán reportar a la Superintendencia del Subsidio Familiar, dentro de los diez (10) primeros días de cada mes, las asignaciones del subsidio familiar de vivienda por número y valor, por modalidad de vivienda, por nivel de ingreso y por municipios, realizadas durante el mes inmediatamente anterior. La Superintendencia del Subsidio Familiar deberá consolidar la información y remitir la misma dentro de los diez (10) días siguientes al Ministerio de Vivienda, Ciudad y Territorio. </w:t>
      </w:r>
    </w:p>
    <w:p w14:paraId="6BBAFA9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F2B4E8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Parágrafo 2°. Las Cajas de Compensación Familiar deberán informar trimestralmente a la Superintendencia del Subsidio Familiar, sobre los recursos destinados a otorgar crédito o microcréditos para ser aplicados en proyectos de vivienda, así constituyan recursos independientes del respectivo </w:t>
      </w:r>
      <w:proofErr w:type="spellStart"/>
      <w:r w:rsidRPr="009342F9">
        <w:rPr>
          <w:rFonts w:ascii="Arial" w:eastAsia="Times New Roman" w:hAnsi="Arial" w:cs="Arial"/>
          <w:color w:val="000000"/>
          <w:lang w:eastAsia="es-CO"/>
        </w:rPr>
        <w:t>Fovis</w:t>
      </w:r>
      <w:proofErr w:type="spellEnd"/>
      <w:r w:rsidRPr="009342F9">
        <w:rPr>
          <w:rFonts w:ascii="Arial" w:eastAsia="Times New Roman" w:hAnsi="Arial" w:cs="Arial"/>
          <w:color w:val="000000"/>
          <w:lang w:eastAsia="es-CO"/>
        </w:rPr>
        <w:t xml:space="preserve"> y sobre aquellos aplicados a la inversión en proyectos de vivienda u otros servicios o inversiones relacionadas con el sector habitacional que ofrezcan a sus afiliados o a terceros, de conformidad con lo establecido en la ley. En el caso de recursos destinados a otorgar crédito o microcrédito, el informe deberá señalar expresamente cuáles de ellos constituyeron recursos complementarios al subsidio familiar de vivienda de interés social. Así mismo, reportarán los recursos provenientes de los cupos de redescuento asignados a cada Caja de Compensación Familiar por la Financiera de Desarrollo Territorial, Findeter, y su utilización en la financiación de crédito hipotecario o microcrédito para la vivienda de interés social. </w:t>
      </w:r>
    </w:p>
    <w:p w14:paraId="3B70D11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212017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El informe incluirá el estado de ejecución de los proyectos de vivienda que adelanten, el valor de la vivienda a los que han sido aplicados los recursos, así como el número de afiliados beneficiarios de la vivienda discriminados por ingresos, de conformidad con los requisitos que se establezcan para el Sistema Nacional de Información de Vivienda y para el Sistema de Información del Subsidio. </w:t>
      </w:r>
    </w:p>
    <w:p w14:paraId="37CE650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407A0A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 Superintendencia del Subsidio Familiar deberá consolidar la información y remitir la misma dentro de los diez (10) días siguientes al Ministerio de Vivienda, Ciudad y Territorio. </w:t>
      </w:r>
    </w:p>
    <w:p w14:paraId="74D6886D" w14:textId="77777777" w:rsidR="009342F9" w:rsidRDefault="009342F9" w:rsidP="00FC79C1">
      <w:pPr>
        <w:spacing w:after="0" w:line="240" w:lineRule="auto"/>
        <w:jc w:val="both"/>
        <w:rPr>
          <w:rFonts w:ascii="Arial" w:eastAsia="Times New Roman" w:hAnsi="Arial" w:cs="Arial"/>
          <w:color w:val="000000"/>
          <w:lang w:eastAsia="es-CO"/>
        </w:rPr>
      </w:pPr>
      <w:bookmarkStart w:id="181" w:name="ver_30069149"/>
      <w:bookmarkEnd w:id="181"/>
    </w:p>
    <w:p w14:paraId="060079F4" w14:textId="3D7962F8"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2.1.1.1.1.6.2.3. Seguimiento a la gestión administrativa de los </w:t>
      </w:r>
      <w:proofErr w:type="spellStart"/>
      <w:r w:rsidRPr="009342F9">
        <w:rPr>
          <w:rFonts w:ascii="Arial" w:eastAsia="Times New Roman" w:hAnsi="Arial" w:cs="Arial"/>
          <w:color w:val="000000"/>
          <w:lang w:eastAsia="es-CO"/>
        </w:rPr>
        <w:t>Fovis</w:t>
      </w:r>
      <w:proofErr w:type="spellEnd"/>
      <w:r w:rsidRPr="009342F9">
        <w:rPr>
          <w:rFonts w:ascii="Arial" w:eastAsia="Times New Roman" w:hAnsi="Arial" w:cs="Arial"/>
          <w:color w:val="000000"/>
          <w:lang w:eastAsia="es-CO"/>
        </w:rPr>
        <w:t>. La Superintendencia del Subsidio Familiar evaluará trimestralmente, de acuerdo con los informes de que trata el artículo anterior, la gestión de las Cajas de Compensación Familiar en la participación de la ejecución de la Política Nacional de Vivienda de Interés Social. </w:t>
      </w:r>
    </w:p>
    <w:p w14:paraId="0EF50A3C" w14:textId="73DE9A01"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82" w:name="ver_30069150"/>
      <w:bookmarkEnd w:id="182"/>
    </w:p>
    <w:p w14:paraId="6996555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2.1.1.1.1.6.2.4. De los recursos para la administración de los </w:t>
      </w:r>
      <w:proofErr w:type="spellStart"/>
      <w:r w:rsidRPr="009342F9">
        <w:rPr>
          <w:rFonts w:ascii="Arial" w:eastAsia="Times New Roman" w:hAnsi="Arial" w:cs="Arial"/>
          <w:color w:val="000000"/>
          <w:lang w:eastAsia="es-CO"/>
        </w:rPr>
        <w:t>Fovis</w:t>
      </w:r>
      <w:proofErr w:type="spellEnd"/>
      <w:r w:rsidRPr="009342F9">
        <w:rPr>
          <w:rFonts w:ascii="Arial" w:eastAsia="Times New Roman" w:hAnsi="Arial" w:cs="Arial"/>
          <w:color w:val="000000"/>
          <w:lang w:eastAsia="es-CO"/>
        </w:rPr>
        <w:t xml:space="preserve">. Las Cajas de Compensación Familiar podrán imputar a sus respectivos </w:t>
      </w:r>
      <w:proofErr w:type="spellStart"/>
      <w:r w:rsidRPr="009342F9">
        <w:rPr>
          <w:rFonts w:ascii="Arial" w:eastAsia="Times New Roman" w:hAnsi="Arial" w:cs="Arial"/>
          <w:color w:val="000000"/>
          <w:lang w:eastAsia="es-CO"/>
        </w:rPr>
        <w:t>Fovis</w:t>
      </w:r>
      <w:proofErr w:type="spellEnd"/>
      <w:r w:rsidRPr="009342F9">
        <w:rPr>
          <w:rFonts w:ascii="Arial" w:eastAsia="Times New Roman" w:hAnsi="Arial" w:cs="Arial"/>
          <w:color w:val="000000"/>
          <w:lang w:eastAsia="es-CO"/>
        </w:rPr>
        <w:t xml:space="preserve"> el valor de los costos y gastos administrativos en que incurran en el cumplimiento de sus obligaciones legales y reglamentarias, sin exceder el 5% del valor correspondiente a las transferencias mensuales por concepto de aportes al Fondo con destino al Subsidio Familiar de Vivienda de Interés Social. </w:t>
      </w:r>
    </w:p>
    <w:p w14:paraId="2E9FB6DC" w14:textId="77777777" w:rsidR="009342F9" w:rsidRDefault="009342F9" w:rsidP="00FC79C1">
      <w:pPr>
        <w:spacing w:after="0" w:line="240" w:lineRule="auto"/>
        <w:jc w:val="both"/>
        <w:rPr>
          <w:rFonts w:ascii="Arial" w:eastAsia="Times New Roman" w:hAnsi="Arial" w:cs="Arial"/>
          <w:color w:val="000000"/>
          <w:lang w:eastAsia="es-CO"/>
        </w:rPr>
      </w:pPr>
      <w:bookmarkStart w:id="183" w:name="ver_30069151"/>
      <w:bookmarkEnd w:id="183"/>
    </w:p>
    <w:p w14:paraId="24E7032E" w14:textId="5F6B3366"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2.1.1.1.1.6.2.5. Desarrollo de programas de vivienda con recursos de la reserva para vivienda definida en el artículo 69 de la Ley 49 de 1990. Los recursos provenientes de la reserva de vivienda de que trata el artículo 69 de la Ley 49 de 1990 y sus correspondientes rendimientos </w:t>
      </w:r>
      <w:r w:rsidRPr="009342F9">
        <w:rPr>
          <w:rFonts w:ascii="Arial" w:eastAsia="Times New Roman" w:hAnsi="Arial" w:cs="Arial"/>
          <w:color w:val="000000"/>
          <w:lang w:eastAsia="es-CO"/>
        </w:rPr>
        <w:lastRenderedPageBreak/>
        <w:t xml:space="preserve">deberán ser destinados por las respectivas Cajas de Compensación Familiar a programas de vivienda, con destino a afiliados con ingresos familiares iguales o inferiores a cuatro salarios mínimos mensuales legales vigentes (4 </w:t>
      </w:r>
      <w:proofErr w:type="spellStart"/>
      <w:r w:rsidRPr="009342F9">
        <w:rPr>
          <w:rFonts w:ascii="Arial" w:eastAsia="Times New Roman" w:hAnsi="Arial" w:cs="Arial"/>
          <w:color w:val="000000"/>
          <w:lang w:eastAsia="es-CO"/>
        </w:rPr>
        <w:t>smlmv</w:t>
      </w:r>
      <w:proofErr w:type="spellEnd"/>
      <w:r w:rsidRPr="009342F9">
        <w:rPr>
          <w:rFonts w:ascii="Arial" w:eastAsia="Times New Roman" w:hAnsi="Arial" w:cs="Arial"/>
          <w:color w:val="000000"/>
          <w:lang w:eastAsia="es-CO"/>
        </w:rPr>
        <w:t>), todo ello conforme a las facultades previas y/o posteriores que sobre el particular pueda ejercer la Superintendencia del Subsidio Familiar dentro de su ámbito de competencia. </w:t>
      </w:r>
    </w:p>
    <w:p w14:paraId="75AE85FE" w14:textId="60738A54"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84" w:name="ver_30069152"/>
      <w:bookmarkEnd w:id="184"/>
    </w:p>
    <w:p w14:paraId="435755C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2.1.1.1.1.6.2.6. Reporte de información consolidada. La Superintendencia del Subsidio Familiar deberá consolidar la información remitida por las Cajas de Compensación Familiar, conforme a lo dispuesto en la presente </w:t>
      </w:r>
      <w:proofErr w:type="spellStart"/>
      <w:r w:rsidRPr="009342F9">
        <w:rPr>
          <w:rFonts w:ascii="Arial" w:eastAsia="Times New Roman" w:hAnsi="Arial" w:cs="Arial"/>
          <w:color w:val="000000"/>
          <w:lang w:eastAsia="es-CO"/>
        </w:rPr>
        <w:t>sub-subsección</w:t>
      </w:r>
      <w:proofErr w:type="spellEnd"/>
      <w:r w:rsidRPr="009342F9">
        <w:rPr>
          <w:rFonts w:ascii="Arial" w:eastAsia="Times New Roman" w:hAnsi="Arial" w:cs="Arial"/>
          <w:color w:val="000000"/>
          <w:lang w:eastAsia="es-CO"/>
        </w:rPr>
        <w:t xml:space="preserve">, y remitir un ejemplar de </w:t>
      </w:r>
      <w:proofErr w:type="gramStart"/>
      <w:r w:rsidRPr="009342F9">
        <w:rPr>
          <w:rFonts w:ascii="Arial" w:eastAsia="Times New Roman" w:hAnsi="Arial" w:cs="Arial"/>
          <w:color w:val="000000"/>
          <w:lang w:eastAsia="es-CO"/>
        </w:rPr>
        <w:t>la misma</w:t>
      </w:r>
      <w:proofErr w:type="gramEnd"/>
      <w:r w:rsidRPr="009342F9">
        <w:rPr>
          <w:rFonts w:ascii="Arial" w:eastAsia="Times New Roman" w:hAnsi="Arial" w:cs="Arial"/>
          <w:color w:val="000000"/>
          <w:lang w:eastAsia="es-CO"/>
        </w:rPr>
        <w:t xml:space="preserve"> al Ministerio de Vivienda, Ciudad y Territorio, a más tardar dentro del mes siguiente a la fecha de recepción de la misma. </w:t>
      </w:r>
    </w:p>
    <w:p w14:paraId="48FCC300" w14:textId="46276F5C"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85" w:name="ver_30069153"/>
      <w:bookmarkEnd w:id="185"/>
    </w:p>
    <w:p w14:paraId="665CFD3D" w14:textId="6CA31F83" w:rsidR="00FC79C1" w:rsidRPr="009342F9" w:rsidRDefault="00FC79C1" w:rsidP="00FC79C1">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SUBSECCIÓN 7</w:t>
      </w:r>
    </w:p>
    <w:p w14:paraId="186C0BF1" w14:textId="77777777" w:rsidR="00FC79C1" w:rsidRPr="009342F9" w:rsidRDefault="00FC79C1" w:rsidP="00FC79C1">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SISTEMA DE INFORMACIÓN DEL SUBSIDIO FAMILIAR DE VIVIENDA</w:t>
      </w:r>
    </w:p>
    <w:p w14:paraId="0412DCEB"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86" w:name="ver_30069154"/>
      <w:bookmarkEnd w:id="186"/>
    </w:p>
    <w:p w14:paraId="62B1D7F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2.1.1.1.1.7.1. Sistema de Información del Subsidio Familiar de Vivienda. Es el mecanismo definido por el Ministerio de Vivienda, Ciudad y Territorio y administrado por el Fondo Nacional de Vivienda, que comprende la información de oferta y demanda de subsidios. </w:t>
      </w:r>
    </w:p>
    <w:p w14:paraId="25D3A8E2" w14:textId="0532802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87" w:name="ver_30069155"/>
      <w:bookmarkEnd w:id="187"/>
    </w:p>
    <w:p w14:paraId="4402A36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2.1.1.1.1.7.2. Características básicas del Sistema de Información del Subsidio. El Ministerio de Vivienda, Ciudad y Territorio es la entidad competente para definir las condiciones de suministro de la información que deberán aportar al Sistema de Información del Subsidio las entidades públicas y privadas. </w:t>
      </w:r>
    </w:p>
    <w:p w14:paraId="3443237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EB595C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Este Sistema de Información del Subsidio deberá incluir como mínimo: </w:t>
      </w:r>
    </w:p>
    <w:p w14:paraId="673EE60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30C71D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 El módulo de demanda, con los registros de los ahorradores y los postulantes; </w:t>
      </w:r>
    </w:p>
    <w:p w14:paraId="3F790FC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25E9C0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b) El módulo de oferta, con toda la información de los planes de soluciones de vivienda a las cuales los beneficiarios podrán aplicar sus subsidios, incluyendo un Registro de Oferentes, y </w:t>
      </w:r>
    </w:p>
    <w:p w14:paraId="2293CF5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B863BE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c) Una base de datos con la información actualizada de la totalidad de subsidios asignados con anterioridad por el ICT, el </w:t>
      </w:r>
      <w:proofErr w:type="spellStart"/>
      <w:r w:rsidRPr="009342F9">
        <w:rPr>
          <w:rFonts w:ascii="Arial" w:eastAsia="Times New Roman" w:hAnsi="Arial" w:cs="Arial"/>
          <w:color w:val="000000"/>
          <w:lang w:eastAsia="es-CO"/>
        </w:rPr>
        <w:t>Inurbe</w:t>
      </w:r>
      <w:proofErr w:type="spellEnd"/>
      <w:r w:rsidRPr="009342F9">
        <w:rPr>
          <w:rFonts w:ascii="Arial" w:eastAsia="Times New Roman" w:hAnsi="Arial" w:cs="Arial"/>
          <w:color w:val="000000"/>
          <w:lang w:eastAsia="es-CO"/>
        </w:rPr>
        <w:t xml:space="preserve"> - en liquidación, la Caja Agraria hoy en liquidación, el Banco Agrario, el Fondo Nacional de Vivienda, las Cajas de Compensación Familiar, la Caja Promotora de Vivienda Militar, el FOREC - en liquidación y FOCAFÉ y los que se asignen a partir del 12 de junio de 2009 por las entidades otorgantes. </w:t>
      </w:r>
    </w:p>
    <w:p w14:paraId="07B5246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B4327B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1°. La entrega de la información para las entidades relacionadas con el sistema de asignación del Subsidio Familiar de Vivienda de Interés Social será de obligatorio cumplimiento, en los períodos y con las especificaciones que defina el Ministerio de Vivienda, Ciudad y Territorio. </w:t>
      </w:r>
    </w:p>
    <w:p w14:paraId="6A57613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539244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2°. Los intermediarios que accedan a la línea de redescuento para financiación de vivienda de interés social de Findeter establecidos en el Decreto Único Sectorial de Hacienda y Crédito Público, para la financiación de operaciones de crédito o microcrédito inmobiliario, reportarán al Sistema de Información del Subsidio las operaciones realizadas, en los periodos y con las especificaciones que defina el Ministerio de Vivienda, Ciudad y Territorio. </w:t>
      </w:r>
    </w:p>
    <w:p w14:paraId="6917B4F3" w14:textId="77777777" w:rsid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88" w:name="ver_30069156"/>
      <w:bookmarkEnd w:id="188"/>
    </w:p>
    <w:p w14:paraId="61E2C1EF" w14:textId="168435FC"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2.1.1.1.1.7.3. Financiación del Sistema de Información del Subsidio. El Sistema de Información del Subsidio se financiará con un aporte del cero punto cinco por ciento (0.5%) de los recursos del presupuesto anual de los </w:t>
      </w:r>
      <w:proofErr w:type="spellStart"/>
      <w:r w:rsidRPr="009342F9">
        <w:rPr>
          <w:rFonts w:ascii="Arial" w:eastAsia="Times New Roman" w:hAnsi="Arial" w:cs="Arial"/>
          <w:color w:val="000000"/>
          <w:lang w:eastAsia="es-CO"/>
        </w:rPr>
        <w:t>Fovis</w:t>
      </w:r>
      <w:proofErr w:type="spellEnd"/>
      <w:r w:rsidRPr="009342F9">
        <w:rPr>
          <w:rFonts w:ascii="Arial" w:eastAsia="Times New Roman" w:hAnsi="Arial" w:cs="Arial"/>
          <w:color w:val="000000"/>
          <w:lang w:eastAsia="es-CO"/>
        </w:rPr>
        <w:t xml:space="preserve"> de las Cajas de Compensación Familiar. </w:t>
      </w:r>
    </w:p>
    <w:p w14:paraId="5336DCD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w:t>
      </w:r>
    </w:p>
    <w:p w14:paraId="7AC411D4" w14:textId="77777777" w:rsidR="00FC79C1" w:rsidRPr="009342F9" w:rsidRDefault="00FC79C1" w:rsidP="00FC79C1">
      <w:pPr>
        <w:spacing w:after="0" w:line="240" w:lineRule="auto"/>
        <w:jc w:val="both"/>
        <w:rPr>
          <w:rFonts w:ascii="Arial" w:eastAsia="Times New Roman" w:hAnsi="Arial" w:cs="Arial"/>
          <w:color w:val="000000"/>
          <w:lang w:eastAsia="es-CO"/>
        </w:rPr>
      </w:pPr>
      <w:proofErr w:type="gramStart"/>
      <w:r w:rsidRPr="009342F9">
        <w:rPr>
          <w:rFonts w:ascii="Arial" w:eastAsia="Times New Roman" w:hAnsi="Arial" w:cs="Arial"/>
          <w:color w:val="000000"/>
          <w:lang w:eastAsia="es-CO"/>
        </w:rPr>
        <w:t>Igualmente</w:t>
      </w:r>
      <w:proofErr w:type="gramEnd"/>
      <w:r w:rsidRPr="009342F9">
        <w:rPr>
          <w:rFonts w:ascii="Arial" w:eastAsia="Times New Roman" w:hAnsi="Arial" w:cs="Arial"/>
          <w:color w:val="000000"/>
          <w:lang w:eastAsia="es-CO"/>
        </w:rPr>
        <w:t xml:space="preserve"> de los aportes destinados para tal fin en las entidades otorgantes del Subsidio Familiar de Vivienda. </w:t>
      </w:r>
    </w:p>
    <w:p w14:paraId="2870CBEA" w14:textId="61741A92"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89" w:name="ver_30069157"/>
      <w:bookmarkEnd w:id="189"/>
    </w:p>
    <w:p w14:paraId="0A4B9C1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2.1.1.1.1.7.4. Consolidación de la información. Para efectos de consolidación de la información de los subsidios asignados con anterioridad al funcionamiento de este sistema, el Fondo Nacional de Vivienda, el </w:t>
      </w:r>
      <w:proofErr w:type="spellStart"/>
      <w:r w:rsidRPr="009342F9">
        <w:rPr>
          <w:rFonts w:ascii="Arial" w:eastAsia="Times New Roman" w:hAnsi="Arial" w:cs="Arial"/>
          <w:color w:val="000000"/>
          <w:lang w:eastAsia="es-CO"/>
        </w:rPr>
        <w:t>Inurbe</w:t>
      </w:r>
      <w:proofErr w:type="spellEnd"/>
      <w:r w:rsidRPr="009342F9">
        <w:rPr>
          <w:rFonts w:ascii="Arial" w:eastAsia="Times New Roman" w:hAnsi="Arial" w:cs="Arial"/>
          <w:color w:val="000000"/>
          <w:lang w:eastAsia="es-CO"/>
        </w:rPr>
        <w:t xml:space="preserve"> - en liquidación, las Cajas de Compensación Familiar, el Banco Agrario, la Caja Promotora de Vivienda Militar y el Fondo para la Reconstrucción y Desarrollo Social del Eje Cafetero, FOREC, - en liquidación, entregarán las bases de datos, en medio digital y en un formato previamente definido, a la entidad Operadora del Sistema de Información del Subsidio de Vivienda de Interés Social, en un plazo no mayor a treinta (30) días calendario a partir de la solicitud de la entidad operadora. </w:t>
      </w:r>
    </w:p>
    <w:p w14:paraId="715A6F87" w14:textId="72568F28"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90" w:name="ver_30069158"/>
      <w:bookmarkEnd w:id="190"/>
    </w:p>
    <w:p w14:paraId="35757BF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2.1.1.1.1.7.5. El registro de postulantes en el Sistema de Información del Subsidio. Las entidades otorgantes del Subsidio Familiar de Vivienda de Interés Social reportarán al operador del Sistema de Información del Subsidio, los registros de los postulantes que cumplan con las condiciones establecidas en la presente sección para ser beneficiarios del subsidio. Igualmente, reportará la calificación obtenida por dichos postulantes. </w:t>
      </w:r>
    </w:p>
    <w:p w14:paraId="34113366" w14:textId="451E65F4"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91" w:name="ver_30069159"/>
      <w:bookmarkEnd w:id="191"/>
    </w:p>
    <w:p w14:paraId="12ED930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2.1.1.1.1.7.6. Información de beneficiarios del subsidio. Una vez se publique la asignación de subsidios por parte de las entidades otorgantes, estas reportarán tal información al sistema en los plazos y condiciones que defina el operador </w:t>
      </w:r>
      <w:proofErr w:type="gramStart"/>
      <w:r w:rsidRPr="009342F9">
        <w:rPr>
          <w:rFonts w:ascii="Arial" w:eastAsia="Times New Roman" w:hAnsi="Arial" w:cs="Arial"/>
          <w:color w:val="000000"/>
          <w:lang w:eastAsia="es-CO"/>
        </w:rPr>
        <w:t>del mismo</w:t>
      </w:r>
      <w:proofErr w:type="gramEnd"/>
      <w:r w:rsidRPr="009342F9">
        <w:rPr>
          <w:rFonts w:ascii="Arial" w:eastAsia="Times New Roman" w:hAnsi="Arial" w:cs="Arial"/>
          <w:color w:val="000000"/>
          <w:lang w:eastAsia="es-CO"/>
        </w:rPr>
        <w:t>. </w:t>
      </w:r>
    </w:p>
    <w:p w14:paraId="375FE73B" w14:textId="424AE54C"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92" w:name="ver_30069160"/>
      <w:bookmarkEnd w:id="192"/>
    </w:p>
    <w:p w14:paraId="75368E1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2.1.1.1.1.7.7. Registro de la Oferta en el Sistema de Información. Una vez se declare la elegibilidad de los planes y proyectos, la información básica de los mismos se incorporará al Módulo de Oferta del sistema de información. </w:t>
      </w:r>
    </w:p>
    <w:p w14:paraId="48F6CA8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EC538C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Será función de las entidades otorgantes del Subsidio Familiar de Vivienda de Interés Social velar por la oportuna, amplia y transparente divulgación de esta oferta, de tal manera que los postulantes y beneficiarios del subsidio dispongan de una suficiente información, que les permita comparar y escoger libremente su solución de vivienda. </w:t>
      </w:r>
    </w:p>
    <w:p w14:paraId="69CF8A2A" w14:textId="3BF08772"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93" w:name="ver_30069161"/>
      <w:bookmarkEnd w:id="193"/>
    </w:p>
    <w:p w14:paraId="59F45E2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2.1.1.1.1.7.8. De las bases de datos del Sistema de Información del Subsidio. Las bases de datos de oferta y demanda del Sistema de Información del </w:t>
      </w:r>
      <w:proofErr w:type="gramStart"/>
      <w:r w:rsidRPr="009342F9">
        <w:rPr>
          <w:rFonts w:ascii="Arial" w:eastAsia="Times New Roman" w:hAnsi="Arial" w:cs="Arial"/>
          <w:color w:val="000000"/>
          <w:lang w:eastAsia="es-CO"/>
        </w:rPr>
        <w:t>Subsidio,</w:t>
      </w:r>
      <w:proofErr w:type="gramEnd"/>
      <w:r w:rsidRPr="009342F9">
        <w:rPr>
          <w:rFonts w:ascii="Arial" w:eastAsia="Times New Roman" w:hAnsi="Arial" w:cs="Arial"/>
          <w:color w:val="000000"/>
          <w:lang w:eastAsia="es-CO"/>
        </w:rPr>
        <w:t xml:space="preserve"> serán públicas y el acceso a ellas será definido por el Fondo Nacional de Vivienda. </w:t>
      </w:r>
    </w:p>
    <w:p w14:paraId="1DBC001F" w14:textId="191159DA" w:rsidR="00FC79C1" w:rsidRPr="009342F9" w:rsidRDefault="00FC79C1" w:rsidP="009342F9">
      <w:pPr>
        <w:spacing w:after="0" w:line="240" w:lineRule="auto"/>
        <w:jc w:val="both"/>
        <w:rPr>
          <w:rFonts w:ascii="Arial" w:eastAsia="Times New Roman" w:hAnsi="Arial" w:cs="Arial"/>
          <w:b/>
          <w:bCs/>
          <w:color w:val="000000"/>
          <w:lang w:eastAsia="es-CO"/>
        </w:rPr>
      </w:pPr>
      <w:r w:rsidRPr="009342F9">
        <w:rPr>
          <w:rFonts w:ascii="Arial" w:eastAsia="Times New Roman" w:hAnsi="Arial" w:cs="Arial"/>
          <w:color w:val="000000"/>
          <w:lang w:eastAsia="es-CO"/>
        </w:rPr>
        <w:t>  </w:t>
      </w:r>
      <w:bookmarkStart w:id="194" w:name="ver_30069162"/>
      <w:bookmarkEnd w:id="194"/>
    </w:p>
    <w:p w14:paraId="2CE9A58B" w14:textId="3DB68292" w:rsidR="00FC79C1" w:rsidRPr="009342F9" w:rsidRDefault="00FC79C1" w:rsidP="00FC79C1">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SUBSECCIÓN 8</w:t>
      </w:r>
    </w:p>
    <w:p w14:paraId="1A8086C3" w14:textId="77777777" w:rsidR="00FC79C1" w:rsidRPr="009342F9" w:rsidRDefault="00FC79C1" w:rsidP="00FC79C1">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DISPOSICIONES COMPLEMENTARIAS</w:t>
      </w:r>
    </w:p>
    <w:p w14:paraId="4FBEA255"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95" w:name="ver_30069163"/>
      <w:bookmarkEnd w:id="195"/>
    </w:p>
    <w:p w14:paraId="5F66794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2.1.1.1.1.8.1. Banco de Materiales. El Fondo Nacional de Vivienda o las entidades operadoras autorizadas por este en los términos del Decreto-ley 555 de 2003, implementarán un Banco de Materiales Nacional con el fin de contar con los proveedores necesarios que permitan optimizar el recurso del subsidio familiar de vivienda. Las condiciones del Banco de Materiales serán reglamentadas a través de la resolución que para tal efecto expida el Ministerio de Vivienda, Ciudad y Territorio. </w:t>
      </w:r>
    </w:p>
    <w:p w14:paraId="3AE0E663" w14:textId="63CE2BBE" w:rsidR="00FC79C1" w:rsidRPr="009342F9" w:rsidRDefault="00FC79C1" w:rsidP="009342F9">
      <w:pPr>
        <w:spacing w:after="0" w:line="240" w:lineRule="auto"/>
        <w:jc w:val="both"/>
        <w:rPr>
          <w:rFonts w:ascii="Arial" w:eastAsia="Times New Roman" w:hAnsi="Arial" w:cs="Arial"/>
          <w:b/>
          <w:bCs/>
          <w:color w:val="000000"/>
          <w:lang w:eastAsia="es-CO"/>
        </w:rPr>
      </w:pPr>
      <w:r w:rsidRPr="009342F9">
        <w:rPr>
          <w:rFonts w:ascii="Arial" w:eastAsia="Times New Roman" w:hAnsi="Arial" w:cs="Arial"/>
          <w:color w:val="000000"/>
          <w:lang w:eastAsia="es-CO"/>
        </w:rPr>
        <w:t>  </w:t>
      </w:r>
    </w:p>
    <w:p w14:paraId="60F324DA" w14:textId="77777777" w:rsidR="00FC79C1" w:rsidRPr="009342F9" w:rsidRDefault="00FC79C1" w:rsidP="00FC79C1">
      <w:pPr>
        <w:spacing w:after="0" w:line="240" w:lineRule="auto"/>
        <w:jc w:val="center"/>
        <w:rPr>
          <w:rFonts w:ascii="Arial" w:eastAsia="Times New Roman" w:hAnsi="Arial" w:cs="Arial"/>
          <w:b/>
          <w:bCs/>
          <w:color w:val="000000"/>
          <w:lang w:eastAsia="es-CO"/>
        </w:rPr>
      </w:pPr>
      <w:bookmarkStart w:id="196" w:name="ver_30069164"/>
      <w:bookmarkEnd w:id="196"/>
      <w:r w:rsidRPr="009342F9">
        <w:rPr>
          <w:rFonts w:ascii="Arial" w:eastAsia="Times New Roman" w:hAnsi="Arial" w:cs="Arial"/>
          <w:b/>
          <w:bCs/>
          <w:color w:val="000000"/>
          <w:lang w:eastAsia="es-CO"/>
        </w:rPr>
        <w:t>SECCIÓN 2</w:t>
      </w:r>
    </w:p>
    <w:p w14:paraId="6AD9A492" w14:textId="77777777" w:rsidR="00FC79C1" w:rsidRDefault="00FC79C1" w:rsidP="00FC79C1">
      <w:pPr>
        <w:spacing w:after="0" w:line="240" w:lineRule="auto"/>
        <w:jc w:val="center"/>
        <w:rPr>
          <w:rFonts w:ascii="Arial" w:eastAsia="Times New Roman" w:hAnsi="Arial" w:cs="Arial"/>
          <w:b/>
          <w:bCs/>
          <w:color w:val="000000"/>
          <w:lang w:eastAsia="es-CO"/>
        </w:rPr>
      </w:pPr>
      <w:r w:rsidRPr="231E957E">
        <w:rPr>
          <w:rFonts w:ascii="Arial" w:eastAsia="Times New Roman" w:hAnsi="Arial" w:cs="Arial"/>
          <w:b/>
          <w:color w:val="000000" w:themeColor="text1"/>
          <w:lang w:eastAsia="es-CO"/>
        </w:rPr>
        <w:t>SUBSIDIO FAMILIAR DE VIVIENDA PARA POBLACIÓN EN SITUACIÓN DE DESPLAZAMIENTO</w:t>
      </w:r>
    </w:p>
    <w:p w14:paraId="18C5B5F4" w14:textId="77777777" w:rsidR="007C7D44" w:rsidRPr="009342F9" w:rsidRDefault="007C7D44" w:rsidP="00FC79C1">
      <w:pPr>
        <w:spacing w:after="0" w:line="240" w:lineRule="auto"/>
        <w:jc w:val="center"/>
        <w:rPr>
          <w:rFonts w:ascii="Arial" w:eastAsia="Times New Roman" w:hAnsi="Arial" w:cs="Arial"/>
          <w:b/>
          <w:bCs/>
          <w:color w:val="000000"/>
          <w:lang w:eastAsia="es-CO"/>
        </w:rPr>
      </w:pPr>
    </w:p>
    <w:p w14:paraId="3A8B6C07" w14:textId="77777777" w:rsidR="00FC79C1" w:rsidRPr="009342F9" w:rsidRDefault="00FC79C1" w:rsidP="00FC79C1">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SUBSECCIÓN 1</w:t>
      </w:r>
    </w:p>
    <w:p w14:paraId="11BC0D1B" w14:textId="77777777" w:rsidR="00FC79C1" w:rsidRPr="009342F9" w:rsidRDefault="00FC79C1" w:rsidP="00FC79C1">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lastRenderedPageBreak/>
        <w:t>GENERALIDADES DEL SUBSIDIO FAMILIAR DE VIVIENDA PARA POBLACIÓN EN SITUACIÓN DE DESPLAZAMIENTO</w:t>
      </w:r>
    </w:p>
    <w:p w14:paraId="764F8000"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97" w:name="ver_30069165"/>
      <w:bookmarkEnd w:id="197"/>
    </w:p>
    <w:p w14:paraId="62EE6CD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2.1.1.1.2.1.1. Del subsidio familiar de vivienda para población desplazada. Tal como lo establece el artículo 6° de la Ley 3ª de 1991, el Subsidio Familiar de Vivienda es un aporte estatal en dinero o especie, otorgado por una sola vez al beneficiario con el objeto de facilitarle una solución de vivienda de interés social, sin cargo de restitución, siempre que el beneficiario cumpla con las condiciones que se establecen en la Ley 3ª de 1991 y aquellas que la modifiquen o adicionen. </w:t>
      </w:r>
    </w:p>
    <w:p w14:paraId="6FD37E0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F95C1C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 población desplazada tendrá acceso al subsidio familiar de vivienda en las condiciones que se establecen en la presente subsección. </w:t>
      </w:r>
    </w:p>
    <w:p w14:paraId="043BD119" w14:textId="77777777" w:rsidR="009342F9" w:rsidRDefault="009342F9" w:rsidP="00FC79C1">
      <w:pPr>
        <w:spacing w:after="0" w:line="240" w:lineRule="auto"/>
        <w:jc w:val="both"/>
        <w:rPr>
          <w:rFonts w:ascii="Arial" w:eastAsia="Times New Roman" w:hAnsi="Arial" w:cs="Arial"/>
          <w:color w:val="000000"/>
          <w:lang w:eastAsia="es-CO"/>
        </w:rPr>
      </w:pPr>
      <w:bookmarkStart w:id="198" w:name="ver_30069166"/>
      <w:bookmarkEnd w:id="198"/>
    </w:p>
    <w:p w14:paraId="65C86861" w14:textId="6302F9F3"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2.1.1.1.2.1.2. Otorgantes del subsidio. Será otorgante del Subsidio Familiar de Vivienda de que trata esta subsección, el Fondo Nacional de Vivienda. </w:t>
      </w:r>
    </w:p>
    <w:p w14:paraId="545937A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9389E7B"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99" w:name="ver_30069167"/>
      <w:bookmarkEnd w:id="199"/>
      <w:r w:rsidRPr="009342F9">
        <w:rPr>
          <w:rFonts w:ascii="Arial" w:eastAsia="Times New Roman" w:hAnsi="Arial" w:cs="Arial"/>
          <w:color w:val="000000"/>
          <w:lang w:eastAsia="es-CO"/>
        </w:rPr>
        <w:t>Artículo 2.1.1.1.2.1.3. Postulantes. Serán potenciales beneficiarios, del subsidio de que trata la presente subsección, los hogares que cumplan las siguientes condiciones: </w:t>
      </w:r>
    </w:p>
    <w:p w14:paraId="7C248AC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0ECFA0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Estar conformados por personas que sean desplazadas en los términos del artículo 1° de la Ley 387 de 1997 y cumplan con los requisitos previstos en el artículo 32 de la misma ley. </w:t>
      </w:r>
    </w:p>
    <w:p w14:paraId="3E41345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680C35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Estar debidamente registradas en el Registro Único de Víctimas a que se refiere el Decreto Único del Sector de Inclusión Social y Reconciliación. </w:t>
      </w:r>
    </w:p>
    <w:p w14:paraId="0004A6CE" w14:textId="0F1F53F5"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00" w:name="ver_30069168"/>
      <w:bookmarkEnd w:id="200"/>
    </w:p>
    <w:p w14:paraId="4D7FDCF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2.1.1.1.2.1.4. Asignación del subsidio familiar de vivienda para población desplazada. La asignación del subsidio familiar de vivienda para población </w:t>
      </w:r>
      <w:proofErr w:type="gramStart"/>
      <w:r w:rsidRPr="009342F9">
        <w:rPr>
          <w:rFonts w:ascii="Arial" w:eastAsia="Times New Roman" w:hAnsi="Arial" w:cs="Arial"/>
          <w:color w:val="000000"/>
          <w:lang w:eastAsia="es-CO"/>
        </w:rPr>
        <w:t>desplazada,</w:t>
      </w:r>
      <w:proofErr w:type="gramEnd"/>
      <w:r w:rsidRPr="009342F9">
        <w:rPr>
          <w:rFonts w:ascii="Arial" w:eastAsia="Times New Roman" w:hAnsi="Arial" w:cs="Arial"/>
          <w:color w:val="000000"/>
          <w:lang w:eastAsia="es-CO"/>
        </w:rPr>
        <w:t xml:space="preserve"> se realizará exclusivamente a través de programas que desarrollen los siguientes componentes: </w:t>
      </w:r>
    </w:p>
    <w:p w14:paraId="3D4BD48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1262C7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Retorno. Se facilitará y promoverá el retorno voluntario de las familias al municipio de ocurrencia del desplazamiento inicial, siempre y cuando las condiciones de orden público lo permitan, según el pronunciamiento del Comité para la atención y reparación integral a las víctimas del municipio o distrito de origen. La Unidad Administrativa Especial de Atención y Reparación Integral a las Víctimas y los entes territoriales coordinarán la ejecución de los programas de retorno. </w:t>
      </w:r>
    </w:p>
    <w:p w14:paraId="5084CC1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1974A2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Los programas dirigidos al retorno deberán tener en cuenta lo dispuesto en la estrategia de consolidación y estabilización socioeconómica del Plan Nacional para la Atención y Reparación Integral a las Víctimas. Para efectos del retorno voluntario de la población desplazada de que trata el Decreto Único del Sector de Inclusión Social y Reconciliación el Comité Municipal o Distrital de Atención y Reparación Integral a las Víctimas, del municipio de origen del desplazamiento, se pronunciará sobre la existencia o no de las condiciones de orden público que permitan el retorno, con base en los informes de la zona de expulsión, los procesos de retorno individuales o colectivos que se hayan dado en la zona, previo concepto de la respectiva autoridad del Ministerio Público del lugar. El pronunciamiento del Comité podrá ser recurrido por el postulante ante el Comité Departamental de Atención Integral a la Población Desplazada, el cual contará con treinta (30) días calendario para pronunciarse sobre la solicitud del interesado. </w:t>
      </w:r>
    </w:p>
    <w:p w14:paraId="740591C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4B6CC6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Reubicación. Mediante este componente se facilitará la reubicación de los hogares desplazados en municipios distintos al de origen del desplazamiento, cuando no sea posible su retorno. </w:t>
      </w:r>
    </w:p>
    <w:p w14:paraId="0125CB04"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201" w:name="ver_30069169"/>
      <w:bookmarkEnd w:id="201"/>
    </w:p>
    <w:p w14:paraId="21E9F72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Artículo 2.1.1.1.2.1.5. Aplicación del subsidio familiar de vivienda. El Subsidio Familiar de Vivienda otorgado a la población en situación de desplazamiento, podrá ser aplicado, tanto en suelo urbano como en suelo rural, en las siguientes modalidades: </w:t>
      </w:r>
    </w:p>
    <w:p w14:paraId="27BC3EF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BC8188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Mejoramiento de vivienda para hogares propietarios, poseedores u ocupantes. </w:t>
      </w:r>
    </w:p>
    <w:p w14:paraId="4661DB3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324431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Construcción en sitio propio para hogares que ostenten la propiedad de un lote de terreno en suelo urbano. </w:t>
      </w:r>
    </w:p>
    <w:p w14:paraId="112FCA3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16C69A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3. Adquisición de vivienda nueva o usada para hogares no propietarios y para hogares </w:t>
      </w:r>
      <w:proofErr w:type="gramStart"/>
      <w:r w:rsidRPr="009342F9">
        <w:rPr>
          <w:rFonts w:ascii="Arial" w:eastAsia="Times New Roman" w:hAnsi="Arial" w:cs="Arial"/>
          <w:color w:val="000000"/>
          <w:lang w:eastAsia="es-CO"/>
        </w:rPr>
        <w:t>que</w:t>
      </w:r>
      <w:proofErr w:type="gramEnd"/>
      <w:r w:rsidRPr="009342F9">
        <w:rPr>
          <w:rFonts w:ascii="Arial" w:eastAsia="Times New Roman" w:hAnsi="Arial" w:cs="Arial"/>
          <w:color w:val="000000"/>
          <w:lang w:eastAsia="es-CO"/>
        </w:rPr>
        <w:t xml:space="preserve"> siendo propietarios, no puedan volver al lugar donde tengan su propiedad. </w:t>
      </w:r>
    </w:p>
    <w:p w14:paraId="671F14A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E68EA0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4. Arrendamiento de vivienda, para hogares no propietarios y para hogares </w:t>
      </w:r>
      <w:proofErr w:type="gramStart"/>
      <w:r w:rsidRPr="009342F9">
        <w:rPr>
          <w:rFonts w:ascii="Arial" w:eastAsia="Times New Roman" w:hAnsi="Arial" w:cs="Arial"/>
          <w:color w:val="000000"/>
          <w:lang w:eastAsia="es-CO"/>
        </w:rPr>
        <w:t>que</w:t>
      </w:r>
      <w:proofErr w:type="gramEnd"/>
      <w:r w:rsidRPr="009342F9">
        <w:rPr>
          <w:rFonts w:ascii="Arial" w:eastAsia="Times New Roman" w:hAnsi="Arial" w:cs="Arial"/>
          <w:color w:val="000000"/>
          <w:lang w:eastAsia="es-CO"/>
        </w:rPr>
        <w:t xml:space="preserve"> siendo propietarios, no puedan volver al lugar donde tengan su propiedad. </w:t>
      </w:r>
    </w:p>
    <w:p w14:paraId="3FAB58A2" w14:textId="5C1BBEF0"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B740B81"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202" w:name="ver_30069170"/>
      <w:bookmarkEnd w:id="202"/>
    </w:p>
    <w:p w14:paraId="1DEA26B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2.1.1.1.2.1.6. Plan de acción zonal para la población desplazada. Con el objeto de cumplir los criterios y objetivos del Programa de Restablecimiento, previsto en el Plan Nacional para la Atención y Reparación Integral a las Víctimas, se promoverá la formulación de un Plan de Acción Zonal, PAZ, con la participación de la población afectada. A partir de la concertación efectuada con la población desplazada, sobre el retorno o la reubicación, el Plan de Acción Zonal definirá una estrategia para la aplicación del Subsidio Familiar de Vivienda previsto en la presente subsección, previo diagnóstico de las necesidades habitacionales de los desplazados, elaborado por el respectivo Comité municipal o distrital de Atención y Reparación Integral a las Víctimas, en coordinación con –la Unidad Administrativa Especial de Atención y Reparación Integral a las Víctimas. </w:t>
      </w:r>
    </w:p>
    <w:p w14:paraId="3A6C0E3F" w14:textId="77777777" w:rsid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03" w:name="ver_30069171"/>
      <w:bookmarkEnd w:id="203"/>
    </w:p>
    <w:p w14:paraId="4CF8CD55" w14:textId="2BF39371"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2.1.1.1.2.1.7. Contenidos del plan de acción zonal. Los Planes de Acción Zonal deberán estructurarse con base en los siguientes criterios: </w:t>
      </w:r>
    </w:p>
    <w:p w14:paraId="7FEA265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4CDF07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Vulnerabilidad poblacional. En este tema se evaluarán las características de la población desplazada de acuerdo con las siguientes variables: </w:t>
      </w:r>
    </w:p>
    <w:p w14:paraId="7B8EA75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AB5E76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1.1 Número de hogares postulantes con jefatura femenina de familia. </w:t>
      </w:r>
    </w:p>
    <w:p w14:paraId="1F7C3D8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C504FD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1.2 Número de personas de los hogares postulantes. </w:t>
      </w:r>
    </w:p>
    <w:p w14:paraId="301393A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A13DEC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1.3 Presencia de discapacitados, de personas de la tercera edad o de menores de edad en los hogares postulantes. </w:t>
      </w:r>
    </w:p>
    <w:p w14:paraId="67558CB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80368C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1.4 Hacinamiento actual de los hogares, considerado como un número mayor de tres (3) personas por habitación. </w:t>
      </w:r>
    </w:p>
    <w:p w14:paraId="15D835A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28FDFF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1.5 Grado de escolaridad del jefe o jefes del hogar. </w:t>
      </w:r>
    </w:p>
    <w:p w14:paraId="0490412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D204C0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Impacto en el territorio actual. Se tendrá en cuenta la localización actual de los hogares desplazados en zonas de alto riesgo, las zonas de mayor concentración de hogares desplazados y la existencia de programas locales de atención. </w:t>
      </w:r>
    </w:p>
    <w:p w14:paraId="4B10D69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00483D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3. Integralidad. Los planes de acción incluirán programas complementarios de generación de ingresos, atención a la población vulnerable, mejoramiento de la infraestructura física, que se </w:t>
      </w:r>
      <w:r w:rsidRPr="009342F9">
        <w:rPr>
          <w:rFonts w:ascii="Arial" w:eastAsia="Times New Roman" w:hAnsi="Arial" w:cs="Arial"/>
          <w:color w:val="000000"/>
          <w:lang w:eastAsia="es-CO"/>
        </w:rPr>
        <w:lastRenderedPageBreak/>
        <w:t>adelanten por entidades del orden internacional, nacional, departamental y local, públicas y privadas, dentro del marco de la consolidación y estabilización socioeconómica. </w:t>
      </w:r>
    </w:p>
    <w:p w14:paraId="2841CE8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F9CF69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Concurrencia. Los planes de acción incluirán, en lo posible, programas y recursos internacionales, nacionales y locales, que procuren la financiación de las soluciones habitacionales </w:t>
      </w:r>
    </w:p>
    <w:p w14:paraId="1E8B0164"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204" w:name="ver_30210163"/>
      <w:bookmarkStart w:id="205" w:name="ver_30069172"/>
      <w:bookmarkEnd w:id="204"/>
    </w:p>
    <w:p w14:paraId="55C1108D" w14:textId="5C4C6217" w:rsidR="00FC79C1"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2.1.1.1.2.1.8. Tipos de solución habitacional a los que se destina el subsidio de vivienda. Para efectos de lo previsto en la presente subsección, las soluciones de vivienda en las cuales se puede aplicar el subsidio de </w:t>
      </w:r>
      <w:proofErr w:type="gramStart"/>
      <w:r w:rsidRPr="009342F9">
        <w:rPr>
          <w:rFonts w:ascii="Arial" w:eastAsia="Times New Roman" w:hAnsi="Arial" w:cs="Arial"/>
          <w:color w:val="000000"/>
          <w:lang w:eastAsia="es-CO"/>
        </w:rPr>
        <w:t>vivienda,</w:t>
      </w:r>
      <w:proofErr w:type="gramEnd"/>
      <w:r w:rsidRPr="009342F9">
        <w:rPr>
          <w:rFonts w:ascii="Arial" w:eastAsia="Times New Roman" w:hAnsi="Arial" w:cs="Arial"/>
          <w:color w:val="000000"/>
          <w:lang w:eastAsia="es-CO"/>
        </w:rPr>
        <w:t xml:space="preserve"> deberán cumplir, en lo que no sea contrario con la presente subsección, con lo señalado en la sección 2.1.1.1.1 del presente decreto o las normas que lo modifiquen, complementen, adicionen o sustituyan.  </w:t>
      </w:r>
    </w:p>
    <w:p w14:paraId="795BF028" w14:textId="77777777" w:rsidR="009342F9" w:rsidRPr="009342F9" w:rsidRDefault="009342F9" w:rsidP="00FC79C1">
      <w:pPr>
        <w:spacing w:after="0" w:line="240" w:lineRule="auto"/>
        <w:jc w:val="both"/>
        <w:rPr>
          <w:rFonts w:ascii="Arial" w:eastAsia="Times New Roman" w:hAnsi="Arial" w:cs="Arial"/>
          <w:color w:val="000000"/>
          <w:lang w:eastAsia="es-CO"/>
        </w:rPr>
      </w:pPr>
    </w:p>
    <w:p w14:paraId="6AA4C60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El valor de las soluciones habitacionales nuevas o usadas, en las áreas urbanas incluyendo el valor del lote, no podrá superar los noventa (90) salarios mínimos legales mensuales vigentes.  </w:t>
      </w:r>
    </w:p>
    <w:p w14:paraId="0D2BF2BE" w14:textId="77777777" w:rsidR="00FC79C1" w:rsidRPr="009342F9" w:rsidRDefault="00FC79C1" w:rsidP="00FC79C1">
      <w:pPr>
        <w:spacing w:after="0" w:line="240" w:lineRule="auto"/>
        <w:jc w:val="both"/>
        <w:rPr>
          <w:rFonts w:ascii="Arial" w:eastAsia="Times New Roman" w:hAnsi="Arial" w:cs="Arial"/>
          <w:color w:val="000000"/>
          <w:lang w:eastAsia="es-CO"/>
        </w:rPr>
      </w:pPr>
    </w:p>
    <w:p w14:paraId="4E4E5F26" w14:textId="1252CA6A"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Para construcción en sitio propio, el valor de la solución habitacional en áreas </w:t>
      </w:r>
      <w:proofErr w:type="gramStart"/>
      <w:r w:rsidRPr="009342F9">
        <w:rPr>
          <w:rFonts w:ascii="Arial" w:eastAsia="Times New Roman" w:hAnsi="Arial" w:cs="Arial"/>
          <w:color w:val="000000"/>
          <w:lang w:eastAsia="es-CO"/>
        </w:rPr>
        <w:t>urbanas,</w:t>
      </w:r>
      <w:proofErr w:type="gramEnd"/>
      <w:r w:rsidRPr="009342F9">
        <w:rPr>
          <w:rFonts w:ascii="Arial" w:eastAsia="Times New Roman" w:hAnsi="Arial" w:cs="Arial"/>
          <w:color w:val="000000"/>
          <w:lang w:eastAsia="es-CO"/>
        </w:rPr>
        <w:t xml:space="preserve"> no podrá superar los noventa (90) salarios mínimos legales mensuales vigentes.  </w:t>
      </w:r>
    </w:p>
    <w:p w14:paraId="03C99277"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206" w:name="ver_30069173"/>
      <w:bookmarkEnd w:id="205"/>
      <w:bookmarkEnd w:id="206"/>
    </w:p>
    <w:p w14:paraId="670483D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2.1.1.1.2.1.9. Subsidio a la vivienda usada. Para el caso de la población desplazada, el subsidio de vivienda se podrá destinar a la adquisición de vivienda usada, siempre y cuando dicha solución no se encuentre localizada en zonas de riesgo, ni en áreas urbanas o rurales no legalizadas del respectivo municipio y se acredite la titularidad del derecho de dominio en cabeza del vendedor, mediante certificado de tradición y libertad en el que conste, además, que el bien se encuentra libre de cualquier gravamen o limitación a la propiedad. En todo caso se debe observar el límite previsto en el inciso tercero del artículo anterior. </w:t>
      </w:r>
    </w:p>
    <w:p w14:paraId="3343D50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C5077A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Parágrafo. El certificado de tradición y libertad de que trata el presente </w:t>
      </w:r>
      <w:proofErr w:type="gramStart"/>
      <w:r w:rsidRPr="009342F9">
        <w:rPr>
          <w:rFonts w:ascii="Arial" w:eastAsia="Times New Roman" w:hAnsi="Arial" w:cs="Arial"/>
          <w:color w:val="000000"/>
          <w:lang w:eastAsia="es-CO"/>
        </w:rPr>
        <w:t>artículo,</w:t>
      </w:r>
      <w:proofErr w:type="gramEnd"/>
      <w:r w:rsidRPr="009342F9">
        <w:rPr>
          <w:rFonts w:ascii="Arial" w:eastAsia="Times New Roman" w:hAnsi="Arial" w:cs="Arial"/>
          <w:color w:val="000000"/>
          <w:lang w:eastAsia="es-CO"/>
        </w:rPr>
        <w:t xml:space="preserve"> deberá tener una fecha de expedición no superior a tres (3) meses, contados a partir de la fecha de presentación de la solicitud. </w:t>
      </w:r>
    </w:p>
    <w:p w14:paraId="3474CD57" w14:textId="13A737AC"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07" w:name="ver_30069174"/>
      <w:bookmarkEnd w:id="207"/>
    </w:p>
    <w:p w14:paraId="7FF6527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2.1.1.1.2.1.10. Subsidio al mejoramiento de vivienda. Se entiende por mejoramiento de vivienda, la modalidad definida en el artículo 2.1.1.1.1.1.2 numeral 2.6.4. del presente decreto o las normas que lo modifiquen, complementen, adicionen o sustituyan. </w:t>
      </w:r>
    </w:p>
    <w:p w14:paraId="21894EBB" w14:textId="77080228"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08" w:name="ver_30069175"/>
      <w:bookmarkEnd w:id="208"/>
    </w:p>
    <w:p w14:paraId="2B9E2B9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2.1.1.1.2.1.11. Subsidio al arrendamiento. Para el caso de población desplazada, el subsidio familiar de vivienda podrá otorgarse para el pago del arrendamiento de un inmueble, dentro de las condiciones establecidas por esta subsección, en cuyo caso este se pagará en instalamentos, durante un plazo máximo de 24 meses. </w:t>
      </w:r>
    </w:p>
    <w:p w14:paraId="6DFAD03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A11B23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Las entidades otorgantes del Subsidio Familiar de Vivienda desembolsarán en forma anticipada la totalidad del subsidio a la Cuenta de Ahorro Programado, CAP, del beneficiario, una vez presentada la Declaración </w:t>
      </w:r>
      <w:proofErr w:type="spellStart"/>
      <w:r w:rsidRPr="009342F9">
        <w:rPr>
          <w:rFonts w:ascii="Arial" w:eastAsia="Times New Roman" w:hAnsi="Arial" w:cs="Arial"/>
          <w:color w:val="000000"/>
          <w:lang w:eastAsia="es-CO"/>
        </w:rPr>
        <w:t>Extrajuicio</w:t>
      </w:r>
      <w:proofErr w:type="spellEnd"/>
      <w:r w:rsidRPr="009342F9">
        <w:rPr>
          <w:rFonts w:ascii="Arial" w:eastAsia="Times New Roman" w:hAnsi="Arial" w:cs="Arial"/>
          <w:color w:val="000000"/>
          <w:lang w:eastAsia="es-CO"/>
        </w:rPr>
        <w:t xml:space="preserve"> en la cual se compromete a la aplicación del subsidio familiar de vivienda para el arrendamiento de una solución de vivienda. </w:t>
      </w:r>
    </w:p>
    <w:p w14:paraId="23EE5CF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A71550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Los recursos del subsidio familiar de vivienda permanecerán en forma inmovilizada en la cuenta de ahorro programado, hasta el momento en que el beneficiario acredite ante la entidad otorgante del subsidio familiar de vivienda o su operador si los hubiese, la suscripción del respectivo contrato de arrendamiento de la solución de vivienda, presentando copia </w:t>
      </w:r>
      <w:proofErr w:type="gramStart"/>
      <w:r w:rsidRPr="009342F9">
        <w:rPr>
          <w:rFonts w:ascii="Arial" w:eastAsia="Times New Roman" w:hAnsi="Arial" w:cs="Arial"/>
          <w:color w:val="000000"/>
          <w:lang w:eastAsia="es-CO"/>
        </w:rPr>
        <w:t>del mismo</w:t>
      </w:r>
      <w:proofErr w:type="gramEnd"/>
      <w:r w:rsidRPr="009342F9">
        <w:rPr>
          <w:rFonts w:ascii="Arial" w:eastAsia="Times New Roman" w:hAnsi="Arial" w:cs="Arial"/>
          <w:color w:val="000000"/>
          <w:lang w:eastAsia="es-CO"/>
        </w:rPr>
        <w:t xml:space="preserve">. Evento en el cual los cánones de arrendamiento serán movilizados semestralmente de manera anticipada </w:t>
      </w:r>
      <w:r w:rsidRPr="009342F9">
        <w:rPr>
          <w:rFonts w:ascii="Arial" w:eastAsia="Times New Roman" w:hAnsi="Arial" w:cs="Arial"/>
          <w:color w:val="000000"/>
          <w:lang w:eastAsia="es-CO"/>
        </w:rPr>
        <w:lastRenderedPageBreak/>
        <w:t>directamente al arrendador del inmueble previa constancia de vigencia del contrato que deberá ser suscrita por el beneficiario del subsidio y por el arrendador de la solución de vivienda. </w:t>
      </w:r>
    </w:p>
    <w:p w14:paraId="38D803E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21B63C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Semestralmente se hará una relación de actualización de los contratos de arrendamientos que se encuentren vigentes para efectos de la movilización de los recursos. En todo caso, en el evento de demostrarse que para los procesos de desembolso y movilización del recurso se presentó información falsa o fraudulenta se impondrán las sanciones a que haya lugar de acuerdo con lo dispuesto en la Ley. </w:t>
      </w:r>
    </w:p>
    <w:p w14:paraId="129E45DB" w14:textId="412B3391"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09" w:name="ver_30069176"/>
      <w:bookmarkEnd w:id="209"/>
    </w:p>
    <w:p w14:paraId="5CEAAF2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2.1.1.1.2.1.12. Condiciones especiales del subsidio de vivienda para arrendamiento. Al vencimiento del contrato de arrendamiento, los beneficiarios del subsidio familiar de vivienda, podrán continuar aplicando el subsidio familiar de vivienda para arrendamiento hasta completar los 24 meses, o podrán acceder a la diferencia entre el subsidio familiar de vivienda para arrendamiento y el valor del subsidio previsto para alguna de las opciones de solución de vivienda contempladas en la presente subsección, siempre y cuando reúnan los requisitos establecidos para acceder a estos últimos; y en caso de resultar una porción no utilizada del subsidio de arrendamiento, esta podrá destinarse al acceso a la solución de vivienda. En el evento que el beneficiario no opte por ninguna de las dos opciones anteriormente señaladas, la porción del subsidio familiar de vivienda no utilizada que se encuentra inmovilizada en la cuenta de ahorro programado será restituida a la entidad otorgante del subsidio. </w:t>
      </w:r>
    </w:p>
    <w:p w14:paraId="27B3ADC5" w14:textId="77777777" w:rsid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10" w:name="ver_30069177"/>
      <w:bookmarkEnd w:id="210"/>
    </w:p>
    <w:p w14:paraId="28503FA9" w14:textId="75C1D274"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2.1.1.1.2.1.13. Valor del subsidio. Para la población en situación de desplazamiento el valor del subsidio familiar de vivienda asignado por el Fondo Nacional de Vivienda –FONVIVIENDA– aplicable tanto en suelo urbano, será el siguiente: </w:t>
      </w:r>
    </w:p>
    <w:p w14:paraId="29A704F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77772DF" w14:textId="4314C317" w:rsidR="00FC79C1" w:rsidRPr="009342F9" w:rsidRDefault="48ABE02E" w:rsidP="00FC79C1">
      <w:pPr>
        <w:spacing w:after="0" w:line="240" w:lineRule="auto"/>
        <w:jc w:val="both"/>
        <w:rPr>
          <w:rFonts w:ascii="Arial" w:eastAsia="Times New Roman" w:hAnsi="Arial" w:cs="Arial"/>
          <w:color w:val="000000"/>
          <w:lang w:eastAsia="es-CO"/>
        </w:rPr>
      </w:pPr>
      <w:r>
        <w:rPr>
          <w:noProof/>
        </w:rPr>
        <w:drawing>
          <wp:inline distT="0" distB="0" distL="0" distR="0" wp14:anchorId="2248169B" wp14:editId="4FB9000E">
            <wp:extent cx="5452110" cy="1518285"/>
            <wp:effectExtent l="0" t="0" r="0" b="571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pic:nvPicPr>
                  <pic:blipFill>
                    <a:blip r:embed="rId9">
                      <a:extLst>
                        <a:ext uri="{28A0092B-C50C-407E-A947-70E740481C1C}">
                          <a14:useLocalDpi xmlns:a14="http://schemas.microsoft.com/office/drawing/2010/main" val="0"/>
                        </a:ext>
                      </a:extLst>
                    </a:blip>
                    <a:stretch>
                      <a:fillRect/>
                    </a:stretch>
                  </pic:blipFill>
                  <pic:spPr>
                    <a:xfrm>
                      <a:off x="0" y="0"/>
                      <a:ext cx="5452110" cy="1518285"/>
                    </a:xfrm>
                    <a:prstGeom prst="rect">
                      <a:avLst/>
                    </a:prstGeom>
                  </pic:spPr>
                </pic:pic>
              </a:graphicData>
            </a:graphic>
          </wp:inline>
        </w:drawing>
      </w:r>
      <w:r w:rsidR="00FC79C1" w:rsidRPr="3DD719FF">
        <w:rPr>
          <w:rFonts w:ascii="Arial" w:eastAsia="Times New Roman" w:hAnsi="Arial" w:cs="Arial"/>
          <w:color w:val="000000" w:themeColor="text1"/>
          <w:lang w:eastAsia="es-CO"/>
        </w:rPr>
        <w:t> </w:t>
      </w:r>
    </w:p>
    <w:p w14:paraId="0C7E8C6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DDC6E5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1°. Los hogares beneficiarios del subsidio familiar de vivienda asignado a la población en situación de desplazamiento por el Fondo Nacional de Vivienda que al 16 de diciembre de 2009 no lo hubieran aplicado, podrán solicitar el ajuste del subsidio asignado, hasta alcanzar el valor indicado en salarios mínimos mensuales legales en el presente artículo para la respectiva modalidad de adquisición de vivienda nueva, adquisición de vivienda usada, construcción en sitio propio y mejoramiento de vivienda. Para efectos del desembolso e independientemente de que los subsidios a los que se refiere el presente artículo hayan sido asignados en años anteriores al 2009, su cuantía será calculada con base en el valor del salario mínimo mensual legal vigente para el año 2009. </w:t>
      </w:r>
    </w:p>
    <w:p w14:paraId="3C82825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5CED8A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El ajuste del valor adicional y actualización del valor del subsidio familiar de vivienda a salarios mínimos mensuales legales vigentes del año 2009, de que trata el presente parágrafo, operará siempre y cuando el hogar beneficiario tramite su cobro incorporando los nuevos valores del subsidio familiar de vivienda, y cumpla con la totalidad de los requisitos señalados en los artículos 2.1.1.1.1.5.1.1, 2.1.1.1.1.5.1.2 y 2.1.1.1.1.5.1.3 del presente decreto, o las normas que lo </w:t>
      </w:r>
      <w:r w:rsidRPr="009342F9">
        <w:rPr>
          <w:rFonts w:ascii="Arial" w:eastAsia="Times New Roman" w:hAnsi="Arial" w:cs="Arial"/>
          <w:color w:val="000000"/>
          <w:lang w:eastAsia="es-CO"/>
        </w:rPr>
        <w:lastRenderedPageBreak/>
        <w:t>modifiquen, adicionen o sustituyan, según sea el caso, y sujeto a la disponibilidad de recursos. Una vez asignado el ajuste del valor adicional y actualización del subsidio familiar de vivienda por parte del Fondo Nacional de Vivienda, se dará aplicación a lo dispuesto por el artículo 2.1.1.1.2.1.25 del presente decreto. </w:t>
      </w:r>
    </w:p>
    <w:p w14:paraId="1B5AA6C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FBE1DC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Parágrafo 2°. El ajuste y actualización del subsidio familiar de vivienda asignado a la población en situación de desplazamiento conforme se señala en el presente artículo, no provocará la modificación de las demás condiciones de asignación </w:t>
      </w:r>
      <w:proofErr w:type="gramStart"/>
      <w:r w:rsidRPr="009342F9">
        <w:rPr>
          <w:rFonts w:ascii="Arial" w:eastAsia="Times New Roman" w:hAnsi="Arial" w:cs="Arial"/>
          <w:color w:val="000000"/>
          <w:lang w:eastAsia="es-CO"/>
        </w:rPr>
        <w:t>del mismo</w:t>
      </w:r>
      <w:proofErr w:type="gramEnd"/>
      <w:r w:rsidRPr="009342F9">
        <w:rPr>
          <w:rFonts w:ascii="Arial" w:eastAsia="Times New Roman" w:hAnsi="Arial" w:cs="Arial"/>
          <w:color w:val="000000"/>
          <w:lang w:eastAsia="es-CO"/>
        </w:rPr>
        <w:t>. </w:t>
      </w:r>
    </w:p>
    <w:p w14:paraId="3B8844B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5BFEA2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3°. Los hogares beneficiarios del subsidio familiar de vivienda asignado a la población en situación de desplazamiento por el Fondo Nacional de Vivienda antes del 16 de diciembre de 2009, que se encuentren vinculados a proyectos de vivienda en ejecución y que en virtud del artículo 2.1.1.1.1.5.1.2 del presente decreto solicitaron el desembolso del subsidio a encargo fiduciario, podrán solicitar el ajuste en el valor del subsidio asignado hasta alcanzar el valor indicado en la presente subsección, para la modalidad de adquisición de vivienda nueva. </w:t>
      </w:r>
    </w:p>
    <w:p w14:paraId="5E87C32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9574E8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4°. El Ministerio de Vivienda, Ciudad y Territorio mediante resolución establecerá los requisitos y condiciones para que sea procedente el proceso de actualización y valor adicional de los subsidios familiares de vivienda asignados a la población en situación de desplazamiento de que trata el presente artículo. </w:t>
      </w:r>
    </w:p>
    <w:p w14:paraId="6A574F21"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211" w:name="ver_30069178"/>
      <w:bookmarkEnd w:id="211"/>
    </w:p>
    <w:p w14:paraId="3283980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2.1.1.1.2.1.14. Modalidades de postulación al subsidio. Para la población desplazada, la postulación al subsidio de vivienda podrá ser individual o colectiva. Se denomina postulación individual aquella en la cual un hogar, en forma independiente, solicita el subsidio para alguna de las soluciones de vivienda previstas en la presente subsección. Se denomina postulación colectiva aquella en la cual un grupo de hogares solicita el subsidio para su aplicación a soluciones de vivienda que conforman un proyecto en el que participan los postulantes. </w:t>
      </w:r>
    </w:p>
    <w:p w14:paraId="5AB999F2" w14:textId="254C577B"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12" w:name="ver_30069179"/>
      <w:bookmarkEnd w:id="212"/>
    </w:p>
    <w:p w14:paraId="1D53B1A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2.1.1.1.2.1.15. Distribución territorial de los subsidios de vivienda para la población desplazada. La distribución territorial de los recursos, para el otorgamiento del subsidio, se realizará de acuerdo con los coeficientes de distribución que establezca el Ministerio de Vivienda, Ciudad y Territorio en el área urbana, atendiendo en todos los casos los siguientes criterios: </w:t>
      </w:r>
    </w:p>
    <w:p w14:paraId="2ED249B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4632F0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Departamentos con mayor número de desplazados de acuerdo con el Registro Único de Víctimas de la Unidad Administrativa Especial de Atención y Reparación Integral a las Víctimas. </w:t>
      </w:r>
    </w:p>
    <w:p w14:paraId="7C10CE5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BC846B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Departamentos donde el desplazamiento tenga mayor impacto con relación a su estado de pobreza, de acuerdo con el NBI departamental, calculado a partir de las proyecciones demográficas del DANE para el año de postulación. </w:t>
      </w:r>
    </w:p>
    <w:p w14:paraId="3D4E421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E4A0AC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Departamentos y municipios con mayor demanda de subsidios habitacionales para programas de retorno. </w:t>
      </w:r>
    </w:p>
    <w:p w14:paraId="798C446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52890E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Una vez terminado el proceso de postulación, el Ministerio de Vivienda, Ciudad y Territorio, con base en la información entregada por las entidades correspondientes, establecerá para el sector urbano los cupos departamentales de recursos del subsidio de vivienda. </w:t>
      </w:r>
    </w:p>
    <w:p w14:paraId="504C19B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283E1A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Para la distribución de los recursos se tendrán en cuenta solo los departamentos con postulaciones aceptadas. </w:t>
      </w:r>
    </w:p>
    <w:p w14:paraId="47144754" w14:textId="5DCE929C" w:rsidR="00FC79C1" w:rsidRPr="009342F9" w:rsidRDefault="00FC79C1" w:rsidP="009342F9">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13" w:name="ver_30069180"/>
      <w:bookmarkEnd w:id="213"/>
    </w:p>
    <w:p w14:paraId="7001330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Artículo 2.1.1.1.2.1.16. Criterios de calificación de las postulaciones y asignación de los subsidios de vivienda de interés social urbana. La calificación para las postulaciones y asignación del subsidio de vivienda, en el caso de la población desplazada, se realizará de acuerdo con la ponderación de las siguientes variables: </w:t>
      </w:r>
    </w:p>
    <w:p w14:paraId="790FD21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EFB6C8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 Modalidad de aplicación del subsidio familiar de vivienda (MA): Adquisición de vivienda nueva o usada; mejoramiento de vivienda; construcción en sitio propio. </w:t>
      </w:r>
    </w:p>
    <w:p w14:paraId="3E7F95D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FA348D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b) Composición familiar (CF): Hace referencia al número de miembros que conforman el hogar postulante. </w:t>
      </w:r>
    </w:p>
    <w:p w14:paraId="762F539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0A7047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 Composición étnica (CE): Hace referencia a hogares desplazados de minorías étnicas como: Negritudes, afrocolombianos, palenqueros, raizales, indígenas, ROM o Gitanos. </w:t>
      </w:r>
    </w:p>
    <w:p w14:paraId="726290F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A5FF76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d) Única Jefatura (UJ): Hogares dependientes de un solo miembro, mujer u hombre cabeza de hogar. </w:t>
      </w:r>
    </w:p>
    <w:p w14:paraId="5EA2C93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60E0F8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 Hogares con miembros vulnerables (HMV): Hogares con menores de edad, adultos mayores de sesenta y cinco (65) años, y personas con discapacidad. </w:t>
      </w:r>
    </w:p>
    <w:p w14:paraId="0477ACD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E2F011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f) Hogares inscritos en Planes de Vivienda (P): Hogares que hacen parte de planes de vivienda. </w:t>
      </w:r>
    </w:p>
    <w:p w14:paraId="6C4A67C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D7D6BE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g) Hogares incluidos en la Red para la Superación de la Pobreza Extrema Unidos, UNIDOS. </w:t>
      </w:r>
    </w:p>
    <w:p w14:paraId="4FA178E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0A8E74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h) Dependencia económica (DE): Es la relación entre la sumatoria de niños, discapacitados y adultos mayores sobre el total de números de miembros del hogar. </w:t>
      </w:r>
    </w:p>
    <w:p w14:paraId="6ABC633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836C3B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i) Tiempo en situación de desplazamiento (TD): Hace referencia a los años que el hogar ha estado en condición de desplazado. </w:t>
      </w:r>
    </w:p>
    <w:p w14:paraId="3717B453" w14:textId="77777777" w:rsid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14" w:name="ver_30069181"/>
      <w:bookmarkEnd w:id="214"/>
    </w:p>
    <w:p w14:paraId="468EDD6F" w14:textId="6EB8801C"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2.1.1.1.2.1.17. Fórmula para la calificación y asignación de los subsidios de vivienda de interés social urbana para población desplazada. La Fórmula para la calificación y asignación de los subsidios de vivienda para población desplazada es: </w:t>
      </w:r>
    </w:p>
    <w:p w14:paraId="71D1BC9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63DFCAD" w14:textId="444B7AFF" w:rsidR="00FC79C1" w:rsidRPr="009342F9" w:rsidRDefault="48ABE02E" w:rsidP="00FC79C1">
      <w:pPr>
        <w:spacing w:after="0" w:line="240" w:lineRule="auto"/>
        <w:jc w:val="both"/>
        <w:rPr>
          <w:rFonts w:ascii="Arial" w:eastAsia="Times New Roman" w:hAnsi="Arial" w:cs="Arial"/>
          <w:color w:val="000000"/>
          <w:lang w:eastAsia="es-CO"/>
        </w:rPr>
      </w:pPr>
      <w:r>
        <w:rPr>
          <w:noProof/>
        </w:rPr>
        <w:lastRenderedPageBreak/>
        <w:drawing>
          <wp:inline distT="0" distB="0" distL="0" distR="0" wp14:anchorId="429805EF" wp14:editId="00FB454E">
            <wp:extent cx="5166996" cy="3502025"/>
            <wp:effectExtent l="0" t="0" r="0" b="317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10">
                      <a:extLst>
                        <a:ext uri="{28A0092B-C50C-407E-A947-70E740481C1C}">
                          <a14:useLocalDpi xmlns:a14="http://schemas.microsoft.com/office/drawing/2010/main" val="0"/>
                        </a:ext>
                      </a:extLst>
                    </a:blip>
                    <a:stretch>
                      <a:fillRect/>
                    </a:stretch>
                  </pic:blipFill>
                  <pic:spPr>
                    <a:xfrm>
                      <a:off x="0" y="0"/>
                      <a:ext cx="5166996" cy="3502025"/>
                    </a:xfrm>
                    <a:prstGeom prst="rect">
                      <a:avLst/>
                    </a:prstGeom>
                  </pic:spPr>
                </pic:pic>
              </a:graphicData>
            </a:graphic>
          </wp:inline>
        </w:drawing>
      </w:r>
      <w:r w:rsidR="00FC79C1" w:rsidRPr="3DD719FF">
        <w:rPr>
          <w:rFonts w:ascii="Arial" w:eastAsia="Times New Roman" w:hAnsi="Arial" w:cs="Arial"/>
          <w:color w:val="000000" w:themeColor="text1"/>
          <w:lang w:eastAsia="es-CO"/>
        </w:rPr>
        <w:t> </w:t>
      </w:r>
    </w:p>
    <w:p w14:paraId="72F12E4D" w14:textId="3F9C0554" w:rsidR="00FC79C1" w:rsidRPr="009342F9" w:rsidRDefault="00FC79C1" w:rsidP="00FC79C1">
      <w:pPr>
        <w:spacing w:after="0" w:line="240" w:lineRule="auto"/>
        <w:jc w:val="both"/>
        <w:rPr>
          <w:rFonts w:ascii="Arial" w:eastAsia="Times New Roman" w:hAnsi="Arial" w:cs="Arial"/>
          <w:color w:val="000000"/>
          <w:lang w:eastAsia="es-CO"/>
        </w:rPr>
      </w:pPr>
      <w:r w:rsidRPr="3DD719FF">
        <w:rPr>
          <w:rFonts w:ascii="Arial" w:eastAsia="Times New Roman" w:hAnsi="Arial" w:cs="Arial"/>
          <w:color w:val="000000" w:themeColor="text1"/>
          <w:lang w:eastAsia="es-CO"/>
        </w:rPr>
        <w:lastRenderedPageBreak/>
        <w:t>  </w:t>
      </w:r>
      <w:r w:rsidR="48ABE02E">
        <w:rPr>
          <w:noProof/>
        </w:rPr>
        <w:drawing>
          <wp:inline distT="0" distB="0" distL="0" distR="0" wp14:anchorId="5D28828E" wp14:editId="5E271067">
            <wp:extent cx="5520690" cy="7867013"/>
            <wp:effectExtent l="0" t="0" r="3810" b="63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11">
                      <a:extLst>
                        <a:ext uri="{28A0092B-C50C-407E-A947-70E740481C1C}">
                          <a14:useLocalDpi xmlns:a14="http://schemas.microsoft.com/office/drawing/2010/main" val="0"/>
                        </a:ext>
                      </a:extLst>
                    </a:blip>
                    <a:stretch>
                      <a:fillRect/>
                    </a:stretch>
                  </pic:blipFill>
                  <pic:spPr>
                    <a:xfrm>
                      <a:off x="0" y="0"/>
                      <a:ext cx="5520690" cy="7867013"/>
                    </a:xfrm>
                    <a:prstGeom prst="rect">
                      <a:avLst/>
                    </a:prstGeom>
                  </pic:spPr>
                </pic:pic>
              </a:graphicData>
            </a:graphic>
          </wp:inline>
        </w:drawing>
      </w:r>
      <w:r w:rsidRPr="3DD719FF">
        <w:rPr>
          <w:rFonts w:ascii="Arial" w:eastAsia="Times New Roman" w:hAnsi="Arial" w:cs="Arial"/>
          <w:color w:val="000000" w:themeColor="text1"/>
          <w:lang w:eastAsia="es-CO"/>
        </w:rPr>
        <w:t> </w:t>
      </w:r>
    </w:p>
    <w:p w14:paraId="298A43EC"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215" w:name="ver_30069182"/>
      <w:bookmarkEnd w:id="215"/>
    </w:p>
    <w:p w14:paraId="385C89A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Artículo 2.1.1.1.2.1.18. Puntaje promedio en las postulaciones colectivas. En el caso de las postulaciones colectivas, el puntaje de cada uno de sus miembros será el promedio del grupo, obtenido mediante la suma de los puntos de cada uno de los integrantes postulantes dividida por el número de postulantes miembros del grupo. </w:t>
      </w:r>
    </w:p>
    <w:p w14:paraId="4CDB2F17" w14:textId="42733A8B"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16" w:name="ver_30069183"/>
      <w:bookmarkEnd w:id="216"/>
    </w:p>
    <w:p w14:paraId="0FAA535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2.1.1.1.2.1.19. Requisitos que deben presentar las entidades oferentes de programas de vivienda para desplazados, en postulación colectiva. Los oferentes que deseen participar en la presentación de programas de vivienda para desplazados en proyectos de adquisición de vivienda nueva, mejoramiento de vivienda y construcción en sitio propio, que se realicen con base en la presente política, deberán acreditar ante el Fondo Nacional de Vivienda - FONVIVIENDA, para el caso del sector urbano, los siguientes requisitos: </w:t>
      </w:r>
    </w:p>
    <w:p w14:paraId="144CA74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BB9DA6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 Estar legalmente constituida e inscrita en la Cámara de Comercio respectiva; </w:t>
      </w:r>
    </w:p>
    <w:p w14:paraId="03FCA78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EB4383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b) Estar inscrita en el Registro Único de Proponentes; </w:t>
      </w:r>
    </w:p>
    <w:p w14:paraId="32DD831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6FA5BB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 Demostrar una capacidad financiera de contratación, igual o mayor al valor total del proyecto presentado para declaratoria de elegibilidad; </w:t>
      </w:r>
    </w:p>
    <w:p w14:paraId="7D9DB0A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58EFEF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d) Demostrar una experiencia mínima de dos (2) años en gestión y promoción de vivienda; </w:t>
      </w:r>
    </w:p>
    <w:p w14:paraId="79D80CC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06F910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 Estar sometida a auditoría externa. </w:t>
      </w:r>
    </w:p>
    <w:p w14:paraId="031B85E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1EC7FA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1°. La experiencia mínima, exigida a la entidad, se podrá suplir con la demostración de 10 años de experiencia específica en gestión y promoción de vivienda, por parte del representante legal de la entidad oferente. </w:t>
      </w:r>
    </w:p>
    <w:p w14:paraId="78E90A5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F3FC8E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2°. Cuando las Organizaciones Populares de Vivienda no cumplan con los requisitos establecidos en los literales c) y d), éstos se podrán suplir con un aval de un organismo de segundo grado –Federación de Vivienda– legalmente reconocida, la contratación de una entidad privada o la constitución de una unión temporal que cumpla, además, con los requisitos exigidos de capacidad de contratación y de tiempo de experiencia. La organización de segundo grado, la entidad contratada o la unión temporal, responderán solidariamente en todos los aspectos, ante la entidad otorgante del subsidio, por la postulación realizada por las Organizaciones Populares de Vivienda. </w:t>
      </w:r>
    </w:p>
    <w:p w14:paraId="6D0B69C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9E6275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tal caso, el valor del proyecto afectará la capacidad financiera residual de contratación de la organización de segundo grado, la entidad contratada o la unión temporal. </w:t>
      </w:r>
    </w:p>
    <w:p w14:paraId="3D81625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7A5B27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3°. Las entidades territoriales o las unidades administrativas, dependencias, entidades, entes u oficinas que cumplan con las funciones de implantar las políticas de vivienda de interés social en el municipio o distrito, participarán, por derecho propio, como oferentes en programas de vivienda para desplazados con postulación colectiva. </w:t>
      </w:r>
    </w:p>
    <w:p w14:paraId="04D80989" w14:textId="53E173A2"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17" w:name="ver_30069184"/>
      <w:bookmarkEnd w:id="217"/>
    </w:p>
    <w:p w14:paraId="6EF28C2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2.1.1.1.2.1.20. Financiación del subsidio de vivienda. La financiación de la política de vivienda para la población desplazada se atenderá con cargo a los recursos que se asignen, para tal propósito, por parte del Gobierno Nacional. </w:t>
      </w:r>
    </w:p>
    <w:p w14:paraId="2970A4F1" w14:textId="7DBD97A3"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18" w:name="ver_30069185"/>
      <w:bookmarkEnd w:id="218"/>
    </w:p>
    <w:p w14:paraId="617488B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2.1.1.1.2.1.21. Esquema de operación institucional. El esquema de operación se ajustará al Plan Nacional para la Atención y Reparación Integral a las Víctimas, concentrando la coordinación de la ejecución en la Unidad Administrativa Especial de Atención y Reparación </w:t>
      </w:r>
      <w:r w:rsidRPr="009342F9">
        <w:rPr>
          <w:rFonts w:ascii="Arial" w:eastAsia="Times New Roman" w:hAnsi="Arial" w:cs="Arial"/>
          <w:color w:val="000000"/>
          <w:lang w:eastAsia="es-CO"/>
        </w:rPr>
        <w:lastRenderedPageBreak/>
        <w:t>Integral a las Víctimas, con un esquema flexible de ejecución en el ámbito regional y local, que involucre a las entidades territoriales en acciones de su responsabilidad y permita la participación de las entidades públicas, el sector privado, agencias internacionales, ONG y organizaciones de población de desplazada en la ejecución de cada una de las acciones. </w:t>
      </w:r>
    </w:p>
    <w:p w14:paraId="4EACD1A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6F3EE5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 operación en el territorio tendrá como escenario de trabajo el Comité Municipal o Distrital de Atención y Reparación Integral a las Víctimas. No obstante, las entidades que los conforman tendrán a su cargo la incorporación del tema al interior de sus políticas sectoriales y en los foros en que ellas se desarrollen, tales como: POT, Plan de Desarrollo Municipal, Comité de Planeación Territorial Departamental, Planes de Vivienda Social de los Fondos de Vivienda Municipales y del Banco Agrario, promoviendo para ello los talleres de concertación que sean necesarios. </w:t>
      </w:r>
    </w:p>
    <w:p w14:paraId="2D7EDF74" w14:textId="6602B9D1"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19" w:name="ver_30069186"/>
      <w:bookmarkEnd w:id="219"/>
    </w:p>
    <w:p w14:paraId="774F276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2.1.1.1.2.1.22. Comisión intersectorial para el seguimiento de la política de vivienda urbana para población desplazada. Créase la Comisión Intersectorial para el seguimiento e implantación de la política de vivienda urbana para la atención a la población desplazada, con el objeto de evaluar la ejecución y el impacto de esta y recomendar los ajustes necesarios, para lograr los objetivos establecidos en la política nacional de atención integral a la población desplazada y en la presente subsección. </w:t>
      </w:r>
    </w:p>
    <w:p w14:paraId="32A67D9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82D037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 Comisión Intersectorial estará integrada así: </w:t>
      </w:r>
    </w:p>
    <w:p w14:paraId="31EABE8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59B1F4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El </w:t>
      </w:r>
      <w:proofErr w:type="gramStart"/>
      <w:r w:rsidRPr="009342F9">
        <w:rPr>
          <w:rFonts w:ascii="Arial" w:eastAsia="Times New Roman" w:hAnsi="Arial" w:cs="Arial"/>
          <w:color w:val="000000"/>
          <w:lang w:eastAsia="es-CO"/>
        </w:rPr>
        <w:t>Ministro</w:t>
      </w:r>
      <w:proofErr w:type="gramEnd"/>
      <w:r w:rsidRPr="009342F9">
        <w:rPr>
          <w:rFonts w:ascii="Arial" w:eastAsia="Times New Roman" w:hAnsi="Arial" w:cs="Arial"/>
          <w:color w:val="000000"/>
          <w:lang w:eastAsia="es-CO"/>
        </w:rPr>
        <w:t xml:space="preserve"> del Interior o su delegado, quien lo presidirá. </w:t>
      </w:r>
    </w:p>
    <w:p w14:paraId="7B0B940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63B857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El Ministro de Vivienda, Ciudad y Territorio o su delegado. </w:t>
      </w:r>
    </w:p>
    <w:p w14:paraId="347C493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F1105F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El </w:t>
      </w:r>
      <w:proofErr w:type="gramStart"/>
      <w:r w:rsidRPr="009342F9">
        <w:rPr>
          <w:rFonts w:ascii="Arial" w:eastAsia="Times New Roman" w:hAnsi="Arial" w:cs="Arial"/>
          <w:color w:val="000000"/>
          <w:lang w:eastAsia="es-CO"/>
        </w:rPr>
        <w:t>Director</w:t>
      </w:r>
      <w:proofErr w:type="gramEnd"/>
      <w:r w:rsidRPr="009342F9">
        <w:rPr>
          <w:rFonts w:ascii="Arial" w:eastAsia="Times New Roman" w:hAnsi="Arial" w:cs="Arial"/>
          <w:color w:val="000000"/>
          <w:lang w:eastAsia="es-CO"/>
        </w:rPr>
        <w:t xml:space="preserve"> del Departamento para la Prosperidad Social o su delegado. </w:t>
      </w:r>
    </w:p>
    <w:p w14:paraId="6B1F9A4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66F11D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El Director Ejecutivo del Fondo Nacional de Vivienda o su delegado. </w:t>
      </w:r>
    </w:p>
    <w:p w14:paraId="5E0CB38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850525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El Gerente del Banco Agrario o su delegado. </w:t>
      </w:r>
    </w:p>
    <w:p w14:paraId="2C7440C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2E501D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 Secretaría Técnica del Comité Intersectorial será realizada por la Unidad Administrativa Especial de Atención y Reparación Integral a las Víctimas. </w:t>
      </w:r>
    </w:p>
    <w:p w14:paraId="26841A6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4F69D7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Cada uno de los integrantes del comité, en relación con su respectivo sector, responderá por la realización de las acciones necesarias para evaluar la ejecución y el impacto de la política de vivienda urbana para la atención a la población desplazada, recomendará los ajustes necesarios y presentará a la comisión un informe trimestral sobre el tema. </w:t>
      </w:r>
    </w:p>
    <w:p w14:paraId="6C12448C" w14:textId="69B99452"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20" w:name="ver_30069187"/>
      <w:bookmarkEnd w:id="220"/>
    </w:p>
    <w:p w14:paraId="13DCA2B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2.1.1.1.2.1.2.3. Responsabilidades de las entidades nacionales con respecto a la política de vivienda para desplazados. Corresponde a las entidades nacionales, en su respectivo ámbito de competencia y de acuerdo con los objetivos establecidos en el Plan Nacional de Atención y Reparación Integral a las Víctimas, articular la acción gubernamental en vivienda para la población desplazada, en el marco de los principios y objetivos definidos por la Ley 387 de 1997. </w:t>
      </w:r>
    </w:p>
    <w:p w14:paraId="125A7FF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4EC503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La Unidad Administrativa Especial de Atención y Reparación Integral a las Víctimas coordinará las acciones emprendidas y tendrá las siguientes responsabilidades, además de las previstas en el Decreto Único del Sector de Inclusión Social y Reconciliación: </w:t>
      </w:r>
    </w:p>
    <w:p w14:paraId="68CE493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CDC7B4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1.1 Elaborar el diagnóstico de la situación de la población desplazada en los municipios donde se presente el fenómeno. </w:t>
      </w:r>
    </w:p>
    <w:p w14:paraId="417255F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w:t>
      </w:r>
    </w:p>
    <w:p w14:paraId="5A59CD2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1.2 Promover la elaboración del Plan de Acción Zonal por parte de los Comités de Atención Integral a la Población Desplazada. </w:t>
      </w:r>
    </w:p>
    <w:p w14:paraId="421F85B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E599AB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1.3 Elaborar las propuestas de estabilización socioeconómica en la perspectiva del retorno o la reubicación, de acuerdo con la situación objetiva de las familias desplazadas. </w:t>
      </w:r>
    </w:p>
    <w:p w14:paraId="5E9050A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172835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1.4 En coordinación con el Ministerio de Vivienda, Ciudad y Territorio, realizar el seguimiento y la evaluación de impacto en los procesos de estabilización socioeconómica, generado por la aplicación de los planes y programas adelantados por la política de vivienda establecida en la presente subsección. </w:t>
      </w:r>
    </w:p>
    <w:p w14:paraId="0125595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0E0B24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1.5 Hacer seguimiento y evaluación de impacto respecto de la implementación y puesta en marcha </w:t>
      </w:r>
      <w:proofErr w:type="gramStart"/>
      <w:r w:rsidRPr="009342F9">
        <w:rPr>
          <w:rFonts w:ascii="Arial" w:eastAsia="Times New Roman" w:hAnsi="Arial" w:cs="Arial"/>
          <w:color w:val="000000"/>
          <w:lang w:eastAsia="es-CO"/>
        </w:rPr>
        <w:t>del mismo</w:t>
      </w:r>
      <w:proofErr w:type="gramEnd"/>
      <w:r w:rsidRPr="009342F9">
        <w:rPr>
          <w:rFonts w:ascii="Arial" w:eastAsia="Times New Roman" w:hAnsi="Arial" w:cs="Arial"/>
          <w:color w:val="000000"/>
          <w:lang w:eastAsia="es-CO"/>
        </w:rPr>
        <w:t>. </w:t>
      </w:r>
    </w:p>
    <w:p w14:paraId="172306B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5C541B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Al Fondo Nacional de Vivienda le corresponde promover y evaluar los programas especiales de vivienda para atender las necesidades de la población en situación de desplazamiento, para lo cual deberá: (Modificado por el Decreto 4911 de 2009, artículo 6).  </w:t>
      </w:r>
    </w:p>
    <w:p w14:paraId="6B7686D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D1F022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2.1 Prestar asistencia técnica a las entidades y autoridades del nivel territorial en la formulación de sus Planes de Acción Zonal. </w:t>
      </w:r>
    </w:p>
    <w:p w14:paraId="69A2605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555EE9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2.2 Sensibilizar a las administraciones locales en la problemática habitacional de los desplazados y fomentar la coordinación y concurrencia de los diferentes actores en la solución del problema. </w:t>
      </w:r>
    </w:p>
    <w:p w14:paraId="1CAE4D8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5E0080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2.3 Efectuar la asistencia técnica a entidades territoriales, organizaciones no gubernamentales y organizaciones de vivienda popular, en el diseño y ejecución de los proyectos habitacionales dirigidos a la población desplazada. </w:t>
      </w:r>
    </w:p>
    <w:p w14:paraId="5EA00CC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D16A57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2.4 Prestar asistencia técnica a las entidades territoriales, a los ejecutores de los programas y a la población desplazada, en el proceso de postulación al subsidio familiar de vivienda para dicha población. </w:t>
      </w:r>
    </w:p>
    <w:p w14:paraId="28D61C5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90A479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2.5 Asignar los subsidios de vivienda urbana para la población desplazada de acuerdo con la presente subsección. </w:t>
      </w:r>
    </w:p>
    <w:p w14:paraId="5A68593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033A77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2.6 Establecer las garantías necesarias para el giro pronto y oportuno de los recursos del subsidio establecido en la presente subsección. </w:t>
      </w:r>
    </w:p>
    <w:p w14:paraId="08AD40B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997E83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2.7 Realizar el seguimiento, evaluación y control a los planes, programas y proyectos de vivienda para población desplazada por la violencia. </w:t>
      </w:r>
    </w:p>
    <w:p w14:paraId="53B49A5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291C7F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2.8 Acopiar y enviar la información sobre los proyectos de vivienda para la población desplazada, de acuerdo con los requerimientos y la periodicidad establecida por el Departamento para la Prosperidad Social. </w:t>
      </w:r>
    </w:p>
    <w:p w14:paraId="3DB0DF5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575D91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El Ministerio de Vivienda, Ciudad y Territorio diseñará y adoptará las medidas que garanticen a la población desplazada su acceso a planes, programas y proyectos integrales de desarrollo urbano. Para ello deberá: </w:t>
      </w:r>
    </w:p>
    <w:p w14:paraId="5515125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46D005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3.1 En coordinación con el Departamento Nacional de Planeación y el Departamento para la Prosperidad Social, establecer los lineamientos de política de vivienda aplicables a la población desplazada. </w:t>
      </w:r>
    </w:p>
    <w:p w14:paraId="04B33C6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B20649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3.2 En coordinación con el Departamento Nacional de Planeación y el Departamento para la Prosperidad Social, identificar y establecer las líneas de recursos y proyectar y gestionar las necesidades de éstos en cada vigencia fiscal, para atender los requerimientos de vivienda de la población desplazada, de acuerdo con los planes de acción zonal. </w:t>
      </w:r>
    </w:p>
    <w:p w14:paraId="54BF479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92A9D8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3.3 Establecer los cupos indicativos de recursos que permita la distribución territorial de los subsidios de vivienda para población desplazada, de acuerdo con los criterios definidos en el artículo 2.1.1.2.1.14 de la presente subsección y a través de la siguiente fórmula: </w:t>
      </w:r>
    </w:p>
    <w:p w14:paraId="02E977C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1A4777D" w14:textId="28144923" w:rsidR="00FC79C1" w:rsidRPr="009342F9" w:rsidRDefault="48ABE02E" w:rsidP="00FC79C1">
      <w:pPr>
        <w:spacing w:after="0" w:line="240" w:lineRule="auto"/>
        <w:jc w:val="both"/>
        <w:rPr>
          <w:rFonts w:ascii="Arial" w:eastAsia="Times New Roman" w:hAnsi="Arial" w:cs="Arial"/>
          <w:color w:val="000000"/>
          <w:lang w:eastAsia="es-CO"/>
        </w:rPr>
      </w:pPr>
      <w:r>
        <w:rPr>
          <w:noProof/>
        </w:rPr>
        <w:drawing>
          <wp:inline distT="0" distB="0" distL="0" distR="0" wp14:anchorId="76256E87" wp14:editId="3195FE9B">
            <wp:extent cx="5495288" cy="97472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12">
                      <a:extLst>
                        <a:ext uri="{28A0092B-C50C-407E-A947-70E740481C1C}">
                          <a14:useLocalDpi xmlns:a14="http://schemas.microsoft.com/office/drawing/2010/main" val="0"/>
                        </a:ext>
                      </a:extLst>
                    </a:blip>
                    <a:stretch>
                      <a:fillRect/>
                    </a:stretch>
                  </pic:blipFill>
                  <pic:spPr>
                    <a:xfrm>
                      <a:off x="0" y="0"/>
                      <a:ext cx="5495288" cy="974725"/>
                    </a:xfrm>
                    <a:prstGeom prst="rect">
                      <a:avLst/>
                    </a:prstGeom>
                  </pic:spPr>
                </pic:pic>
              </a:graphicData>
            </a:graphic>
          </wp:inline>
        </w:drawing>
      </w:r>
      <w:r w:rsidR="00FC79C1" w:rsidRPr="3DD719FF">
        <w:rPr>
          <w:rFonts w:ascii="Arial" w:eastAsia="Times New Roman" w:hAnsi="Arial" w:cs="Arial"/>
          <w:color w:val="000000" w:themeColor="text1"/>
          <w:lang w:eastAsia="es-CO"/>
        </w:rPr>
        <w:t> </w:t>
      </w:r>
    </w:p>
    <w:p w14:paraId="2D88D5B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57BE67B" w14:textId="2CF27D64" w:rsidR="00FC79C1" w:rsidRPr="009342F9" w:rsidRDefault="48ABE02E" w:rsidP="00FC79C1">
      <w:pPr>
        <w:spacing w:after="0" w:line="240" w:lineRule="auto"/>
        <w:jc w:val="both"/>
        <w:rPr>
          <w:rFonts w:ascii="Arial" w:eastAsia="Times New Roman" w:hAnsi="Arial" w:cs="Arial"/>
          <w:color w:val="000000"/>
          <w:lang w:eastAsia="es-CO"/>
        </w:rPr>
      </w:pPr>
      <w:r>
        <w:rPr>
          <w:noProof/>
        </w:rPr>
        <w:drawing>
          <wp:inline distT="0" distB="0" distL="0" distR="0" wp14:anchorId="150E354B" wp14:editId="42271F2F">
            <wp:extent cx="5400040" cy="226885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13">
                      <a:extLst>
                        <a:ext uri="{28A0092B-C50C-407E-A947-70E740481C1C}">
                          <a14:useLocalDpi xmlns:a14="http://schemas.microsoft.com/office/drawing/2010/main" val="0"/>
                        </a:ext>
                      </a:extLst>
                    </a:blip>
                    <a:stretch>
                      <a:fillRect/>
                    </a:stretch>
                  </pic:blipFill>
                  <pic:spPr>
                    <a:xfrm>
                      <a:off x="0" y="0"/>
                      <a:ext cx="5400040" cy="2268855"/>
                    </a:xfrm>
                    <a:prstGeom prst="rect">
                      <a:avLst/>
                    </a:prstGeom>
                  </pic:spPr>
                </pic:pic>
              </a:graphicData>
            </a:graphic>
          </wp:inline>
        </w:drawing>
      </w:r>
      <w:r w:rsidR="00FC79C1" w:rsidRPr="3DD719FF">
        <w:rPr>
          <w:rFonts w:ascii="Arial" w:eastAsia="Times New Roman" w:hAnsi="Arial" w:cs="Arial"/>
          <w:color w:val="000000" w:themeColor="text1"/>
          <w:lang w:eastAsia="es-CO"/>
        </w:rPr>
        <w:t> </w:t>
      </w:r>
    </w:p>
    <w:p w14:paraId="2D45F97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07F2828"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221" w:name="ver_30069188"/>
      <w:bookmarkEnd w:id="221"/>
    </w:p>
    <w:p w14:paraId="59348B0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2.1.1.1.2.1.24. Participación de los entes territoriales en la política habitacional para población desplazada. En aplicación del principio de concurrencia en la acción, de los diferentes niveles del Estado, los departamentos, municipios o distritos, contribuirán con recursos económicos, físicos o logísticos, para ejecutar la política habitacional para población desplazada. </w:t>
      </w:r>
    </w:p>
    <w:p w14:paraId="4FC5849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77CB64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Además de los oferentes definidos en el artículo 2.1.1.1.1.1.2 numeral 2.7 del presente decreto y en el Decreto Único del Sector de Inclusión Social y Reconciliación, los programas de vivienda para población desplazada podrán ser presentados por los municipios, distritos o departamentos o por una Organización no Gubernamental o una Organización Popular de Vivienda que tenga el aval del respectivo municipio o distrito. </w:t>
      </w:r>
    </w:p>
    <w:p w14:paraId="366898D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5BBE63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Las entidades públicas de orden municipal, distrital y departamental, a fin de generar alternativas que incentiven el desarrollo y ejecución de proyectos de vivienda para población en situación de desplazamiento, gestionarán la habilitación de terrenos para la construcción de nuevas viviendas, </w:t>
      </w:r>
      <w:r w:rsidRPr="009342F9">
        <w:rPr>
          <w:rFonts w:ascii="Arial" w:eastAsia="Times New Roman" w:hAnsi="Arial" w:cs="Arial"/>
          <w:color w:val="000000"/>
          <w:lang w:eastAsia="es-CO"/>
        </w:rPr>
        <w:lastRenderedPageBreak/>
        <w:t>apoyarán los programas de mejoramiento de vivienda o titulación de bienes inmuebles ocupados con vivienda de interés social e implementarán cualquier mecanismo subsidiario encaminado a dignificar las condiciones de su vivienda. </w:t>
      </w:r>
    </w:p>
    <w:p w14:paraId="747BA6B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6B7B96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las entidades públicas del orden municipal, distrital y departamental, en las cuales exista población desplazada asignada con el subsidio familiar de vivienda nueva, sin aplicar en razón a la carencia de proyectos declarados elegibles, la respectiva entidad municipal, distrital o departamental podrá, de conformidad con las normas de contratación administrativa, contratar la construcción del urbanismo y de las viviendas donde se aplicarán los subsidios familiares de vivienda otorgados por el Gobierno Nacional, para lo cual podrá destinar recursos complementarios. </w:t>
      </w:r>
    </w:p>
    <w:p w14:paraId="1150BF9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1D30AE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Las entidades públicas del orden municipal, distrital y departamental deberán informar, con la periodicidad establecida por el Fondo Nacional de Vivienda y la Unidad Administrativa Especial de Atención y Reparación Integral a las Víctimas, la demanda de la población desplazada en materia de vivienda y las acciones realizadas por dichas entidades para asegurar su atención. </w:t>
      </w:r>
    </w:p>
    <w:p w14:paraId="52F58A58" w14:textId="74ECA86E"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22" w:name="ver_30069189"/>
      <w:bookmarkEnd w:id="222"/>
    </w:p>
    <w:p w14:paraId="30C9369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2.1.1.1.2.1.25. Desembolso a Cuentas de Ahorro Programado, CAP. En los casos de subsidios familiares de vivienda para adquisición de vivienda nueva, usada, mejoramiento de vivienda y construcción en sitio propio de que trata la presente subsección, asignados a la población desplazada, las entidades otorgantes del Subsidio Familiar de Vivienda desembolsarán en forma anticipada la totalidad del subsidio a la Cuenta de Ahorro Programado, CAP, del beneficiario, contra la presentación de la Declaración </w:t>
      </w:r>
      <w:proofErr w:type="spellStart"/>
      <w:r w:rsidRPr="009342F9">
        <w:rPr>
          <w:rFonts w:ascii="Arial" w:eastAsia="Times New Roman" w:hAnsi="Arial" w:cs="Arial"/>
          <w:color w:val="000000"/>
          <w:lang w:eastAsia="es-CO"/>
        </w:rPr>
        <w:t>Extrajuicio</w:t>
      </w:r>
      <w:proofErr w:type="spellEnd"/>
      <w:r w:rsidRPr="009342F9">
        <w:rPr>
          <w:rFonts w:ascii="Arial" w:eastAsia="Times New Roman" w:hAnsi="Arial" w:cs="Arial"/>
          <w:color w:val="000000"/>
          <w:lang w:eastAsia="es-CO"/>
        </w:rPr>
        <w:t xml:space="preserve"> en la cual se compromete a la aplicación del subsidio familiar de vivienda para la modalidad a la cual fue asignado. En todo caso, en el evento de demostrarse que para los procesos de desembolso y movilización del recurso se presentó información falsa o fraudulenta se impondrán las sanciones a que haya lugar de acuerdo con lo dispuesto en la ley. </w:t>
      </w:r>
    </w:p>
    <w:p w14:paraId="3240634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B2C55A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 movilización del Subsidio Familiar de Vivienda se efectuará en los términos y condiciones establecidos en esta subsección y las normas que lo modifiquen, sustituyan o adicionen. </w:t>
      </w:r>
    </w:p>
    <w:p w14:paraId="096748D4" w14:textId="15D7CDDA"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23" w:name="ver_30069190"/>
      <w:bookmarkEnd w:id="223"/>
    </w:p>
    <w:p w14:paraId="52FD2A2B" w14:textId="16850D98" w:rsidR="00FC79C1" w:rsidRPr="009342F9" w:rsidRDefault="00FC79C1" w:rsidP="005A1FCF">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SUBSECCIÓN 2</w:t>
      </w:r>
    </w:p>
    <w:p w14:paraId="554795B4" w14:textId="77777777" w:rsidR="00FC79C1" w:rsidRPr="009342F9" w:rsidRDefault="00FC79C1" w:rsidP="005A1FCF">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PROMOCIÓN PARA DEMANDA Y OFERTA</w:t>
      </w:r>
    </w:p>
    <w:p w14:paraId="3646EB50"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224" w:name="ver_30069191"/>
      <w:bookmarkEnd w:id="224"/>
    </w:p>
    <w:p w14:paraId="59BE3C7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2.1.1.1.2.2.1. Promoción de oferta y demanda. De los recursos del Presupuesto Nacional destinados para la Política de Vivienda para la Población Desplazada y la generación de soluciones habitacionales a través del Fondo Nacional de Vivienda, se podrá destinar hasta el treinta por ciento (30%) para Promoción de Demanda y Oferta, y se entenderá por este concepto el desarrollo del siguiente conjunto de actividades: </w:t>
      </w:r>
    </w:p>
    <w:p w14:paraId="7223A53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C85D09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Desarrollo integral, institucional e implementación de las Unidades de Gestión Regional - UGR. </w:t>
      </w:r>
    </w:p>
    <w:p w14:paraId="14A1530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BFB29A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Diseños y estudios específicos para el desarrollo de las propuestas urbanísticas y arquitectónicas de los proyectos de vivienda que vinculen a población en situación de desplazamiento. </w:t>
      </w:r>
    </w:p>
    <w:p w14:paraId="3D78E98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2A3599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Trámites de notariado y registro sobre los bienes adquiridos con el Subsidio Familiar de Vivienda. </w:t>
      </w:r>
    </w:p>
    <w:p w14:paraId="2FB12AF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AC9D3D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Estudios para la estructuración económica, social, financiera y jurídica de proyectos de vivienda que vinculen a población en situación de desplazamiento. </w:t>
      </w:r>
    </w:p>
    <w:p w14:paraId="6BCFD87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w:t>
      </w:r>
    </w:p>
    <w:p w14:paraId="1FAFF10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 Obras de urbanismo básico tales como la construcción de las obras de infraestructura de servicios públicos y vías. </w:t>
      </w:r>
    </w:p>
    <w:p w14:paraId="3BBF2C9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01F089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6. Desarrollo de proyectos de vivienda de interés social para población en situación de desplazamiento, en los cuales los recursos para la generación de soluciones habitacionales podrán destinarse como fuente para la estructuración financiera de los proyectos, de conformidad con lo dispuesto en el artículo 5 de la Ley 3ª de 1991, a través del Fondo Nacional de Vivienda, en los términos establecidos en el artículo 12 del Decreto-ley 555 de 2003. </w:t>
      </w:r>
    </w:p>
    <w:p w14:paraId="559C97DD" w14:textId="3604E69D"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25" w:name="ver_30069192"/>
      <w:bookmarkEnd w:id="225"/>
    </w:p>
    <w:p w14:paraId="737ACF7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2.1.1.1.2.2.2. Aplicación del subsidio. La población en situación de desplazamiento beneficiaria del Subsidio Familiar de Vivienda otorgado por el Gobierno a través del Fondo Nacional de </w:t>
      </w:r>
      <w:proofErr w:type="gramStart"/>
      <w:r w:rsidRPr="009342F9">
        <w:rPr>
          <w:rFonts w:ascii="Arial" w:eastAsia="Times New Roman" w:hAnsi="Arial" w:cs="Arial"/>
          <w:color w:val="000000"/>
          <w:lang w:eastAsia="es-CO"/>
        </w:rPr>
        <w:t>Vivienda,</w:t>
      </w:r>
      <w:proofErr w:type="gramEnd"/>
      <w:r w:rsidRPr="009342F9">
        <w:rPr>
          <w:rFonts w:ascii="Arial" w:eastAsia="Times New Roman" w:hAnsi="Arial" w:cs="Arial"/>
          <w:color w:val="000000"/>
          <w:lang w:eastAsia="es-CO"/>
        </w:rPr>
        <w:t xml:space="preserve"> podrá aplicar el beneficio en cualquier municipio del país o tipo de solución de vivienda, tanto en zona urbana como rural, independiente de la modalidad a la cual se postuló o en la cual le fue asignado el subsidio. </w:t>
      </w:r>
    </w:p>
    <w:p w14:paraId="49756AA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888AC6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 población desplazada perteneciente a comunidades indígenas, comunidades negras o afrocolombianas podrá adquirir, construir o mejorar soluciones de vivienda en propiedades colectivas, conforme a los mandatos constitucionales y legales, tradiciones y sistemas de derecho propio de cada comunidad. </w:t>
      </w:r>
    </w:p>
    <w:p w14:paraId="6E4BE12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009BCA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 población en situación de desplazamiento beneficiaria del subsidio otorgado por el Gobierno Nacional, a través del Fondo Nacional de Vivienda, podrá aplicarlo en zona rural, haciendo efectivo el desembolso a través de la Caja de Compensación Familiar o el operador autorizado, a través del cual se presentó la solicitud del subsidio, conforme a los procedimientos establecidos por la sección 2.1.1.1.1 del presente decreto en materia de vivienda urbana. </w:t>
      </w:r>
    </w:p>
    <w:p w14:paraId="40966B7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5A6961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Para la aplicación en zona rural del Subsidio Familiar de Vivienda otorgado por el Fondo Nacional de Vivienda, en las modalidades de vivienda nueva, mejoramiento o construcción en sitio propio, se deberá contar con la respectiva licencia de construcción, modificación o adecuación, según corresponda. </w:t>
      </w:r>
    </w:p>
    <w:p w14:paraId="42D9D27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96C09B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Para la aplicación del Subsidio Familiar de Vivienda otorgado por el Fondo Nacional de Vivienda en zona rural, en la modalidad de vivienda usada, la Caja de Compensación Familiar o el operador autorizado, a través del cual se presentó la solicitud del subsidio, emitirá el correspondiente certificado de habitabilidad, sin costo para el beneficiario. En el evento en que la Caja de Compensación Familiar o el operador autorizado manifieste por escrito la imposibilidad de emitir dicho certificado, la Gobernación o el municipio donde se encuentre ubicada la vivienda, podrá otorgar el correspondiente certificado de habitabilidad, sin costo para el beneficiario, con la anuencia del agente del Ministerio Público. </w:t>
      </w:r>
    </w:p>
    <w:p w14:paraId="00BD1C8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1FB39B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 población en situación de desplazamiento beneficiaria del subsidio otorgado por el Gobierno Nacional, a través del Fondo Nacional de Vivienda, podrá modificar la modalidad a la cual se postuló, y para tal fin, deberá hacer efectivo el desembolso en la Caja de Compensación Familiar o en el operador autorizado a través del cual presentó la solicitud del subsidio, conforme a los procedimientos establecidos por el Fondo Nacional de Vivienda, a través de Resolución. </w:t>
      </w:r>
    </w:p>
    <w:p w14:paraId="4DE2B5F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D6BB3D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ningún caso se podrá entender la aceptación de la modificación de la modalidad como un aumento del valor del subsidio que ha sido asignado por el Fondo Nacional de Vivienda y en todo caso, se deberá verificar el cumplimiento de los requisitos propios de la nueva modalidad. </w:t>
      </w:r>
    </w:p>
    <w:p w14:paraId="77DF73F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271507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Parágrafo. La Población en Situación de Desplazamiento podrá aplicar el Subsidio Familiar de Vivienda en la modalidad de adquisición de vivienda nueva o usada, siempre y cuando dicha solución no se encuentre localizada en zonas de alto riesgo, cuente con disponibilidad de servicios públicos domiciliarios de acueducto, alcantarillado y energía eléctrica y vías de acceso en el caso de vivienda urbana; y de agua o acceso a una fuente de suministro y alcantarillado convencional o alternativo en el caso de vivienda rural. Estas condiciones deberán ser certificadas por el municipio o Distrito en donde se encuentre ubicado el inmueble. </w:t>
      </w:r>
    </w:p>
    <w:p w14:paraId="60285E1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7AF4E9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el caso de vivienda usada, igualmente deberá acreditarse la titularidad del derecho de dominio en cabeza del vendedor, mediante certificado de tradición y libertad en el que conste, además que el bien se encuentra libre de cualquier gravamen o limitación a la propiedad; este certificado deberá tener una fecha de expedición no superior a tres (3) meses, contados a partir de la fecha de presentación de la solicitud. </w:t>
      </w:r>
    </w:p>
    <w:p w14:paraId="6B659D7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457A09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todo caso deberá contarse con un certificado de habitabilidad expedido por la Caja de Compensación Familiar o el operador en que se postuló el hogar beneficiario, sin costo para el beneficiario por el primer certificado solicitado. </w:t>
      </w:r>
    </w:p>
    <w:p w14:paraId="010FDCEC" w14:textId="0AE706A5"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26" w:name="ver_30069193"/>
      <w:bookmarkEnd w:id="226"/>
    </w:p>
    <w:p w14:paraId="589AF5C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2.1.1.1.2.2.3. Aplicación de subsidios familiares de vivienda en macroproyectos de interés social nacional. Los hogares beneficiarios de Subsidios Familiares de Vivienda, asignados por el Fondo Nacional de Vivienda, a través de convocatorias diferentes a las que se realicen en el marco de los Macroproyectos de Interés Social Nacional - MISN, podrán aplicarlos para adquirir una solución habitacional en los MISN adoptados por el Ministerio de Vivienda, Ciudad y Territorio, siempre que acrediten los recursos complementarios para el cierre financiero. </w:t>
      </w:r>
    </w:p>
    <w:p w14:paraId="4BD43F1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885529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Para la aplicación del Subsidio Familiar de Vivienda antes señalado, el hogar beneficiario deberá autorizar el giro de la totalidad </w:t>
      </w:r>
      <w:proofErr w:type="gramStart"/>
      <w:r w:rsidRPr="009342F9">
        <w:rPr>
          <w:rFonts w:ascii="Arial" w:eastAsia="Times New Roman" w:hAnsi="Arial" w:cs="Arial"/>
          <w:color w:val="000000"/>
          <w:lang w:eastAsia="es-CO"/>
        </w:rPr>
        <w:t>del mismo</w:t>
      </w:r>
      <w:proofErr w:type="gramEnd"/>
      <w:r w:rsidRPr="009342F9">
        <w:rPr>
          <w:rFonts w:ascii="Arial" w:eastAsia="Times New Roman" w:hAnsi="Arial" w:cs="Arial"/>
          <w:color w:val="000000"/>
          <w:lang w:eastAsia="es-CO"/>
        </w:rPr>
        <w:t>, por parte de la entidad donde se encuentre depositado, al patrimonio autónomo mediante el cual se desarrolle el respectivo Macroproyecto y suscribir la correspondiente promesa de compraventa con la entidad fiduciaria representante de dicho patrimonio autónomo o el gestor del mismo. Los recursos así girados se destinarán a la ejecución integral del Macroproyecto, a partir de su ingreso al patrimonio autónomo. </w:t>
      </w:r>
    </w:p>
    <w:p w14:paraId="1DBD25C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C5FC18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 legalización de dicho Subsidio Familiar de Vivienda se hará una vez se culmine y transfiera la solución habitacional, mediante la correspondiente escritura pública, la cual deberá ser debidamente registrada y en ella se hará constar que parte del precio de la adquisición es el Subsidio Familiar de Vivienda. En consecuencia, tendrá las restricciones de que trata la Ley 3ª de 1991. </w:t>
      </w:r>
    </w:p>
    <w:p w14:paraId="0090174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2DA0AA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1°. Si el Subsidio Familiar de Vivienda asignado se encuentra vinculado a un proyecto de vivienda, el beneficiario sólo podrá adquirir una solución habitacional en un Macroproyecto, previa desvinculación del proyecto, mediante la resciliación del contrato de promesa de compraventa, o con autorización expresa del oferente del proyecto. </w:t>
      </w:r>
    </w:p>
    <w:p w14:paraId="71D8BA2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269988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todo caso, si los recursos ya fueron girados al encargo fiduciario constituido por el oferente, este y el hogar beneficiario deberán autorizar el giro de los recursos al patrimonio autónomo constituido para el desarrollo del Macroproyecto. </w:t>
      </w:r>
    </w:p>
    <w:p w14:paraId="480D8A7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A86217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Lo anterior no aplicará si el oferente del </w:t>
      </w:r>
      <w:proofErr w:type="gramStart"/>
      <w:r w:rsidRPr="009342F9">
        <w:rPr>
          <w:rFonts w:ascii="Arial" w:eastAsia="Times New Roman" w:hAnsi="Arial" w:cs="Arial"/>
          <w:color w:val="000000"/>
          <w:lang w:eastAsia="es-CO"/>
        </w:rPr>
        <w:t>proyecto,</w:t>
      </w:r>
      <w:proofErr w:type="gramEnd"/>
      <w:r w:rsidRPr="009342F9">
        <w:rPr>
          <w:rFonts w:ascii="Arial" w:eastAsia="Times New Roman" w:hAnsi="Arial" w:cs="Arial"/>
          <w:color w:val="000000"/>
          <w:lang w:eastAsia="es-CO"/>
        </w:rPr>
        <w:t xml:space="preserve"> no ha iniciado la construcción de las viviendas durante los dos (2) años siguientes a la asignación del Subsidio Familiar de Vivienda. En este caso sólo se requerirá la autorización del hogar beneficiario para destinar el subsidio a la adquisición de una vivienda nueva en un Macroproyecto de Interés Social Nacional. </w:t>
      </w:r>
    </w:p>
    <w:p w14:paraId="16BEC67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w:t>
      </w:r>
    </w:p>
    <w:p w14:paraId="2FCFD2B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Parágrafo 2°. En el evento de cobro contra escritura, la entidad financiera depositaria de los recursos del </w:t>
      </w:r>
      <w:proofErr w:type="gramStart"/>
      <w:r w:rsidRPr="009342F9">
        <w:rPr>
          <w:rFonts w:ascii="Arial" w:eastAsia="Times New Roman" w:hAnsi="Arial" w:cs="Arial"/>
          <w:color w:val="000000"/>
          <w:lang w:eastAsia="es-CO"/>
        </w:rPr>
        <w:t>subsidio,</w:t>
      </w:r>
      <w:proofErr w:type="gramEnd"/>
      <w:r w:rsidRPr="009342F9">
        <w:rPr>
          <w:rFonts w:ascii="Arial" w:eastAsia="Times New Roman" w:hAnsi="Arial" w:cs="Arial"/>
          <w:color w:val="000000"/>
          <w:lang w:eastAsia="es-CO"/>
        </w:rPr>
        <w:t xml:space="preserve"> los girará directamente al patrimonio autónomo constituido para el desarrollo del Macroproyecto, previa autorización del hogar beneficiario. </w:t>
      </w:r>
    </w:p>
    <w:p w14:paraId="41A22948" w14:textId="19BBF9A8"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27" w:name="ver_30069194"/>
      <w:bookmarkEnd w:id="227"/>
    </w:p>
    <w:p w14:paraId="051678D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2.1.1.1.2.2.4. Atención inmediata mediante soluciones de vivienda prefabricadas que cumplan con normas sismorresistentes. En aplicación a lo dispuesto en artículo 6° de la Ley 3ª de 1991, las entidades públicas de orden municipal, departamental o distrital a fin de atender de manera inmediata a los hogares que se encuentran en situación de desplazamiento, podrán destinar los recursos del subsidio familiar de vivienda a la adquisición, montaje, instalación y entrega de viviendas prefabricadas que cumplan con las disposiciones de las normas colombianas de diseño y construcción sismorresistente. </w:t>
      </w:r>
    </w:p>
    <w:p w14:paraId="4A258C3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D8207B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ningún caso, el haber sido beneficiario de la solución habitacional establecida en el presente artículo, inhabilitará al hogar para postularse al subsidio familiar de vivienda otorgado a la población en situación de desplazamiento por el Gobierno Nacional, pero para acceder a este último, deberá haber hecho entrega a la respectiva entidad pública del orden municipal, distrital o departamental, de la solución habitacional prefabricada, para que la misma pueda ser otorgada a otro hogar. </w:t>
      </w:r>
    </w:p>
    <w:p w14:paraId="206E74C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883082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Parágrafo. La asignación de los subsidios para su aplicación según el presente </w:t>
      </w:r>
      <w:proofErr w:type="gramStart"/>
      <w:r w:rsidRPr="009342F9">
        <w:rPr>
          <w:rFonts w:ascii="Arial" w:eastAsia="Times New Roman" w:hAnsi="Arial" w:cs="Arial"/>
          <w:color w:val="000000"/>
          <w:lang w:eastAsia="es-CO"/>
        </w:rPr>
        <w:t>artículo,</w:t>
      </w:r>
      <w:proofErr w:type="gramEnd"/>
      <w:r w:rsidRPr="009342F9">
        <w:rPr>
          <w:rFonts w:ascii="Arial" w:eastAsia="Times New Roman" w:hAnsi="Arial" w:cs="Arial"/>
          <w:color w:val="000000"/>
          <w:lang w:eastAsia="es-CO"/>
        </w:rPr>
        <w:t xml:space="preserve"> se realizará de acuerdo con los procedimientos establecidos en la subsección 2.1.1.1.2.1 y sección 2.1.1.1.1 del presente decreto. </w:t>
      </w:r>
    </w:p>
    <w:p w14:paraId="3A5633EF" w14:textId="35A0E46C"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28" w:name="ver_30069195"/>
      <w:bookmarkEnd w:id="228"/>
    </w:p>
    <w:p w14:paraId="1813307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2.1.1.1.2.2.5. Postulación, asignación y aplicación del subsidio familiar de vivienda otorgado por el fondo nacional de vivienda a la población en situación de desplazamiento. En lo que no sea contrario con lo establecido en la subsección 2.1.1.1.2.1 del presente decreto, la postulación, asignación y aplicación del subsidio familiar de vivienda para población en situación de desplazamiento se realizará siguiendo los procedimientos, requisitos y condiciones establecidos en la sección 2.1.1.1.1 del presente decreto. </w:t>
      </w:r>
    </w:p>
    <w:p w14:paraId="67C849F2" w14:textId="5178C3C4"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9C9B99C" w14:textId="77777777" w:rsidR="00FC79C1" w:rsidRPr="009342F9" w:rsidRDefault="00FC79C1" w:rsidP="005A1FCF">
      <w:pPr>
        <w:spacing w:after="0" w:line="240" w:lineRule="auto"/>
        <w:jc w:val="center"/>
        <w:rPr>
          <w:rFonts w:ascii="Arial" w:eastAsia="Times New Roman" w:hAnsi="Arial" w:cs="Arial"/>
          <w:b/>
          <w:bCs/>
          <w:color w:val="000000"/>
          <w:lang w:eastAsia="es-CO"/>
        </w:rPr>
      </w:pPr>
      <w:bookmarkStart w:id="229" w:name="ver_30069196"/>
      <w:bookmarkEnd w:id="229"/>
      <w:r w:rsidRPr="009342F9">
        <w:rPr>
          <w:rFonts w:ascii="Arial" w:eastAsia="Times New Roman" w:hAnsi="Arial" w:cs="Arial"/>
          <w:b/>
          <w:bCs/>
          <w:color w:val="000000"/>
          <w:lang w:eastAsia="es-CO"/>
        </w:rPr>
        <w:t>SUBSECCIÓN 3</w:t>
      </w:r>
    </w:p>
    <w:p w14:paraId="1AE25058" w14:textId="77777777" w:rsidR="00FC79C1" w:rsidRPr="009342F9" w:rsidRDefault="00FC79C1" w:rsidP="005A1FCF">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CRITERIOS ESPECIALES DE ATENCIÓN PRIORITARIA</w:t>
      </w:r>
    </w:p>
    <w:p w14:paraId="7730FC0F"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230" w:name="ver_30069197"/>
      <w:bookmarkEnd w:id="230"/>
    </w:p>
    <w:p w14:paraId="2D42BF3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2.1.1.1.2.3.1. Atención prioritaria. Los hogares postulados y calificados en las convocatorias para el Subsidio Familiar de Vivienda de Interés Social abiertas por el Fondo Nacional de Vivienda con cargo a los recursos para población en situación de desplazamiento, que no hayan sido beneficiarios del subsidio, habiendo cumplido con todos los requisitos establecidos para tal fin, podrán ser atendidos de manera prioritaria hasta completar la totalidad de la asignación a dichos hogares, de conformidad con el procedimiento que para el efecto establezca el Ministerio de Vivienda, Ciudad y Territorio. </w:t>
      </w:r>
    </w:p>
    <w:p w14:paraId="74AE6CE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293F40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Lo dispuesto en el presente artículo operará siempre y cuando exista disponibilidad de recursos y se dé cumplimiento a las normas del Estatuto Orgánico del Presupuesto. </w:t>
      </w:r>
    </w:p>
    <w:p w14:paraId="6105161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B2D6BF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Criterios para la asignación prioritaria de subsidios familiares de vivienda a hogares calificados dentro de las convocatorias abiertas por el Fondo Nacional de Vivienda para la atención de población en situación de desplazamiento. Para efectos de la atención prioritaria de que trata el presente artículo, la entidad otorgante aplicará, en su orden, los siguientes criterios en la asignación del subsidio familiar de vivienda: </w:t>
      </w:r>
    </w:p>
    <w:p w14:paraId="3894978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78544D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1. Hogares inscritos en planes de vivienda elegibles que cuenten con cupos disponibles determinados mediante acto administrativo por parte de la entidad otorgante. La asignación se efectuará en orden secuencial descendente, conforme a los puntajes de calificación obtenidos. </w:t>
      </w:r>
    </w:p>
    <w:p w14:paraId="0EAE0A0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5C36AE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Los hogares inscritos en planes de vivienda que no resulten asignados por insuficiencia de cupos </w:t>
      </w:r>
      <w:proofErr w:type="gramStart"/>
      <w:r w:rsidRPr="009342F9">
        <w:rPr>
          <w:rFonts w:ascii="Arial" w:eastAsia="Times New Roman" w:hAnsi="Arial" w:cs="Arial"/>
          <w:color w:val="000000"/>
          <w:lang w:eastAsia="es-CO"/>
        </w:rPr>
        <w:t>disponibles,</w:t>
      </w:r>
      <w:proofErr w:type="gramEnd"/>
      <w:r w:rsidRPr="009342F9">
        <w:rPr>
          <w:rFonts w:ascii="Arial" w:eastAsia="Times New Roman" w:hAnsi="Arial" w:cs="Arial"/>
          <w:color w:val="000000"/>
          <w:lang w:eastAsia="es-CO"/>
        </w:rPr>
        <w:t xml:space="preserve"> serán asignados en orden secuencial descendente, conforme a los puntajes de calificación obtenidos, cuando se presenten renuncias a cupos dentro del plan de vivienda respectivo. </w:t>
      </w:r>
    </w:p>
    <w:p w14:paraId="74EA3C1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9106CC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Hogares vinculados al programa de ahorro programado contractual con evaluación crediticia favorable en cualquier entidad financiera con la que la entidad otorgante haya suscrito convenios para el efecto, la asignación se efectuará en orden secuencial descendente, conforme a los puntajes de calificación obtenidos por los hogares. </w:t>
      </w:r>
    </w:p>
    <w:p w14:paraId="662A55D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12B74B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Para el efecto la entidad otorgante solicitará a la entidad financiera responsable del programa de ahorro programado contractual con evaluación crediticia favorable, la información respectiva, antes de los procesos de asignación en la bolsa especial para población en situación de desplazamiento. </w:t>
      </w:r>
    </w:p>
    <w:p w14:paraId="7B28797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AC9FD1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Los hogares que no se encuentren en las dos situaciones antes previstas, serán asignados con los recursos disponibles restantes, conforme al puntaje de calificación obtenido en orden secuencial descendente. (Adicionado por el Decreto 4213 de 2011, artículo 3).  </w:t>
      </w:r>
    </w:p>
    <w:p w14:paraId="2C461F99" w14:textId="7992754D" w:rsidR="00FC79C1" w:rsidRPr="009342F9" w:rsidRDefault="00FC79C1" w:rsidP="009342F9">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936E8DB" w14:textId="77777777" w:rsidR="00FC79C1" w:rsidRPr="009342F9" w:rsidRDefault="00FC79C1" w:rsidP="005A1FCF">
      <w:pPr>
        <w:spacing w:after="0" w:line="240" w:lineRule="auto"/>
        <w:jc w:val="center"/>
        <w:rPr>
          <w:rFonts w:ascii="Arial" w:eastAsia="Times New Roman" w:hAnsi="Arial" w:cs="Arial"/>
          <w:b/>
          <w:bCs/>
          <w:color w:val="000000"/>
          <w:lang w:eastAsia="es-CO"/>
        </w:rPr>
      </w:pPr>
      <w:bookmarkStart w:id="231" w:name="ver_30069198"/>
      <w:bookmarkEnd w:id="231"/>
      <w:r w:rsidRPr="009342F9">
        <w:rPr>
          <w:rFonts w:ascii="Arial" w:eastAsia="Times New Roman" w:hAnsi="Arial" w:cs="Arial"/>
          <w:b/>
          <w:bCs/>
          <w:color w:val="000000"/>
          <w:lang w:eastAsia="es-CO"/>
        </w:rPr>
        <w:t>SECCIÓN 3</w:t>
      </w:r>
    </w:p>
    <w:p w14:paraId="6A8FDCD8" w14:textId="77777777" w:rsidR="00FC79C1" w:rsidRDefault="00FC79C1" w:rsidP="005A1FCF">
      <w:pPr>
        <w:spacing w:after="0" w:line="240" w:lineRule="auto"/>
        <w:jc w:val="center"/>
        <w:rPr>
          <w:rFonts w:ascii="Arial" w:eastAsia="Times New Roman" w:hAnsi="Arial" w:cs="Arial"/>
          <w:b/>
          <w:bCs/>
          <w:color w:val="000000"/>
          <w:lang w:eastAsia="es-CO"/>
        </w:rPr>
      </w:pPr>
      <w:r w:rsidRPr="231E957E">
        <w:rPr>
          <w:rFonts w:ascii="Arial" w:eastAsia="Times New Roman" w:hAnsi="Arial" w:cs="Arial"/>
          <w:b/>
          <w:color w:val="000000" w:themeColor="text1"/>
          <w:lang w:eastAsia="es-CO"/>
        </w:rPr>
        <w:t>SUBSIDIO FAMILIAR DE VIVIENDA FENÓMENO DE LA NIÑA 2010-2011</w:t>
      </w:r>
    </w:p>
    <w:p w14:paraId="2BA173DB" w14:textId="77777777" w:rsidR="007C7D44" w:rsidRPr="009342F9" w:rsidRDefault="007C7D44" w:rsidP="005A1FCF">
      <w:pPr>
        <w:spacing w:after="0" w:line="240" w:lineRule="auto"/>
        <w:jc w:val="center"/>
        <w:rPr>
          <w:rFonts w:ascii="Arial" w:eastAsia="Times New Roman" w:hAnsi="Arial" w:cs="Arial"/>
          <w:b/>
          <w:bCs/>
          <w:color w:val="000000"/>
          <w:lang w:eastAsia="es-CO"/>
        </w:rPr>
      </w:pPr>
    </w:p>
    <w:p w14:paraId="2C1828A8" w14:textId="77777777" w:rsidR="00FC79C1" w:rsidRPr="009342F9" w:rsidRDefault="00FC79C1" w:rsidP="005A1FCF">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SUBSECCIÓN 1</w:t>
      </w:r>
    </w:p>
    <w:p w14:paraId="35DC74DF" w14:textId="77777777" w:rsidR="00FC79C1" w:rsidRPr="009342F9" w:rsidRDefault="00FC79C1" w:rsidP="005A1FCF">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OBJETO</w:t>
      </w:r>
    </w:p>
    <w:p w14:paraId="657C5F8F"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232" w:name="ver_30069199"/>
      <w:bookmarkEnd w:id="232"/>
    </w:p>
    <w:p w14:paraId="6F6AD4E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2.1.1.1.3.1.1. Objeto. Con fundamento en lo dispuesto en el Decreto-ley 4832 de 2010, la presente sección reglamenta la disposición, asignación y ejecución de recursos que a partir de la celebración por parte del Fondo Nacional de Vivienda, FONVIVIENDA, de contratos de fiducia mercantil para la constitución de Patrimonios Autónomos Matrices (PAM), serán direccionados a Patrimonios Autónomos Derivados (PAD) en los que a través de las gerencias integrales de que trata esta sección se desarrollarán proyectos de vivienda urbana de interés social nueva. Dichos proyectos deberán ser estructurados y/o ejecutados para la atención de vivienda urbana de interés social nueva a los hogares afectados por el Fenómeno de La Niña 2010-2011 y aquellos ubicados en zonas de riesgo en los términos establecidos en la presente sección. </w:t>
      </w:r>
    </w:p>
    <w:p w14:paraId="560C28F7" w14:textId="16BC99B8" w:rsidR="005A1FCF"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33" w:name="ver_30069200"/>
      <w:bookmarkEnd w:id="233"/>
    </w:p>
    <w:p w14:paraId="4B702CDD" w14:textId="093875CF" w:rsidR="00FC79C1" w:rsidRPr="009342F9" w:rsidRDefault="00FC79C1" w:rsidP="005A1FCF">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SUBSECCIÓN 2</w:t>
      </w:r>
    </w:p>
    <w:p w14:paraId="29760030" w14:textId="6BE65459" w:rsidR="00FC79C1" w:rsidRPr="009342F9" w:rsidRDefault="00FC79C1" w:rsidP="005A1FCF">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PATRIMONIO AUTÓNOMO MATRIZ (PAM)</w:t>
      </w:r>
    </w:p>
    <w:p w14:paraId="2EF20C7A"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234" w:name="ver_30069201"/>
      <w:bookmarkEnd w:id="234"/>
    </w:p>
    <w:p w14:paraId="16D5726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2.1.1.1.3.2.1. Patrimonio Autónomo Matriz (PAM). El Director del Fondo Nacional de Vivienda, FONVIVIENDA, en aplicación de lo dispuesto en el artículo 2° del Decreto-ley 4832 de 2010, podrá celebrar en forma directa contratos de Fiducia Mercantil con el propósito de constituir Patrimonios Autónomos Matrices (PAM) en su condición de fideicomitente, a los cuales se girarán los recursos para la ejecución de actividades de generar proyectos de vivienda urbana de interés social nueva destinada a la atención de los hogares afectados por el Fenómeno de La Niña 2010-2011 y aquellos que se encuentren ubicados en zonas de riesgo conforme a lo dispuesto en la presente sección. </w:t>
      </w:r>
    </w:p>
    <w:p w14:paraId="159270E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E00EF3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xml:space="preserve">Para efectos de lo anterior el </w:t>
      </w:r>
      <w:proofErr w:type="gramStart"/>
      <w:r w:rsidRPr="009342F9">
        <w:rPr>
          <w:rFonts w:ascii="Arial" w:eastAsia="Times New Roman" w:hAnsi="Arial" w:cs="Arial"/>
          <w:color w:val="000000"/>
          <w:lang w:eastAsia="es-CO"/>
        </w:rPr>
        <w:t>Director</w:t>
      </w:r>
      <w:proofErr w:type="gramEnd"/>
      <w:r w:rsidRPr="009342F9">
        <w:rPr>
          <w:rFonts w:ascii="Arial" w:eastAsia="Times New Roman" w:hAnsi="Arial" w:cs="Arial"/>
          <w:color w:val="000000"/>
          <w:lang w:eastAsia="es-CO"/>
        </w:rPr>
        <w:t xml:space="preserve"> de FONVIVIENDA podrá constituir uno o varios patrimonios autónomos de los que trata este artículo si ello fuere necesario para atender con mayor celeridad, eficiencia y eficacia las zonas del país en las que se encuentre ubicada la población que será atendida conforme a lo establecido en la presente sección. </w:t>
      </w:r>
    </w:p>
    <w:p w14:paraId="18C691BE" w14:textId="3AC0E963"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35" w:name="ver_30069202"/>
      <w:bookmarkEnd w:id="235"/>
    </w:p>
    <w:p w14:paraId="14D1F4A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2.1.1.1.3.2.2. </w:t>
      </w:r>
      <w:proofErr w:type="gramStart"/>
      <w:r w:rsidRPr="009342F9">
        <w:rPr>
          <w:rFonts w:ascii="Arial" w:eastAsia="Times New Roman" w:hAnsi="Arial" w:cs="Arial"/>
          <w:color w:val="000000"/>
          <w:lang w:eastAsia="es-CO"/>
        </w:rPr>
        <w:t>Recursos a transferir</w:t>
      </w:r>
      <w:proofErr w:type="gramEnd"/>
      <w:r w:rsidRPr="009342F9">
        <w:rPr>
          <w:rFonts w:ascii="Arial" w:eastAsia="Times New Roman" w:hAnsi="Arial" w:cs="Arial"/>
          <w:color w:val="000000"/>
          <w:lang w:eastAsia="es-CO"/>
        </w:rPr>
        <w:t xml:space="preserve"> a los Patrimonios Autónomos matrices (PAM). A los Patrimonios Autónomos Matrices (PAM) de que trata esta sección se podrán transferir los siguientes bienes: </w:t>
      </w:r>
    </w:p>
    <w:p w14:paraId="55A2665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23D8EC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1. Recursos incorporados en el Presupuesto General de la Nación para el Fondo Nacional de Vivienda, FONVIVIENDA. Estos recursos serán destinados, de una parte, al reconocimiento de los gastos de estructuración y </w:t>
      </w:r>
      <w:proofErr w:type="spellStart"/>
      <w:r w:rsidRPr="009342F9">
        <w:rPr>
          <w:rFonts w:ascii="Arial" w:eastAsia="Times New Roman" w:hAnsi="Arial" w:cs="Arial"/>
          <w:color w:val="000000"/>
          <w:lang w:eastAsia="es-CO"/>
        </w:rPr>
        <w:t>viabilización</w:t>
      </w:r>
      <w:proofErr w:type="spellEnd"/>
      <w:r w:rsidRPr="009342F9">
        <w:rPr>
          <w:rFonts w:ascii="Arial" w:eastAsia="Times New Roman" w:hAnsi="Arial" w:cs="Arial"/>
          <w:color w:val="000000"/>
          <w:lang w:eastAsia="es-CO"/>
        </w:rPr>
        <w:t xml:space="preserve"> de los proyectos de vivienda urbana de interés social nueva conforme se establece el numeral 1 del artículo 2.1.1.1.3.2.3de la presente sección, y, de otra, a la individualización, en los términos del numeral 2 del citado artículo 2.1.1.1.3.2.3, de subsidios familiares de vivienda a los hogares damnificados por el Fenómeno de La Niña 2010-2011, y aquellos ubicados en zonas de riesgo según lo establecido en este sentido en la presente sección. </w:t>
      </w:r>
    </w:p>
    <w:p w14:paraId="1E9BE48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D99EBC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Recursos asignados por el Fondo Nacional de Calamidades. </w:t>
      </w:r>
    </w:p>
    <w:p w14:paraId="74F6ECA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FE0FDA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Los bienes señalados en los artículos 4° y 5° del Decreto-ley 4832 de 2010. </w:t>
      </w:r>
    </w:p>
    <w:p w14:paraId="35700B2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668609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Otros recursos que conforme a la normatividad vigente pueden ser aportados a dicho Patrimonio. </w:t>
      </w:r>
    </w:p>
    <w:p w14:paraId="0D4F162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E122CC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Las personas distintas a FONVIVIENDA que aporten bienes al Patrimonio Autónomo Matriz (PAM) en los términos de los artículos 4° y 5° del Decreto-ley 4832 de 2010 no adquirirán por tal hecho la condición de Fideicomitentes. </w:t>
      </w:r>
    </w:p>
    <w:p w14:paraId="2B02DD3F" w14:textId="366E7966"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36" w:name="ver_30069203"/>
      <w:bookmarkEnd w:id="236"/>
    </w:p>
    <w:p w14:paraId="27EE8BB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2.1.1.1.3.2.3. Principales funciones del Patrimonio Autónomo Matriz (PAM). Sin perjuicio de los derechos y obligaciones establecidos por la normatividad vigente en materia de fiducia mercantil y aquellos que sean definidos en el contrato que se suscriba para su constitución, los Patrimonios Autónomos Matrices (PAM) podrán desarrollar, entre otras, las siguientes actividades: </w:t>
      </w:r>
    </w:p>
    <w:p w14:paraId="0572861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58E999D" w14:textId="29322005"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1. Pagar las sumas de dinero causadas por concepto de la estructuración y/o </w:t>
      </w:r>
      <w:proofErr w:type="spellStart"/>
      <w:r w:rsidRPr="009342F9">
        <w:rPr>
          <w:rFonts w:ascii="Arial" w:eastAsia="Times New Roman" w:hAnsi="Arial" w:cs="Arial"/>
          <w:color w:val="000000"/>
          <w:lang w:eastAsia="es-CO"/>
        </w:rPr>
        <w:t>viabilización</w:t>
      </w:r>
      <w:proofErr w:type="spellEnd"/>
      <w:r w:rsidRPr="009342F9">
        <w:rPr>
          <w:rFonts w:ascii="Arial" w:eastAsia="Times New Roman" w:hAnsi="Arial" w:cs="Arial"/>
          <w:color w:val="000000"/>
          <w:lang w:eastAsia="es-CO"/>
        </w:rPr>
        <w:t xml:space="preserve"> de los proyectos de vivienda urbana de interés social nueva que hayan sido estructurados y/o viabilizados conforme a lo dispuesto en los artículos 2.1.1.1.3.3.1, 2.1.1.1.3.3.2 y 2.1.1.1.3.3.3 de la presente sección, siempre que dichos proyectos cuenten con intervención o participación directa de entidades territoriales representada en gestión y promoción de las viviendas, aporte de terrenos o de recursos complementarios en dinero o en otros bienes, o participación en los mecanismos de seguimiento y control, entre otros. </w:t>
      </w:r>
    </w:p>
    <w:p w14:paraId="1AA7E88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690BB1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Como resultado del procedimiento establecido en el artículo 2.1.1.1.3.3.5 de la presente sección, efectuar el giro a los Patrimonios Autónomos Derivados (PAD) de las sumas de dinero que serán individualizadas como subsidios familiares de vivienda mediante asignación por parte del Fondo Nacional de Vivienda, FONVIVIENDA, a hogares damnificados por el Fenómeno de La Niña 2010- 2011, y a aquellos ubicados en zonas de riesgo en los términos de la presente sección, y que serán destinadas por dichos patrimonios a las actividades a que se refieren los numerales 1, 4, 5 y 6 del artículo 1° del Decreto-ley 4832 de 2010. El giro de los recursos se realizará de la siguiente forma: </w:t>
      </w:r>
    </w:p>
    <w:p w14:paraId="6965593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w:t>
      </w:r>
    </w:p>
    <w:p w14:paraId="701C44E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2.1. El equivalente al 30% del valor total de los cupos que el Fondo Nacional de Vivienda FONVIVIENDA determine para el proyecto conforme a lo establecido en el 2.1.1.1.3.3.5 de la presente sección será girado por el Patrimonio Autónomo Matriz (PAM) al Patrimonio Autónomo Derivado (PAD) cuando este acredite a aquel el cumplimiento de los siguientes requisitos: </w:t>
      </w:r>
    </w:p>
    <w:p w14:paraId="078B6AE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A90901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i). Presentación de certificado de viabilidad del proyecto expedido por las entidades habilitadas para ello conforme a lo dispuesto en este capítulo; </w:t>
      </w:r>
    </w:p>
    <w:p w14:paraId="66F54F7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BF7A65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ii) Constitución del Patrimonio Autónomo Derivado (PAD) a más tardar dentro de los dos (2) meses siguientes a la fecha de definición de los cupos a los que se refiere el 2.1.1.1.3.3.5 de la presente sección; </w:t>
      </w:r>
    </w:p>
    <w:p w14:paraId="16B5EE7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C8B0DF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iii) Entrega del cronograma de obras del proyecto de que trata la letra b) del artículo 2.1.1.1.3.3.3 del de la presente sección, aprobado por el comité fiduciario del Patrimonio Autónomo Derivado (PAD); </w:t>
      </w:r>
    </w:p>
    <w:p w14:paraId="5DA2E34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CF58630" w14:textId="77777777" w:rsidR="00FC79C1" w:rsidRPr="009342F9" w:rsidRDefault="00FC79C1" w:rsidP="00FC79C1">
      <w:pPr>
        <w:spacing w:after="0" w:line="240" w:lineRule="auto"/>
        <w:jc w:val="both"/>
        <w:rPr>
          <w:rFonts w:ascii="Arial" w:eastAsia="Times New Roman" w:hAnsi="Arial" w:cs="Arial"/>
          <w:color w:val="000000"/>
          <w:lang w:eastAsia="es-CO"/>
        </w:rPr>
      </w:pPr>
      <w:proofErr w:type="spellStart"/>
      <w:r w:rsidRPr="009342F9">
        <w:rPr>
          <w:rFonts w:ascii="Arial" w:eastAsia="Times New Roman" w:hAnsi="Arial" w:cs="Arial"/>
          <w:color w:val="000000"/>
          <w:lang w:eastAsia="es-CO"/>
        </w:rPr>
        <w:t>iv</w:t>
      </w:r>
      <w:proofErr w:type="spellEnd"/>
      <w:r w:rsidRPr="009342F9">
        <w:rPr>
          <w:rFonts w:ascii="Arial" w:eastAsia="Times New Roman" w:hAnsi="Arial" w:cs="Arial"/>
          <w:color w:val="000000"/>
          <w:lang w:eastAsia="es-CO"/>
        </w:rPr>
        <w:t>) Entrega del documento que acredite la existencia de vínculo contractual del Patrimonio Autónomo Derivado (PAD) con el Gerente Integral y el Interventor del proyecto; </w:t>
      </w:r>
    </w:p>
    <w:p w14:paraId="0229BB2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5FD873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v) Acreditar la constitución de las pólizas de seguro a las que se refiere el artículo 2.1.1.1.3.5.1 de la presente sección. </w:t>
      </w:r>
    </w:p>
    <w:p w14:paraId="3A39C7E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5B63E0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2.2. El equivalente al 50% del valor total de los cupos asignados para el proyecto se girará por los valores que solicite el Patrimonio Autónomo Derivado (PAD) y que apruebe el Comité Fiduciario del Patrimonio Autónomo Matriz (PAM), previo el cumplimiento de los siguientes requisitos: </w:t>
      </w:r>
    </w:p>
    <w:p w14:paraId="4B77A32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7BC24D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i. Resoluciones expedidas por el Fondo Nacional de Vivienda, FONVIVIENDA, mediante las cuales se hayan individualizado los subsidios de vivienda a favor de los hogares en un número equivalente a la totalidad de los cupos definidos para el proyecto conforme a lo dispuesto en el artículo 2.1.1.1.3.3.5 de esta sección; </w:t>
      </w:r>
    </w:p>
    <w:p w14:paraId="17DDC24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173729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ii. Certificación expedida por la Sociedad Fiduciaria vocera del Patrimonio Autónomo Derivado (PAD) en la que conste que dicho Patrimonio Autónomo o quien contractualmente se haya establecido, ha suscrito con los hogares beneficiarios de los subsidios las respectivas promesas de compraventa o los contratos previos para la adquisición del dominio de las viviendas del proyecto del caso; </w:t>
      </w:r>
    </w:p>
    <w:p w14:paraId="34FFDF4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7265BA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iii. Verificación del avance de obra frente al cronograma de obras, conforme a la certificación que para tales efectos emita el interventor del proyecto, y verificación de dicho avance por parte del Patrimonio Autónomo Matriz (PAM) o la entidad contratada por este para tales efectos; </w:t>
      </w:r>
    </w:p>
    <w:p w14:paraId="7596BE8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317347B" w14:textId="77777777" w:rsidR="00FC79C1" w:rsidRPr="009342F9" w:rsidRDefault="00FC79C1" w:rsidP="00FC79C1">
      <w:pPr>
        <w:spacing w:after="0" w:line="240" w:lineRule="auto"/>
        <w:jc w:val="both"/>
        <w:rPr>
          <w:rFonts w:ascii="Arial" w:eastAsia="Times New Roman" w:hAnsi="Arial" w:cs="Arial"/>
          <w:color w:val="000000"/>
          <w:lang w:eastAsia="es-CO"/>
        </w:rPr>
      </w:pPr>
      <w:proofErr w:type="spellStart"/>
      <w:r w:rsidRPr="009342F9">
        <w:rPr>
          <w:rFonts w:ascii="Arial" w:eastAsia="Times New Roman" w:hAnsi="Arial" w:cs="Arial"/>
          <w:color w:val="000000"/>
          <w:lang w:eastAsia="es-CO"/>
        </w:rPr>
        <w:t>iv</w:t>
      </w:r>
      <w:proofErr w:type="spellEnd"/>
      <w:r w:rsidRPr="009342F9">
        <w:rPr>
          <w:rFonts w:ascii="Arial" w:eastAsia="Times New Roman" w:hAnsi="Arial" w:cs="Arial"/>
          <w:color w:val="000000"/>
          <w:lang w:eastAsia="es-CO"/>
        </w:rPr>
        <w:t>. Acreditar la constitución de las pólizas de seguro a las que se refiere el artículo 2.1.1.1.3.5.1de la presente sección. </w:t>
      </w:r>
    </w:p>
    <w:p w14:paraId="1C450F7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06E948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2.3. El 20% restante de los cupos definidos será girado por el Patrimonio Autónomo Matriz (PAM) cuando el Fondo Nacional de Vivienda, FONVIVIENDA, o el operador que este designe, haya recibido a satisfacción los siguientes documentos: </w:t>
      </w:r>
    </w:p>
    <w:p w14:paraId="4D44F28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9183B8B" w14:textId="1070957E"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2.3.1</w:t>
      </w:r>
      <w:r w:rsidR="00E63A77">
        <w:rPr>
          <w:rFonts w:ascii="Arial" w:eastAsia="Times New Roman" w:hAnsi="Arial" w:cs="Arial"/>
          <w:color w:val="000000"/>
          <w:lang w:eastAsia="es-CO"/>
        </w:rPr>
        <w:t xml:space="preserve">. </w:t>
      </w:r>
      <w:r w:rsidRPr="009342F9">
        <w:rPr>
          <w:rFonts w:ascii="Arial" w:eastAsia="Times New Roman" w:hAnsi="Arial" w:cs="Arial"/>
          <w:color w:val="000000"/>
          <w:lang w:eastAsia="es-CO"/>
        </w:rPr>
        <w:t>Copia de la escritura pública contentiva del título de adquisición de la vivienda y un ejemplar del certificado de tradición y libertad que acredite la transferencia del dominio con una vigencia no mayor a treinta (30) días, que permitan evidenciar la adquisición de la vivienda por el hogar beneficiario del subsidio. De no contarse con el certificado de tradición y libertad del inmueble podrá acompañarse la copia del recibo de caja de la solicitud de registro del respectivo documento ante la Oficina de Registro de Instrumentos Públicos correspondiente, la copia auténtica de la escritura pública sometida a registro que permita evidenciar la existencia de título traslaticio del dominio de la vivienda a favor del hogar y la garantía que llegare a definir el Ministerio de Vivienda, Ciudad y Territorio. El Patrimonio Autónomo Derivado (PAD) será responsable por el desarrollo y cabal ejecución de las actividades necesarias para la debida inscripción de la escritura pública en el folio de matrícula inmobiliaria correspondiente. </w:t>
      </w:r>
    </w:p>
    <w:p w14:paraId="61B126E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42F2D5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2.3.2. Copia del documento que acredita la asignación del Subsidio Familiar de Vivienda al hogar, con autorización de cobro por parte del beneficiario. </w:t>
      </w:r>
    </w:p>
    <w:p w14:paraId="00EC056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998183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2.3.3. Certificado de existencia y recibo a satisfacción de la vivienda, en el que se especifique que la misma cumple con las condiciones señaladas en la postulación y en la asignación correspondiente, debidamente suscrito por el oferente y por el beneficiario del subsidio o por quien hubiere sido autorizado por este para tales efectos. </w:t>
      </w:r>
    </w:p>
    <w:p w14:paraId="5AE68B2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974C54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2.3.4. En caso de reubicación de hogares localizados en zonas de riesgo conforme a lo establecido en la presente sección, para efectos del desembolso del subsidio familiar de vivienda en el 20% de que aquí se trata, adicionalmente el hogar propietario deberá demostrar la transferencia del derecho de dominio y posesión del inmueble desalojado a la respectiva entidad territorial mediante la presentación del certificado de libertad y tradición en el que conste la citada transferencia. En el caso de hogares ocupantes, estos deberán acreditar la entrega de la tenencia material del inmueble a la Alcaldía del municipio donde esté ubicado el inmueble, mediante certificación expedida por dicha autoridad. </w:t>
      </w:r>
    </w:p>
    <w:p w14:paraId="6FC0655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2FDB2A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Con la autorización, adoptada por decisión unánime de los miembros del Comité Fiduciario y conforme a las directrices y lineamientos que mediante resolución defina el Ministerio de Vivienda, Ciudad y Territorio, realizar las siguientes actividades con el fin primordial de atender a los hogares afectados en sus viviendas por el Fenómeno de La Niña 2010-2011 y/o aquellos ubicados en zonas de riesgo conforme a lo dispuesto en la presente sección: </w:t>
      </w:r>
    </w:p>
    <w:p w14:paraId="19BC3D2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5823A9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3.1. Adquirir lotes de terreno a cualquier título para ser destinados al desarrollo de proyectos de vivienda urbana de interés social nueva. La transferencia de estos inmuebles podrá efectuarse directamente al Patrimonio Autónomo Matriz (PAM) o al Patrimonio Autónomo Derivado (PAD) que aquel determine. </w:t>
      </w:r>
    </w:p>
    <w:p w14:paraId="500E624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2DD638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3.2. Destinar recursos para la adquisición de materiales para la ejecución de obras de urbanismo y construcción de los proyectos que desarrollarán los Patrimonios Autónomos Derivados (PAD). </w:t>
      </w:r>
    </w:p>
    <w:p w14:paraId="1240508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85DB85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3.3. Construir y/o adquirir viviendas urbanas de interés social ya construidas o en proceso de construcción. </w:t>
      </w:r>
    </w:p>
    <w:p w14:paraId="4E749F2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B0B00B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3.4. Asumir los gastos que se generen por los trámites de notariado y registro por concepto de actos de adquisición de lotes de terreno que formen parte de Patrimonios Autónomos Derivados (PAD) y de la transferencia posterior de las viviendas a los hogares beneficiarios siempre que dichos patrimonios autónomos hayan sido constituidos por entidades territoriales departamentales o municipales y/o con bienes transferidos por entidades del orden nacional. </w:t>
      </w:r>
    </w:p>
    <w:p w14:paraId="20288E3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w:t>
      </w:r>
    </w:p>
    <w:p w14:paraId="4EE4539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Efectuar labores de control y seguimiento sobre el giro de los recursos, avances de obra de cada proyecto según el cronograma presentado para conceder la viabilidad del proyecto, sobre el cumplimiento de las obligaciones adquiridas por las gerencias integrales en los contratos que las vinculen a los Patrimonios Autónomos Derivados (PAD), y sobre la ejecución de los proyectos de vivienda urbana de interés social nueva en los cuales se aplicarán los recursos destinados a la atención de los damnificados por el fenómeno de La Niña 2010- 2011, y aquellos hogares ubicados en zonas de riesgo en los términos de la presente sección. </w:t>
      </w:r>
    </w:p>
    <w:p w14:paraId="28683EA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2390C6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Para ejecutar las actividades de control y seguimiento aquí previstas, según lo dispuesto por el parágrafo del artículo 2° del Decreto-ley 4832 de 2010, el Patrimonio Autónomo Matriz (PAM) podrá celebrar convenios con el Fondo Financiero de Proyectos de Desarrollo FONADE, y/o con entidades, instituciones u organizaciones públicas o privadas de cualquier naturaleza jurídica especializadas en el seguimiento, control y/o interventoría de proyectos de vivienda. </w:t>
      </w:r>
    </w:p>
    <w:p w14:paraId="219D7C9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1C0CCE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1°. El Comité Fiduciario del Patrimonio Autónomo Matriz (PAM) estará conformado por los miembros del Consejo Directivo del Fondo Nacional de Vivienda, FONVIVIENDA. Podrá constituir un comité asesor que apoye al Comité Fiduciario y al Patrimonio Autónomo Matriz (PAM) en el cumplimiento de sus funciones. Estará integrado por al menos tres (3) miembros designados por el Comité Fiduciario y contratados por el Patrimonio Autónomo Matriz (PAM) que cuenten con experiencia mínima de cinco (5) años en temas relacionados con estructuración, evaluación técnica, legal, social y financiera de proyectos de vivienda. </w:t>
      </w:r>
    </w:p>
    <w:p w14:paraId="4C806D1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5E4E7C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2°. La ejecución de las actividades de carácter técnico y operativo necesarias para dar cumplimiento con la totalidad o parte de lo dispuesto en el presente artículo 2.1.1.1.3.2.3 podrán ser adelantadas con el apoyo del Fondo Nacional de Vivienda FONVIVIENDA, o de la persona jurídica, consorcio o unión temporal con quien dicho Fondo celebre convenio para tales efectos. </w:t>
      </w:r>
    </w:p>
    <w:p w14:paraId="699CF63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59E80E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3°. Para todos los efectos legales las trasferencias de recursos de FONVIVIENDA o de las entidades territoriales a los Patrimonios Autónomos Matrices (PAM) y de estos a los Patrimonios Autónomos Derivados (PAD) se tendrán como mecanismos de ejecución del Presupuesto General de la Nación. </w:t>
      </w:r>
    </w:p>
    <w:p w14:paraId="6CC437D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E9E509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Parágrafo 4°. Los rendimientos financieros que llegaren a producir los recursos de FONVIVIENDA transferidos a los Patrimonios Autónomos Matrices (PAM) y a los Patrimonios Autónomos Derivados (PAD) </w:t>
      </w:r>
      <w:proofErr w:type="gramStart"/>
      <w:r w:rsidRPr="009342F9">
        <w:rPr>
          <w:rFonts w:ascii="Arial" w:eastAsia="Times New Roman" w:hAnsi="Arial" w:cs="Arial"/>
          <w:color w:val="000000"/>
          <w:lang w:eastAsia="es-CO"/>
        </w:rPr>
        <w:t>le</w:t>
      </w:r>
      <w:proofErr w:type="gramEnd"/>
      <w:r w:rsidRPr="009342F9">
        <w:rPr>
          <w:rFonts w:ascii="Arial" w:eastAsia="Times New Roman" w:hAnsi="Arial" w:cs="Arial"/>
          <w:color w:val="000000"/>
          <w:lang w:eastAsia="es-CO"/>
        </w:rPr>
        <w:t xml:space="preserve"> pertenecerán a estos, y se destinarán a las finalidades establecidas en cada uno de los contratos de fiducia mercantil que los generan. </w:t>
      </w:r>
    </w:p>
    <w:p w14:paraId="5A85F6C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0595FA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5°. En concordancia con lo dispuesto en el artículo 2.1.1.1.3.5.1 de la presente sección, las pólizas de seguro mencionadas en los numerales 2.1, y 2.2 del presente artículo deberán corresponder al 110% del valor de cada uno de los giros realizados por concepto de subsidio familiar de vivienda al Patrimonio Autónomo Derivado (PAD) del caso. </w:t>
      </w:r>
    </w:p>
    <w:p w14:paraId="5FB6587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16C90D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6°. Los recursos del Presupuesto General de la Nación girados a los patrimonios autónomos mencionados en la presente sección, que no se encuentren amparando obligaciones a 31 de diciembre de 2014 serán reintegrados con sus correspondientes rendimientos financieros al Ministerio de Hacienda y Crédito Público dentro de los tres (3) meses siguientes a la fecha aquí indicada. Para efectos de lo aquí previsto, debe tenerse en cuenta que: </w:t>
      </w:r>
    </w:p>
    <w:p w14:paraId="6CFC759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C392A8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i. Los rendimientos financieros originados en los recursos aportados por las entidades públicas a los patrimonios autónomos de que aquí se trata sólo podrán destinarse al cumplimiento de la </w:t>
      </w:r>
      <w:r w:rsidRPr="009342F9">
        <w:rPr>
          <w:rFonts w:ascii="Arial" w:eastAsia="Times New Roman" w:hAnsi="Arial" w:cs="Arial"/>
          <w:color w:val="000000"/>
          <w:lang w:eastAsia="es-CO"/>
        </w:rPr>
        <w:lastRenderedPageBreak/>
        <w:t>finalidad prevista para dichos patrimonios una vez se utilicen integralmente los recursos que los han generado; </w:t>
      </w:r>
    </w:p>
    <w:p w14:paraId="282262A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A305F9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ii. Las sociedades fiduciarias voceras de los patrimonios autónomos deberán identificar y contabilizar los rendimientos financieros producidos por los recursos entregados de manera independiente, teniendo en cuenta la época de su causación y los recursos que los originaron. </w:t>
      </w:r>
    </w:p>
    <w:p w14:paraId="5796A6C3" w14:textId="7544C8E2" w:rsidR="005A1FCF"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37" w:name="ver_30069204"/>
      <w:bookmarkEnd w:id="237"/>
    </w:p>
    <w:p w14:paraId="543FEBFF" w14:textId="45BF5117" w:rsidR="00FC79C1" w:rsidRPr="009342F9" w:rsidRDefault="00FC79C1" w:rsidP="005A1FCF">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SUBSECCIÓN 3</w:t>
      </w:r>
    </w:p>
    <w:p w14:paraId="334D6FDA" w14:textId="7E3ED895" w:rsidR="00FC79C1" w:rsidRPr="009342F9" w:rsidRDefault="00FC79C1" w:rsidP="005A1FCF">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ESTRUCTURACIÓN Y VIABILIDAD DE PROYECTOS</w:t>
      </w:r>
    </w:p>
    <w:p w14:paraId="3CC8CC59" w14:textId="77777777" w:rsidR="00FC79C1" w:rsidRPr="009342F9" w:rsidRDefault="00FC79C1" w:rsidP="005A1FCF">
      <w:pPr>
        <w:spacing w:after="0" w:line="240" w:lineRule="auto"/>
        <w:jc w:val="center"/>
        <w:rPr>
          <w:rFonts w:ascii="Arial" w:eastAsia="Times New Roman" w:hAnsi="Arial" w:cs="Arial"/>
          <w:b/>
          <w:bCs/>
          <w:color w:val="000000"/>
          <w:lang w:eastAsia="es-CO"/>
        </w:rPr>
      </w:pPr>
      <w:bookmarkStart w:id="238" w:name="ver_30069205"/>
      <w:bookmarkEnd w:id="238"/>
    </w:p>
    <w:p w14:paraId="7E54371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2.1.1.1.3.3.1. Estructurador de proyectos. Es la persona natural o jurídica, pública o privada, que realizará los estudios, diseños y demás actividades necesarias para la definición técnica, financiera, jurídica, y social del proyecto, y en general de todos los elementos que harán posible la ejecución de proyectos de vivienda urbana de interés social nueva enfocados en la atención de la población damnificada por el Fenómeno de La Niña 2010-2011, y aquella ubicada en zonas de riesgo acorde a los lineamientos de la presente sección. </w:t>
      </w:r>
    </w:p>
    <w:p w14:paraId="7FD349F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7CA9C3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Además de la definición de los aspectos antes enunciados, en la estructuración deberán establecerse con precisión las funciones, condiciones de idoneidad y demás requisitos y roles que deberá cumplir quien vaya a ejecutar la Gerencia Integral de los proyectos de vivienda de interés social. </w:t>
      </w:r>
    </w:p>
    <w:p w14:paraId="62D7EF6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10915B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Lo previsto en el numeral 1 del artículo 2.1.1.1.3.2.3 de la presente sección será aplicable a los estructuradores, personas naturales o jurídicas, con las que el Fondo Nacional de Vivienda, FONVIVIENDA, suscriba convenios para desarrollar las actividades previstas en el presente artículo. </w:t>
      </w:r>
    </w:p>
    <w:p w14:paraId="472E4BE6" w14:textId="3477DAD2"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39" w:name="ver_30069206"/>
      <w:bookmarkEnd w:id="239"/>
    </w:p>
    <w:p w14:paraId="562291F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2.1.1.1.3.3.2. </w:t>
      </w:r>
      <w:proofErr w:type="spellStart"/>
      <w:r w:rsidRPr="009342F9">
        <w:rPr>
          <w:rFonts w:ascii="Arial" w:eastAsia="Times New Roman" w:hAnsi="Arial" w:cs="Arial"/>
          <w:color w:val="000000"/>
          <w:lang w:eastAsia="es-CO"/>
        </w:rPr>
        <w:t>Viabilizador</w:t>
      </w:r>
      <w:proofErr w:type="spellEnd"/>
      <w:r w:rsidRPr="009342F9">
        <w:rPr>
          <w:rFonts w:ascii="Arial" w:eastAsia="Times New Roman" w:hAnsi="Arial" w:cs="Arial"/>
          <w:color w:val="000000"/>
          <w:lang w:eastAsia="es-CO"/>
        </w:rPr>
        <w:t>. Es la persona jurídica encargada de emitir concepto de viabilidad sobre los componentes técnicos, económicos, financieros, jurídicos, y sociales y, en general sobre todos los elementos que hacen posible la ejecución de los proyectos de vivienda urbana de interés social nueva enfocados a la atención de la población damnificada por el Fenómeno de La Niña 2010-2011, y aquella ubicada en zonas de riesgo en los términos de esta sección, todo ello, en concordancia con lo establecido en el artículo 2.1.1.1.3.3.3 de la presente sección. </w:t>
      </w:r>
    </w:p>
    <w:p w14:paraId="0746A1A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BB42CE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Las entidades, instituciones públicas o privadas con las que el Fondo Nacional de Vivienda, FONVIVIENDA, suscriba convenios para tales efectos serán las entidades habilitadas para otorgar la viabilidad a los proyectos de vivienda de que trata la presente sección. </w:t>
      </w:r>
    </w:p>
    <w:p w14:paraId="0A2A89D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CF67EE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En los casos en que el proyecto de vivienda haya sido estructurado por la misma entidad con la que el Fondo Nacional de Vivienda haya suscrito convenio para tales efectos, la viabilidad se hará constar en certificado de estructuración y </w:t>
      </w:r>
      <w:proofErr w:type="spellStart"/>
      <w:r w:rsidRPr="009342F9">
        <w:rPr>
          <w:rFonts w:ascii="Arial" w:eastAsia="Times New Roman" w:hAnsi="Arial" w:cs="Arial"/>
          <w:color w:val="000000"/>
          <w:lang w:eastAsia="es-CO"/>
        </w:rPr>
        <w:t>viabilización</w:t>
      </w:r>
      <w:proofErr w:type="spellEnd"/>
      <w:r w:rsidRPr="009342F9">
        <w:rPr>
          <w:rFonts w:ascii="Arial" w:eastAsia="Times New Roman" w:hAnsi="Arial" w:cs="Arial"/>
          <w:color w:val="000000"/>
          <w:lang w:eastAsia="es-CO"/>
        </w:rPr>
        <w:t xml:space="preserve"> emitido por la entidad del caso, que deberá incluir el concepto sobre la viabilidad técnica, económica, financiera, jurídica y social del proyecto del caso. </w:t>
      </w:r>
    </w:p>
    <w:p w14:paraId="1D1E6014" w14:textId="79EAD34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40" w:name="ver_30069207"/>
      <w:bookmarkEnd w:id="240"/>
    </w:p>
    <w:p w14:paraId="3158A5B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2.1.1.1.3.3.3. Requisitos para otorgar la viabilidad. La viabilidad de un proyecto de vivienda urbana de interés social nueva se emitirá previa verificación por parte de la entidad </w:t>
      </w:r>
      <w:proofErr w:type="spellStart"/>
      <w:r w:rsidRPr="009342F9">
        <w:rPr>
          <w:rFonts w:ascii="Arial" w:eastAsia="Times New Roman" w:hAnsi="Arial" w:cs="Arial"/>
          <w:color w:val="000000"/>
          <w:lang w:eastAsia="es-CO"/>
        </w:rPr>
        <w:t>viabilizadora</w:t>
      </w:r>
      <w:proofErr w:type="spellEnd"/>
      <w:r w:rsidRPr="009342F9">
        <w:rPr>
          <w:rFonts w:ascii="Arial" w:eastAsia="Times New Roman" w:hAnsi="Arial" w:cs="Arial"/>
          <w:color w:val="000000"/>
          <w:lang w:eastAsia="es-CO"/>
        </w:rPr>
        <w:t xml:space="preserve"> del cumplimiento de los requisitos exigidos en las normas urbanísticas, arquitectónicas y de </w:t>
      </w:r>
      <w:proofErr w:type="spellStart"/>
      <w:r w:rsidRPr="009342F9">
        <w:rPr>
          <w:rFonts w:ascii="Arial" w:eastAsia="Times New Roman" w:hAnsi="Arial" w:cs="Arial"/>
          <w:color w:val="000000"/>
          <w:lang w:eastAsia="es-CO"/>
        </w:rPr>
        <w:t>sismorresistencia</w:t>
      </w:r>
      <w:proofErr w:type="spellEnd"/>
      <w:r w:rsidRPr="009342F9">
        <w:rPr>
          <w:rFonts w:ascii="Arial" w:eastAsia="Times New Roman" w:hAnsi="Arial" w:cs="Arial"/>
          <w:color w:val="000000"/>
          <w:lang w:eastAsia="es-CO"/>
        </w:rPr>
        <w:t>, entre otras, y de aquellos establecidos en la presente sección y en las demás normas que para el efecto establezca mediante resolución el Ministerio de Vivienda, Ciudad y Territorio. </w:t>
      </w:r>
    </w:p>
    <w:p w14:paraId="30D993F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w:t>
      </w:r>
    </w:p>
    <w:p w14:paraId="260EB06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todo caso, para el otorgamiento de la viabilidad de que aquí se trata, los proyectos de vivienda deberán acreditar, como mínimo, lo siguiente: </w:t>
      </w:r>
    </w:p>
    <w:p w14:paraId="1C91CC9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063662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 Las fuentes de financiación requeridas para el desarrollo del proyecto de vivienda urbana de interés social nueva, ya sea con recursos propios del fideicomitente o fideicomitentes del Patrimonio Autónomo Derivado (PAD), cuotas iniciales por ventas del proyecto, recursos del Subsidio Familiar de Vivienda y de los hogares, otros subsidios o aportes, declaración de obras ya ejecutadas, financiación otorgada por entidades legalmente habilitadas para ello, entre otros. </w:t>
      </w:r>
    </w:p>
    <w:p w14:paraId="2053763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CEBA3E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b) Cronograma de ejecución de las obras, los presupuestos de construcción, costos de gerencia, y demás documentación que determine el Ministerio de Vivienda, Ciudad y Territorio para soportar la viabilidad del plan de vivienda, involucrando los costos directos e indirectos del mismo. </w:t>
      </w:r>
    </w:p>
    <w:p w14:paraId="36FABE8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C6C78C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 En el caso en que una entidad territorial intervenga como fideicomitente del Patrimonio Autónomo Derivado (PAD), y la financiación comprenda total o parcialmente aportes de esta en cualquier modalidad, en la vigencia en curso o en vigencias posteriores, dicha entidad territorial deberá acreditar el respectivo respaldo presupuestal con copia del documento idóneo para tal fin, de conformidad con las disposiciones presupuestales aplicables a la materia. </w:t>
      </w:r>
    </w:p>
    <w:p w14:paraId="7861DFB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DD0CB5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d) Estructura financiera, técnica, jurídica y comercial de la persona natural o jurídica que ejecutará las obras de construcción del plan de vivienda, conforme a los requisitos y condiciones que para tales efectos establezca el Ministerio de Vivienda, Ciudad y Territorio. </w:t>
      </w:r>
    </w:p>
    <w:p w14:paraId="2E14E03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1EB104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 Licencia de urbanización, cuando esta se requiera, y licencia de construcción otorgadas conforme a las normas vigentes por quien tenga la competencia legal en los municipios o distritos con referencia a la disponibilidad inmediata de los servicios públicos domiciliarios de acueducto, alcantarillado y energía eléctrica, vías de acceso y planos con los diseños para desarrollos futuros de las viviendas, si fuere el caso. Igualmente, deberá contar con certificado de disponibilidad de servicios públicos domiciliarios, expedida por la entidad competente para tales efectos, en el municipio donde se desarrollará el plan de vivienda correspondiente. </w:t>
      </w:r>
    </w:p>
    <w:p w14:paraId="61DD1DC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ACC6A5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f) La existencia o programación de un plan de gestión y acompañamiento social del proceso, desde la postulación hasta la asignación y ejecución del plan de vivienda correspondiente. </w:t>
      </w:r>
    </w:p>
    <w:p w14:paraId="0F180F3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90C0CF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g) Verificación previa con el Fondo Nacional de Vivienda, FONVIVIENDA, con las Cajas de Compensación Familiar, con la Rama Judicial del Poder Público, con las bases de datos de entidades que otorguen o hayan otorgado subsidios de vivienda de interés social, que a cualquiera de los partícipes del proyecto no se les haya declarado el incumplimiento en la ejecución de un proyecto de vivienda de interés social o se les hayan hecho exigibles pólizas o garantías otorgadas para la debida aplicación de los recursos del Subsidio Familiar de Vivienda, En caso de encontrar que mediante acto administrativo debidamente ejecutoriado existió declaratoria de incumplimiento, o se hicieron efectivas pólizas o cualquier clase de garantías o pagarés otorgados para la debida aplicación de los subsidios familiares de vivienda, la Entidad </w:t>
      </w:r>
      <w:proofErr w:type="spellStart"/>
      <w:r w:rsidRPr="009342F9">
        <w:rPr>
          <w:rFonts w:ascii="Arial" w:eastAsia="Times New Roman" w:hAnsi="Arial" w:cs="Arial"/>
          <w:color w:val="000000"/>
          <w:lang w:eastAsia="es-CO"/>
        </w:rPr>
        <w:t>viabilizadora</w:t>
      </w:r>
      <w:proofErr w:type="spellEnd"/>
      <w:r w:rsidRPr="009342F9">
        <w:rPr>
          <w:rFonts w:ascii="Arial" w:eastAsia="Times New Roman" w:hAnsi="Arial" w:cs="Arial"/>
          <w:color w:val="000000"/>
          <w:lang w:eastAsia="es-CO"/>
        </w:rPr>
        <w:t xml:space="preserve"> se abstendrá de emitir el correspondiente certificado de viabilidad. </w:t>
      </w:r>
    </w:p>
    <w:p w14:paraId="4E59453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1C1AD7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Parágrafo 1°. Cualquier modificación en las condiciones técnicas, financieras y jurídicas del proyecto de vivienda que sustentaron la declaratoria de viabilidad, en especial aquellas relacionadas con la construcción, ejecución, giro de los subsidios, y con las personas naturales o jurídicas encargadas de ejecutar el proyecto, exigirá la revisión de la viabilidad. En este caso, la ausencia de evaluación y aprobación previa por parte de la misma entidad que inicialmente </w:t>
      </w:r>
      <w:r w:rsidRPr="009342F9">
        <w:rPr>
          <w:rFonts w:ascii="Arial" w:eastAsia="Times New Roman" w:hAnsi="Arial" w:cs="Arial"/>
          <w:color w:val="000000"/>
          <w:lang w:eastAsia="es-CO"/>
        </w:rPr>
        <w:lastRenderedPageBreak/>
        <w:t>concedió la viabilidad determinará que el plan de vivienda del caso no pueda ser receptor de los subsidios de que trata la presente sección. </w:t>
      </w:r>
    </w:p>
    <w:p w14:paraId="0E27AD0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326C63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2°. No podrá existir viabilidad de un proyecto de vivienda urbana de interés social nueva, o aplicarse el subsidio, cuando las unidades habitacionales se localicen en: </w:t>
      </w:r>
    </w:p>
    <w:p w14:paraId="218F9E9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DC4334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i. Barrios no legalizados por el respectivo municipio; </w:t>
      </w:r>
    </w:p>
    <w:p w14:paraId="0AEF8FD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36D362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ii. Zonas de alto riesgo no mitigable; </w:t>
      </w:r>
    </w:p>
    <w:p w14:paraId="2FC2EE8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44576A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iii. Zonas de protección de los recursos naturales; </w:t>
      </w:r>
    </w:p>
    <w:p w14:paraId="57E5B4B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251C3D8" w14:textId="77777777" w:rsidR="00FC79C1" w:rsidRPr="009342F9" w:rsidRDefault="00FC79C1" w:rsidP="00FC79C1">
      <w:pPr>
        <w:spacing w:after="0" w:line="240" w:lineRule="auto"/>
        <w:jc w:val="both"/>
        <w:rPr>
          <w:rFonts w:ascii="Arial" w:eastAsia="Times New Roman" w:hAnsi="Arial" w:cs="Arial"/>
          <w:color w:val="000000"/>
          <w:lang w:eastAsia="es-CO"/>
        </w:rPr>
      </w:pPr>
      <w:proofErr w:type="spellStart"/>
      <w:r w:rsidRPr="009342F9">
        <w:rPr>
          <w:rFonts w:ascii="Arial" w:eastAsia="Times New Roman" w:hAnsi="Arial" w:cs="Arial"/>
          <w:color w:val="000000"/>
          <w:lang w:eastAsia="es-CO"/>
        </w:rPr>
        <w:t>iv</w:t>
      </w:r>
      <w:proofErr w:type="spellEnd"/>
      <w:r w:rsidRPr="009342F9">
        <w:rPr>
          <w:rFonts w:ascii="Arial" w:eastAsia="Times New Roman" w:hAnsi="Arial" w:cs="Arial"/>
          <w:color w:val="000000"/>
          <w:lang w:eastAsia="es-CO"/>
        </w:rPr>
        <w:t>. Zonas de reserva de obra pública o de infraestructuras básicas del nivel nacional, regional o municipal; </w:t>
      </w:r>
    </w:p>
    <w:p w14:paraId="35D2EB4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798799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v. Áreas no aptas para la localización de vivienda, de acuerdo con los planes de ordenamiento territorial. </w:t>
      </w:r>
    </w:p>
    <w:p w14:paraId="2F7CEF7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6FC8E9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Parágrafo 3°. El </w:t>
      </w:r>
      <w:proofErr w:type="spellStart"/>
      <w:r w:rsidRPr="009342F9">
        <w:rPr>
          <w:rFonts w:ascii="Arial" w:eastAsia="Times New Roman" w:hAnsi="Arial" w:cs="Arial"/>
          <w:color w:val="000000"/>
          <w:lang w:eastAsia="es-CO"/>
        </w:rPr>
        <w:t>viabilizador</w:t>
      </w:r>
      <w:proofErr w:type="spellEnd"/>
      <w:r w:rsidRPr="009342F9">
        <w:rPr>
          <w:rFonts w:ascii="Arial" w:eastAsia="Times New Roman" w:hAnsi="Arial" w:cs="Arial"/>
          <w:color w:val="000000"/>
          <w:lang w:eastAsia="es-CO"/>
        </w:rPr>
        <w:t xml:space="preserve"> deberá objetar un proyecto de vivienda urbana de interés social nueva en el evento de no cumplir con los requisitos exigidos para su concepto favorable. No obstante, el proyecto será susceptible de corregirse y ser presentado nuevamente para su evaluación. </w:t>
      </w:r>
    </w:p>
    <w:p w14:paraId="01F7EEB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F8D6F2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4°. En ningún caso la declaratoria de viabilidad de un proyecto de vivienda urbana de interés social nueva generará derecho alguno a la asignación de cupos de subsidios para su aplicación en la adquisición de las viviendas que lo conforman. </w:t>
      </w:r>
    </w:p>
    <w:p w14:paraId="32F72A3D" w14:textId="77777777" w:rsidR="009342F9" w:rsidRDefault="009342F9" w:rsidP="00FC79C1">
      <w:pPr>
        <w:spacing w:after="0" w:line="240" w:lineRule="auto"/>
        <w:jc w:val="both"/>
        <w:rPr>
          <w:rFonts w:ascii="Arial" w:eastAsia="Times New Roman" w:hAnsi="Arial" w:cs="Arial"/>
          <w:color w:val="000000"/>
          <w:lang w:eastAsia="es-CO"/>
        </w:rPr>
      </w:pPr>
      <w:bookmarkStart w:id="241" w:name="ver_30069208"/>
      <w:bookmarkEnd w:id="241"/>
    </w:p>
    <w:p w14:paraId="605E8202" w14:textId="3D885A26"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2.1.1.1.3.3.4. Calificación de proyectos para asignación de cupos. Para la determinación de los cupos a los que se refiere el artículo 2.1.1.1.3.3.5 de la presente sección, la entidad </w:t>
      </w:r>
      <w:proofErr w:type="spellStart"/>
      <w:r w:rsidRPr="009342F9">
        <w:rPr>
          <w:rFonts w:ascii="Arial" w:eastAsia="Times New Roman" w:hAnsi="Arial" w:cs="Arial"/>
          <w:color w:val="000000"/>
          <w:lang w:eastAsia="es-CO"/>
        </w:rPr>
        <w:t>viabilizadora</w:t>
      </w:r>
      <w:proofErr w:type="spellEnd"/>
      <w:r w:rsidRPr="009342F9">
        <w:rPr>
          <w:rFonts w:ascii="Arial" w:eastAsia="Times New Roman" w:hAnsi="Arial" w:cs="Arial"/>
          <w:color w:val="000000"/>
          <w:lang w:eastAsia="es-CO"/>
        </w:rPr>
        <w:t xml:space="preserve"> calificará los proyectos de vivienda urbana de interés social nueva siguiendo la metodología que defina el Ministerio de Vivienda, Ciudad y Territorio. Dicha calificación deberá tener en cuenta, entre otros, los siguientes criterios: </w:t>
      </w:r>
    </w:p>
    <w:p w14:paraId="24AE818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5AC337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 Priorización de proyectos de vivienda urbana de interés social nueva en los que exista intervención directa de las entidades territoriales en la gestión y desarrollo de los mismos, a partir de esquemas concertados de gerencia, gestión y promoción de los planes de vivienda, aporte de recursos complementarios en dinero o en especie, estructuración y participación decisoria en los mecanismos de seguimiento y control, que garanticen la ejecución del proyecto y la adecuada utilización de los subsidios familiares de vivienda. </w:t>
      </w:r>
    </w:p>
    <w:p w14:paraId="4A3E6B9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7B33FA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b) Proyectos que contemplen mayor número de viviendas urbanas de interés social nuevas destinadas a hogares damnificados en sus viviendas por el Fenómeno de La Niña 2010-2011 y/o mayor número de viviendas destinadas a la atención de la población ubicada en zonas de riesgo conforme lo señalado en la presente sección. </w:t>
      </w:r>
    </w:p>
    <w:p w14:paraId="129DA67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506D61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 Proyectos que evidencien mayor esfuerzo de las entidades territoriales y menor nivel de requerimiento de Subsidio Familiar de Vivienda con cargo a recursos del Presupuesto Nacional. </w:t>
      </w:r>
    </w:p>
    <w:p w14:paraId="324F8A5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07C0E7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d) Priorización de proyectos de vivienda urbana de interés social nueva que se desarrollen en lotes o terrenos ya urbanizados. </w:t>
      </w:r>
    </w:p>
    <w:p w14:paraId="2243CEA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E5C04A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e) Priorización de proyectos de vivienda urbana de interés social nueva que presenten mejor relación de tamaño-precio de manera que el precio, por metro cuadrado resultante sea menor, y de aquellos que presenten una mejor relación zonas verdes y equipamiento comunitario, por unidad de vivienda. </w:t>
      </w:r>
    </w:p>
    <w:p w14:paraId="4B2B840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F743EE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f) Priorización de proyectos de vivienda urbana de interés social nueva que contemplen un número similar de unidades de vivienda que se desarrollen en altura. </w:t>
      </w:r>
    </w:p>
    <w:p w14:paraId="099E1FA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23012B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En ningún caso la calificación de un proyecto de vivienda urbana de interés social nueva generará derecho alguno para la definición de los cupos de que trata el artículo 2.1.1.1.3.3.5 de la presente sección. </w:t>
      </w:r>
    </w:p>
    <w:p w14:paraId="08A5CADF" w14:textId="04C8B55C"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42" w:name="ver_30069209"/>
      <w:bookmarkEnd w:id="242"/>
    </w:p>
    <w:p w14:paraId="5B647B5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2.1.1.1.3.3.5. Definición de cupos para los proyectos de vivienda urbana de interés social nueva. El Fondo Nacional de Vivienda, FONVIVIENDA, determinará y comunicará al Patrimonio Autónomo Matriz (PAM) los cupos de recursos para los proyectos que hayan sido previamente viabilizados y calificados conforme a lo dispuesto en los artículos 2.1.1.1.3.3.3 y 2.1.1.1.3.3.4 de la presente sección. </w:t>
      </w:r>
    </w:p>
    <w:p w14:paraId="38DBB60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FE22D9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Dichos cupos, que se determinarán constituyendo un listado que agrupe los proyectos de vivienda, corresponderán como máximo a un monto equivalente al número de viviendas de interés social prioritaria (VIP) nueva para cuya adquisición el Fondo Nacional de Vivienda, FONVIVIENDA, deberá individualizar los subsidios de vivienda de interés social que destinará exclusivamente a los hogares damnificados por el fenómeno de La Niña 2010-2011 y aquellos ubicados en zonas riesgo conforme a la presente sección. </w:t>
      </w:r>
    </w:p>
    <w:p w14:paraId="02FAC80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9D9734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Con base en los recursos disponibles en el Patrimonio Autónomo Matriz (PAM), cada bimestre calendario el Fondo Nacional de Vivienda, FONVIVIENDA, definirá los cupos para los proyectos de vivienda urbana de interés social nueva viabilizados que le hayan sido presentados durante el bimestre calendario inmediatamente anterior, todo ello en los términos y condiciones que defina el Ministerio de Vivienda, Ciudad y Territorio. </w:t>
      </w:r>
    </w:p>
    <w:p w14:paraId="5628AC2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16270C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Cuando exista un número plural de proyectos que soliciten la definición de cupos en un mismo bimestre calendario, el Fondo Nacional de Vivienda FONVIVIENDA con base en los resultados de la calificación efectuada conforme a lo dispuesto en el artículo 2.1.1.1.3.3.4 de esta sección, configurará un listado de los proyectos en orden secuencial descendente, definirá los cupos correspondientes para cada uno de ellos hasta completar un número de unidades de vivienda equivalente al monto de los recursos disponibles en el Patrimonio Autónomo Matriz (PAM), y remitirá la información correspondiente a dicho Patrimonio Autónomo. </w:t>
      </w:r>
    </w:p>
    <w:p w14:paraId="688E274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085179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El Patrimonio Autónomo Matriz (PAM) sólo estará habilitado para girar los recursos a los proyectos de vivienda urbana de interés social nueva en el orden establecido en el listado elaborado por el Fondo Nacional de Vivienda, FONVIVIENDA. </w:t>
      </w:r>
    </w:p>
    <w:p w14:paraId="7CE61AE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2A2C1B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La definición de cupos para un proyecto de vivienda urbana de interés social nueva no genera por si misma compromiso u obligación presupuestal a cargo del Fondo Nacional de Vivienda, FONVIVIENDA, de desembolsar suma alguna de dinero por concepto de los subsidios de que aquí se trata. </w:t>
      </w:r>
    </w:p>
    <w:p w14:paraId="19F87A01" w14:textId="2DC35382"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43" w:name="ver_30069210"/>
      <w:bookmarkEnd w:id="243"/>
    </w:p>
    <w:p w14:paraId="6C6D455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2.1.1.1.3.3.6. Atención de proyectos de vivienda conforme a la calificación. Los proyectos de vivienda urbana de interés social nueva viabilizados y calificados que no hubieren sido beneficiarios de los cupos de que trata el artículo anterior por insuficiencia de recursos en el </w:t>
      </w:r>
      <w:r w:rsidRPr="009342F9">
        <w:rPr>
          <w:rFonts w:ascii="Arial" w:eastAsia="Times New Roman" w:hAnsi="Arial" w:cs="Arial"/>
          <w:color w:val="000000"/>
          <w:lang w:eastAsia="es-CO"/>
        </w:rPr>
        <w:lastRenderedPageBreak/>
        <w:t>Patrimonio Autónomo Matriz (PAM) tendrán preferencia en la definición de cupos inmediatamente siguiente que realice el Fondo Nacional de Vivienda, FONVIVIENDA, para lo cual deberá atenderse el orden de tales proyectos conforme a la calificación que les hubiere sido inicialmente otorgada. </w:t>
      </w:r>
    </w:p>
    <w:p w14:paraId="108A1E08" w14:textId="69066411" w:rsidR="005A1FCF"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44" w:name="ver_30069211"/>
      <w:bookmarkEnd w:id="244"/>
    </w:p>
    <w:p w14:paraId="5624537B" w14:textId="498864A6" w:rsidR="00FC79C1" w:rsidRPr="009342F9" w:rsidRDefault="00FC79C1" w:rsidP="005A1FCF">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SUBSECCIÓN 4</w:t>
      </w:r>
    </w:p>
    <w:p w14:paraId="4AA3779D" w14:textId="4C07CEE1" w:rsidR="00FC79C1" w:rsidRPr="009342F9" w:rsidRDefault="00FC79C1" w:rsidP="005A1FCF">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PATRIMONIOS AUTÓNOMOS DERIVADOS (PAD) Y GERENCIAS INTEGRALES</w:t>
      </w:r>
    </w:p>
    <w:p w14:paraId="7C30AB62"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245" w:name="ver_30069212"/>
      <w:bookmarkEnd w:id="245"/>
    </w:p>
    <w:p w14:paraId="722BB74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2.1.1.1.3.4.1. Patrimonios Autónomos Derivados (PAD). Los proyectos de vivienda urbana de interés social nueva que vayan a desarrollarse conforme a lo dispuesto en la presente sección deberán ejecutarse integralmente a través de contratos de Fiducia Mercantil que originen Patrimonios Autónomos Derivados (PAD) en los cuales se incorporarán todos los bienes necesarios para la ejecución del proyecto, en especial, los recursos que gire el Patrimonio Autónomo Matriz (PAM). </w:t>
      </w:r>
    </w:p>
    <w:p w14:paraId="49121FB7" w14:textId="361D827C"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46" w:name="ver_30069213"/>
      <w:bookmarkEnd w:id="246"/>
    </w:p>
    <w:p w14:paraId="5757971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2.1.1.1.3.4.2. Gerencias integrales. Los Patrimonios Autónomos Derivados (PAD) deberán contar con una Gerencia Integral desarrollada por una persona natural o jurídica de derecho público o privado, consorcio o unión temporal, que deberá ser contratada por dichos Patrimonios Autónomos y que será responsable, entre otros aspectos, de la dirección, administración, operación, supervisión y control de la construcción, promoción, comercialización y/o socialización de los proyectos de vivienda urbana de interés social nueva enfocados a la atención de la población damnificada en sus viviendas por el Fenómeno de La Niña 2010-2011 y aquella ubicada en zonas de riesgo en los términos de la presente sección. </w:t>
      </w:r>
    </w:p>
    <w:p w14:paraId="564CC8A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ABB042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 Gerencia Integral podrá ejecutar directamente o a través de terceros las labores de construcción de los proyectos de vivienda urbana de interés social nueva, así como la promoción, comercialización y organización de la demanda en el componente social. </w:t>
      </w:r>
    </w:p>
    <w:p w14:paraId="539A9F8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DE6348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La ejecución de las actividades aquí descritas a través de terceros no exime a la Gerencia Integral de las responsabilidades en la dirección, administración, operación, supervisión, comercialización, socialización y control del proyecto. </w:t>
      </w:r>
    </w:p>
    <w:p w14:paraId="5795A9BE" w14:textId="50140417" w:rsidR="005A1FCF"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47" w:name="ver_30069214"/>
      <w:bookmarkEnd w:id="247"/>
    </w:p>
    <w:p w14:paraId="45C8C8BA" w14:textId="1DAED7B3" w:rsidR="00FC79C1" w:rsidRPr="009342F9" w:rsidRDefault="00FC79C1" w:rsidP="005A1FCF">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SUBSECCIÓN 5</w:t>
      </w:r>
    </w:p>
    <w:p w14:paraId="42C94FBA" w14:textId="6298663A" w:rsidR="00FC79C1" w:rsidRPr="009342F9" w:rsidRDefault="00FC79C1" w:rsidP="005A1FCF">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SEGUROS E INTERVENTORÍAS</w:t>
      </w:r>
    </w:p>
    <w:p w14:paraId="40046956"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248" w:name="ver_30069215"/>
      <w:bookmarkEnd w:id="248"/>
    </w:p>
    <w:p w14:paraId="0449EF1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2.1.1.1.3.5.1. Requisitos adicionales para el giro de recursos-seguros. Conforme a lo dispuesto en los numerales 2.1 y 2.2 del artículo 2.1.1.1.3.2.3de la presente sección, cada Patrimonio Autónomo Derivado (PAD) deberá constituir y entregar al Patrimonio Autónomo Matriz (PAM) el contrato que garantice la labor de interventoría del proyecto, y pólizas de seguro de cumplimiento cuyo beneficiario sea el Patrimonio Autónomo Matriz (PAM) en el caso de lo dispuesto en el numeral 2.1 del artículo 2.1.1.1.3.2.3 de esta sección, o de los hogares respecto de los cuales se giren los recursos al patrimonio en el evento previsto en el numeral 2.2. del citado artículo 2.1.1.1.3.2.3, en ambos casos que amparen la restitución de los dineros girados en caso de incumplimiento por un monto correspondiente al ciento diez por ciento (110%) del valor correspondiente a cada una de las sumas giradas por el Patrimonio Autónomo Matriz (PAM) al Patrimonio Autónomo Derivado (PAD) del caso. </w:t>
      </w:r>
    </w:p>
    <w:p w14:paraId="23673AC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A47895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Parágrafo. En la postulación al subsidio de vivienda familiar los hogares otorgarán un mandato al Fondo Nacional de Vivienda, FONVIVIENDA, en virtud del cual dicho Fondo de Vivienda podrá exigir y recibir los recursos que llegaren a reconocerse por concepto de las pólizas de seguro constituidas a favor de los hogares, y, si fuere conducente, aquellas sumas por concepto de los </w:t>
      </w:r>
      <w:r w:rsidRPr="009342F9">
        <w:rPr>
          <w:rFonts w:ascii="Arial" w:eastAsia="Times New Roman" w:hAnsi="Arial" w:cs="Arial"/>
          <w:color w:val="000000"/>
          <w:lang w:eastAsia="es-CO"/>
        </w:rPr>
        <w:lastRenderedPageBreak/>
        <w:t>subsidios asignados que aún estuvieren a disposición del Patrimonio Autónomo Derivado (PAD) por no haber sido giradas para el desarrollo del proyecto del caso. Recibidos los recursos de que aquí se trata, el hogar deberá informar a FONVIVIENDA el proyecto de vivienda urbana de interés social nueva al cual destinará los recursos recibidos con lo cual se garantizará que el hogar pueda aplicar efectivamente el subsidio asignado inicialmente en la adquisición de una nueva vivienda. </w:t>
      </w:r>
    </w:p>
    <w:p w14:paraId="4C91282B" w14:textId="66117F5F"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49" w:name="ver_30069216"/>
      <w:bookmarkEnd w:id="249"/>
    </w:p>
    <w:p w14:paraId="77BEC72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2.1.1.1.3.5.2. Interventoría. Los Patrimonios Autónomos Derivados (PAD) deberán contratar una interventoría que será ejercida por una persona natural o jurídica responsable de verificar que la construcción y ejecución del proyecto se adelante conforme a la normatividad legal y reglamentaria que regula esta actividad, siguiendo los planos, diseños y especificaciones que sirvieron de fundamento para la obtención de la viabilidad y la expedición de la correspondiente licencia de urbanismo y de construcción. </w:t>
      </w:r>
    </w:p>
    <w:p w14:paraId="6CEBBCB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AB4DC9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Además de las que se estipulen en los contratos correspondientes, serán funciones del interventor las relacionadas con los aspectos técnicos, financieros y administrativos asociados a los proyectos, en especial las contenidas en el acápite de interventoría del Decreto Único del Sector de Transporte o en la norma que lo modifique, sustituya o derogue. </w:t>
      </w:r>
    </w:p>
    <w:p w14:paraId="777FEB7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179272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El Interventor deberá contar con un mínimo de cinco años de experiencia en interventoría o ejecución de obras en materia de vivienda, inscrito en el RUP, que no presente incumplimientos, sanciones o multas declaradas en procesos de carácter judicial o administrativo. </w:t>
      </w:r>
    </w:p>
    <w:p w14:paraId="790D1821" w14:textId="267449AC" w:rsidR="005A1FCF"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50" w:name="ver_30069217"/>
      <w:bookmarkEnd w:id="250"/>
    </w:p>
    <w:p w14:paraId="0EC8652A" w14:textId="239DD550" w:rsidR="00FC79C1" w:rsidRPr="009342F9" w:rsidRDefault="00FC79C1" w:rsidP="005A1FCF">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SUBSECCIÓN 6</w:t>
      </w:r>
    </w:p>
    <w:p w14:paraId="38DDBA90" w14:textId="77777777" w:rsidR="00FC79C1" w:rsidRPr="009342F9" w:rsidRDefault="00FC79C1" w:rsidP="005A1FCF">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SUBSIDIOS</w:t>
      </w:r>
    </w:p>
    <w:p w14:paraId="2D4AEE48" w14:textId="77777777" w:rsidR="00FC79C1" w:rsidRPr="009342F9" w:rsidRDefault="00FC79C1" w:rsidP="005A1FCF">
      <w:pPr>
        <w:spacing w:after="0" w:line="240" w:lineRule="auto"/>
        <w:jc w:val="center"/>
        <w:rPr>
          <w:rFonts w:ascii="Arial" w:eastAsia="Times New Roman" w:hAnsi="Arial" w:cs="Arial"/>
          <w:b/>
          <w:bCs/>
          <w:color w:val="000000"/>
          <w:lang w:eastAsia="es-CO"/>
        </w:rPr>
      </w:pPr>
      <w:bookmarkStart w:id="251" w:name="ver_30069218"/>
      <w:bookmarkEnd w:id="251"/>
    </w:p>
    <w:p w14:paraId="2EA418B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2.1.1.1.3.6.1. Campo de aplicación. La presente subsección se aplica a los procesos de postulación, asignación y aplicación del Subsidio Familiar de Vivienda Urbano que otorga el Fondo Nacional de Vivienda, FONVIVIENDA, para la atención de hogares damnificados en sus viviendas por el Fenómeno de La Niña 2010-2011 y aquellos ubicados en zonas de riesgo en los términos de la presente sección. </w:t>
      </w:r>
    </w:p>
    <w:p w14:paraId="1CCCA223" w14:textId="1104916A"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52" w:name="ver_30069219"/>
      <w:bookmarkEnd w:id="252"/>
    </w:p>
    <w:p w14:paraId="7174D39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2.1.1.1.3.6.2. Beneficiarios. Para efectos de la aplicación de esta sección se consideran beneficiarios de los subsidios familiares de vivienda los hogares conformados por los cónyuges, las uniones maritales de hecho, incluyendo las parejas del mismo sexo, y/o el grupo de personas unidas por vínculos de parentesco hasta tercer grado de consanguinidad, segundo de afinidad y primero civil, que compartan un mismo espacio habitacional, y que cumplan con las siguientes condiciones: </w:t>
      </w:r>
    </w:p>
    <w:p w14:paraId="29E6D8A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812FF9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1. Que prioritariamente se trate de hogares conformados por población no vinculada al sistema formal de trabajo, con ingresos inferiores a cuatro Salarios Mínimos Mensuales Legales Vigentes (4 </w:t>
      </w:r>
      <w:proofErr w:type="spellStart"/>
      <w:r w:rsidRPr="009342F9">
        <w:rPr>
          <w:rFonts w:ascii="Arial" w:eastAsia="Times New Roman" w:hAnsi="Arial" w:cs="Arial"/>
          <w:color w:val="000000"/>
          <w:lang w:eastAsia="es-CO"/>
        </w:rPr>
        <w:t>smlmv</w:t>
      </w:r>
      <w:proofErr w:type="spellEnd"/>
      <w:r w:rsidRPr="009342F9">
        <w:rPr>
          <w:rFonts w:ascii="Arial" w:eastAsia="Times New Roman" w:hAnsi="Arial" w:cs="Arial"/>
          <w:color w:val="000000"/>
          <w:lang w:eastAsia="es-CO"/>
        </w:rPr>
        <w:t xml:space="preserve">). En los municipios y/o departamentos en donde las Cajas de Compensación Familiar no tengan la obligación de constituir Fondos para Vivienda de Interés Social, FOVIS, o cuando el </w:t>
      </w:r>
      <w:proofErr w:type="spellStart"/>
      <w:r w:rsidRPr="009342F9">
        <w:rPr>
          <w:rFonts w:ascii="Arial" w:eastAsia="Times New Roman" w:hAnsi="Arial" w:cs="Arial"/>
          <w:color w:val="000000"/>
          <w:lang w:eastAsia="es-CO"/>
        </w:rPr>
        <w:t>cuociente</w:t>
      </w:r>
      <w:proofErr w:type="spellEnd"/>
      <w:r w:rsidRPr="009342F9">
        <w:rPr>
          <w:rFonts w:ascii="Arial" w:eastAsia="Times New Roman" w:hAnsi="Arial" w:cs="Arial"/>
          <w:color w:val="000000"/>
          <w:lang w:eastAsia="es-CO"/>
        </w:rPr>
        <w:t xml:space="preserve"> de recaudo sea menor o igual al ochenta por ciento (80%), se aceptarán y tramitarán las solicitudes de Subsidio Familiar de Vivienda para los afiliados a tales Cajas de Compensación Familiar con ingresos familiares hasta de dos (2) salarios mínimos mensuales legales, caso en el cual los solicitantes del subsidio deberán acreditar en la respectiva postulación que la condición anteriormente mencionada es predicable de la Caja de Compensación Familiar del caso mediante certificación emitida por la misma. </w:t>
      </w:r>
    </w:p>
    <w:p w14:paraId="2BE4648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3F06D1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Que los hogares se encuentren en cualquiera de las siguientes situaciones: </w:t>
      </w:r>
    </w:p>
    <w:p w14:paraId="69972A4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w:t>
      </w:r>
    </w:p>
    <w:p w14:paraId="673EEFD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2.1. Hogares incluidos en los registros oficiales de damnificados por el Fenómeno de La Niña 2010-2011, propietarios u ocupantes a cualquier título de una vivienda destruida en su totalidad que estaba localizada en zona de alto riesgo no mitigable certificada por la autoridad competente. </w:t>
      </w:r>
    </w:p>
    <w:p w14:paraId="7483EE7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45FF92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2.2. Hogares incluidos en los registros oficiales emitidos por autoridades competentes, no propietarios de viviendas que no están ubicadas en zonas de alto riesgo no mitigable pero que fueron integralmente destruidas por los efectos del Fenómeno de La Niña 2010- 2011. </w:t>
      </w:r>
    </w:p>
    <w:p w14:paraId="70E6811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5F26DF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2.3. Hogares propietarios u ocupantes de una vivienda ubicada en zona de alto riesgo no mitigable certificado por la autoridad competente, y que deben ser reubicados por su condición de potenciales afectados por el Fenómeno de La Niña 2010-2011. </w:t>
      </w:r>
    </w:p>
    <w:p w14:paraId="096D7FEA" w14:textId="77777777" w:rsidR="009342F9" w:rsidRDefault="009342F9" w:rsidP="00FC79C1">
      <w:pPr>
        <w:spacing w:after="0" w:line="240" w:lineRule="auto"/>
        <w:jc w:val="both"/>
        <w:rPr>
          <w:rFonts w:ascii="Arial" w:eastAsia="Times New Roman" w:hAnsi="Arial" w:cs="Arial"/>
          <w:color w:val="000000"/>
          <w:lang w:eastAsia="es-CO"/>
        </w:rPr>
      </w:pPr>
      <w:bookmarkStart w:id="253" w:name="ver_30069220"/>
      <w:bookmarkEnd w:id="253"/>
    </w:p>
    <w:p w14:paraId="5C95AF66" w14:textId="1771F26A"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2.1.1.1.3.6.3. Trámites y documentos para la postulación. Además de acreditar los requisitos que se indican en el artículo anterior, los hogares deberán presentar el formulario de postulación debidamente diligenciado y firmado por todos los miembros mayores del hogar postulante, en el cual deberá indicarse el proyecto de vivienda urbana de interés social nueva en el cual desea aplicar el Subsidio. </w:t>
      </w:r>
    </w:p>
    <w:p w14:paraId="7576B11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574EC2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 postulación de los hogares ante el Fondo Nacional de Vivienda FONVIVIENDA deberá realizarse por conducto de la Gerencia Integral de cada Patrimonio Autónomo Derivado (PAD) o del tercero contratado por dicha Gerencia para cumplir con la gestión social de los hogares que se vinculen al proyecto del caso. </w:t>
      </w:r>
    </w:p>
    <w:p w14:paraId="5193F5D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44A63D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Las postulaciones podrán ser presentadas en forma permanente, serán radicadas ante el Fondo Nacional de Vivienda, FONVIVIENDA, o la entidad o el operador que este determine, y su asignación se producirá en los términos del artículo 2.1.1.1.3.6.5 de la presente sección. </w:t>
      </w:r>
    </w:p>
    <w:p w14:paraId="24E4EDD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D846C6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Con la presentación del formulario de postulación se entenderá que el hogar declara bajo la gravedad de juramento que la información allí contenida corresponde a la verdad, que autoriza la verificación de la información suministrada, y que acepta su exclusión de manera automática del sistema de postulación al subsidio en caso de verificarse falsedad o fraude en la información o la documentación presentada. Igualmente, en la postulación el hogar otorgará un mandato al Fondo Nacional de Vivienda, FONVIVIENDA, para que actuando en su nombre y representación represente sus intereses ante eventuales siniestros del proyecto, frente a la fiduciaria que administre el Patrimonio Autónomo Derivado (PAD) y ante la Compañía Aseguradora, de tal manera que FONVIVIENDA, actuando en nombre y representación de los hogares beneficiarios, adelante las gestiones y actuaciones necesarias para reclamar los valores correspondientes a los subsidios asignados, si ello llegare a ser necesario. </w:t>
      </w:r>
    </w:p>
    <w:p w14:paraId="5C3F807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B300F0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1°. El Gerente Integral del proyecto deberá certificar que los hogares cumplen con los requisitos previstos en la presente sección para acceder al subsidio de vivienda de interés social de que aquí se trata. </w:t>
      </w:r>
    </w:p>
    <w:p w14:paraId="4DBC4E9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C1EC2C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2°. Con el propósito de facilitar y agilizar el proceso de postulación de los hogares el Fondo Nacional de Vivienda, FONVIVIENDA, podrá establecer mecanismos que permitan al Gerente Integral del proyecto de vivienda el cruce de la información de los posibles hogares postulantes con fuentes de información oficiales para verificar antes de la postulación el cumplimiento de los requisitos exigidos para estos. </w:t>
      </w:r>
    </w:p>
    <w:p w14:paraId="6F6EFEE5" w14:textId="625887C6"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54" w:name="ver_30069221"/>
      <w:bookmarkEnd w:id="254"/>
    </w:p>
    <w:p w14:paraId="10357CC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Artículo 2.1.1.1.3.6.4. Verificación de la información. Antes de proceder a la calificación de las postulaciones presentadas el Fondo Nacional de Vivienda, FONVIVIENDA, o la entidad o el operador que este determine verificarán la información suministrada por los postulantes. </w:t>
      </w:r>
    </w:p>
    <w:p w14:paraId="6F015D4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26424F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El Fondo Nacional de Vivienda, FONVIVIENDA, tendrá la facultad de revisar en cualquier momento la consistencia y/o veracidad de la información suministrada por el postulante. Si antes de la asignación se determina que existe imprecisión o falta de veracidad en los datos suministrados en el formulario de solicitud del subsidio y/o en los documentos que lo acompañan, o en las condiciones o requisitos del hogar, se eliminarán las postulaciones presentadas. Así mismo, será condición resolutoria de la asignación si la imprecisión o falsedad comprobada se verifica con posterioridad a la asignación y antes del giro de la totalidad de los recursos del subsidio conforme a lo dispuesto en el numeral 2.3 del artículo 2.1.1.1.3.2.3 de la presente sección. </w:t>
      </w:r>
    </w:p>
    <w:p w14:paraId="76EBE0B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219A2E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Si después del giro de la totalidad de las sumas por concepto del subsidio familiar de vivienda el Fondo Nacional de Vivienda, FONVIVIENDA, comprueba que existió imprecisión en los datos suministrados en el formulario de postulación y/o en los documentos que lo acompañan, en las condiciones o requisitos de la postulación, y/o asignación, o en los documentos de cobro del subsidio, o que la información suministrada para la postulación no corresponde a la verdad, el monto entregado deberá ser restituido por el hogar beneficiario a la entidad otorgante. </w:t>
      </w:r>
      <w:proofErr w:type="gramStart"/>
      <w:r w:rsidRPr="009342F9">
        <w:rPr>
          <w:rFonts w:ascii="Arial" w:eastAsia="Times New Roman" w:hAnsi="Arial" w:cs="Arial"/>
          <w:color w:val="000000"/>
          <w:lang w:eastAsia="es-CO"/>
        </w:rPr>
        <w:t>El valor a restituir</w:t>
      </w:r>
      <w:proofErr w:type="gramEnd"/>
      <w:r w:rsidRPr="009342F9">
        <w:rPr>
          <w:rFonts w:ascii="Arial" w:eastAsia="Times New Roman" w:hAnsi="Arial" w:cs="Arial"/>
          <w:color w:val="000000"/>
          <w:lang w:eastAsia="es-CO"/>
        </w:rPr>
        <w:t xml:space="preserve"> será el monto del subsidio asignado, indexado de acuerdo con la variación porcentual del Índice de Precios al Consumidor, IPC, desde la fecha del giro del subsidio y hasta la fecha de su devolución, incrementada en los intereses corrientes civiles causados en el mismo período. </w:t>
      </w:r>
    </w:p>
    <w:p w14:paraId="3C8B55A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861CA6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Adicional a lo expresado, y sin perjuicio de las demás sanciones a que haya lugar, la imprecisión en la información que se detectare en cualquier etapa del proceso, así como la comprobación de que la información suministrada para la postulación al subsidio familiar de vivienda, no corresponde a la verdad, generará la imposibilidad para solicitar de nuevo el subsidio por parte del postulante durante un término de diez (10) años, de conformidad con lo estipulado en el artículo 30 de la Ley 3ª de 1991. </w:t>
      </w:r>
    </w:p>
    <w:p w14:paraId="3DE2DB45" w14:textId="0C27228C"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55" w:name="ver_30069222"/>
      <w:bookmarkEnd w:id="255"/>
    </w:p>
    <w:p w14:paraId="4302B4B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2.1.1.1.3.6.5. Calificación de postulantes y asignación del subsidio familiar de vivienda. Con fundamento en el listado de los hogares entregado y certificado por el Gerente Integral de cada proyecto de vivienda urbana de interés social nueva, y una vez verificada la información según lo dispuesto en el artículo anterior, el Fondo Nacional de Vivienda FONVIVIENDA individualizará los recursos y asignará los subsidios de vivienda de interés social para un número de hogares y por un monto que no podrá superar el que haya sido definido como cupo total para el proyecto del caso según lo dispuesto en el artículo 2.1.1.1.3.3.5 de la presente sección. </w:t>
      </w:r>
    </w:p>
    <w:p w14:paraId="59DCC33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53A589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Para la asignación el Fondo Nacional de Vivienda FONVIVIENDA conformará un listado de postulantes en orden descendente, de mayor a menor conforme al puntaje obtenido luego de aplicar la fórmula de calificación establecida en el artículo 2.1.1.1.1.4.1.3 del presente decreto en sus variables B2, B3 y B6, y los criterios especiales contenidos en los parágrafos 2° y 3° de la citada norma o de aquella que lo modifique, adicione o sustituya. </w:t>
      </w:r>
    </w:p>
    <w:p w14:paraId="2A66895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AB0276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La asignación de los Subsidios Familiares de Vivienda según a lo establecido en la presente sección será efectuada por el Fondo Nacional de Vivienda, FONVIVIENDA, dentro de los dos (2) meses siguientes al mes calendario en que se recibieron las postulaciones, de acuerdo con los requerimientos de cada Proyecto de vivienda de interés social, a los hogares de los que se </w:t>
      </w:r>
      <w:r w:rsidRPr="009342F9">
        <w:rPr>
          <w:rFonts w:ascii="Arial" w:eastAsia="Times New Roman" w:hAnsi="Arial" w:cs="Arial"/>
          <w:color w:val="000000"/>
          <w:lang w:eastAsia="es-CO"/>
        </w:rPr>
        <w:lastRenderedPageBreak/>
        <w:t>predique la existencia de recursos complementarios propios o de terceros de naturaleza pública o privada, necesarios para adquirir la vivienda. </w:t>
      </w:r>
    </w:p>
    <w:p w14:paraId="12E3540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61AAB2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Parágrafo 1°. Para cada proyecto de vivienda urbana de interés social nueva el Fondo Nacional de Vivienda, FONVIVIENDA, podrá efectuar asignaciones de subsidios periódicamente, en un número inferior al total de cupos definidos conforme a lo dispuesto en el artículo 2.1.1.1.3.3.5 de la presente sección y hasta completar la totalidad de </w:t>
      </w:r>
      <w:proofErr w:type="gramStart"/>
      <w:r w:rsidRPr="009342F9">
        <w:rPr>
          <w:rFonts w:ascii="Arial" w:eastAsia="Times New Roman" w:hAnsi="Arial" w:cs="Arial"/>
          <w:color w:val="000000"/>
          <w:lang w:eastAsia="es-CO"/>
        </w:rPr>
        <w:t>los mismos</w:t>
      </w:r>
      <w:proofErr w:type="gramEnd"/>
      <w:r w:rsidRPr="009342F9">
        <w:rPr>
          <w:rFonts w:ascii="Arial" w:eastAsia="Times New Roman" w:hAnsi="Arial" w:cs="Arial"/>
          <w:color w:val="000000"/>
          <w:lang w:eastAsia="es-CO"/>
        </w:rPr>
        <w:t xml:space="preserve">. No </w:t>
      </w:r>
      <w:proofErr w:type="gramStart"/>
      <w:r w:rsidRPr="009342F9">
        <w:rPr>
          <w:rFonts w:ascii="Arial" w:eastAsia="Times New Roman" w:hAnsi="Arial" w:cs="Arial"/>
          <w:color w:val="000000"/>
          <w:lang w:eastAsia="es-CO"/>
        </w:rPr>
        <w:t>obstante</w:t>
      </w:r>
      <w:proofErr w:type="gramEnd"/>
      <w:r w:rsidRPr="009342F9">
        <w:rPr>
          <w:rFonts w:ascii="Arial" w:eastAsia="Times New Roman" w:hAnsi="Arial" w:cs="Arial"/>
          <w:color w:val="000000"/>
          <w:lang w:eastAsia="es-CO"/>
        </w:rPr>
        <w:t xml:space="preserve"> lo anterior, el giro de los recursos de que trata el numeral 2.2 del artículo 2.1.1.1.3.2.3 de la presente sección por concepto de los subsidios así asignados sólo se efectuará cuando se haya asignado el número de subsidios equivalente al total de los cupos definidos para el proyecto. </w:t>
      </w:r>
    </w:p>
    <w:p w14:paraId="38254D5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A13D4D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Para efectos de la calificación no se exigirá, ni aplicará el criterio de puntaje SISBÉN, ni se tendrán en cuenta los ingresos del hogar postulante establecidos en la sección 2.1.1.1.1 del presente decreto como determinante del valor del subsidio familiar de vivienda. </w:t>
      </w:r>
    </w:p>
    <w:p w14:paraId="35D95A0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E60A10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2°. El Fondo Nacional de Vivienda FONVIVIENDA asignará los subsidios de que trata la presente sección dando preferencia a la población en situación de desplazamiento por la violencia afectada por el fenómeno de La Niña 2010-2011, y a los hogares certificados por la autoridad competente cuya única vivienda fue totalmente destruida por los efectos de dicho Fenómeno Natural y en los que ninguno de sus miembros figure como titular inscrito de la propiedad de otro inmueble en cualquier zona del país. </w:t>
      </w:r>
    </w:p>
    <w:p w14:paraId="5EC6116D"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256" w:name="ver_30210164"/>
      <w:bookmarkStart w:id="257" w:name="ver_30069223"/>
      <w:bookmarkEnd w:id="256"/>
    </w:p>
    <w:p w14:paraId="6F9763C7" w14:textId="37349AC1"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2.1.1.1.3.6.6. Valor del subsidio familiar de vivienda urbano. La cuantía del subsidio familiar de vivienda en salarios mínimos mensuales legales vigentes bajo la modalidad de adquisición de vivienda nueva que se asignará a los hogares podrá ser hasta de noventa salarios mínimos legales mensuales vigentes (90 </w:t>
      </w:r>
      <w:proofErr w:type="spellStart"/>
      <w:r w:rsidRPr="009342F9">
        <w:rPr>
          <w:rFonts w:ascii="Arial" w:eastAsia="Times New Roman" w:hAnsi="Arial" w:cs="Arial"/>
          <w:color w:val="000000"/>
          <w:lang w:eastAsia="es-CO"/>
        </w:rPr>
        <w:t>smlmv</w:t>
      </w:r>
      <w:proofErr w:type="spellEnd"/>
      <w:r w:rsidRPr="009342F9">
        <w:rPr>
          <w:rFonts w:ascii="Arial" w:eastAsia="Times New Roman" w:hAnsi="Arial" w:cs="Arial"/>
          <w:color w:val="000000"/>
          <w:lang w:eastAsia="es-CO"/>
        </w:rPr>
        <w:t>).  </w:t>
      </w:r>
    </w:p>
    <w:p w14:paraId="7821B4E1" w14:textId="77777777" w:rsidR="005A1FCF" w:rsidRPr="009342F9" w:rsidRDefault="005A1FCF" w:rsidP="00FC79C1">
      <w:pPr>
        <w:spacing w:after="0" w:line="240" w:lineRule="auto"/>
        <w:jc w:val="both"/>
        <w:rPr>
          <w:rFonts w:ascii="Arial" w:eastAsia="Times New Roman" w:hAnsi="Arial" w:cs="Arial"/>
          <w:color w:val="000000"/>
          <w:lang w:eastAsia="es-CO"/>
        </w:rPr>
      </w:pPr>
    </w:p>
    <w:p w14:paraId="1DDBB9B0" w14:textId="4025029D"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Los hogares que con anterioridad a la entrada en vigencia del Decreto-ley 4832 de 2010 hayan sido beneficiados con el subsidio familiar de vivienda de interés social en cualquiera de sus modalidades, cuyas viviendas resultaron afectadas por el fenómeno de La Niña 2010-2011, o se encuentren ubicados en zonas de riesgo en los términos de esta sección, tendrán derecho a acceder al subsidio familiar de vivienda de conformidad con lo dispuesto en el artículo 8° del Decreto-ley 4832 de 2010, conforme a las siguientes reglas:  </w:t>
      </w:r>
    </w:p>
    <w:p w14:paraId="66E22A02" w14:textId="77777777" w:rsidR="005A1FCF" w:rsidRPr="009342F9" w:rsidRDefault="005A1FCF" w:rsidP="00FC79C1">
      <w:pPr>
        <w:spacing w:after="0" w:line="240" w:lineRule="auto"/>
        <w:jc w:val="both"/>
        <w:rPr>
          <w:rFonts w:ascii="Arial" w:eastAsia="Times New Roman" w:hAnsi="Arial" w:cs="Arial"/>
          <w:color w:val="000000"/>
          <w:lang w:eastAsia="es-CO"/>
        </w:rPr>
      </w:pPr>
    </w:p>
    <w:p w14:paraId="116F5A1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1. En caso de que el Subsidio Familiar de Vivienda otorgado haya sido asignado y legalizado ante el Fondo Nacional de Vivienda antes de la </w:t>
      </w:r>
      <w:proofErr w:type="gramStart"/>
      <w:r w:rsidRPr="009342F9">
        <w:rPr>
          <w:rFonts w:ascii="Arial" w:eastAsia="Times New Roman" w:hAnsi="Arial" w:cs="Arial"/>
          <w:color w:val="000000"/>
          <w:lang w:eastAsia="es-CO"/>
        </w:rPr>
        <w:t>entrada en vigencia</w:t>
      </w:r>
      <w:proofErr w:type="gramEnd"/>
      <w:r w:rsidRPr="009342F9">
        <w:rPr>
          <w:rFonts w:ascii="Arial" w:eastAsia="Times New Roman" w:hAnsi="Arial" w:cs="Arial"/>
          <w:color w:val="000000"/>
          <w:lang w:eastAsia="es-CO"/>
        </w:rPr>
        <w:t xml:space="preserve"> del Decreto-ley 4580 de 2010, y la vivienda para la que se asignó dicho subsidio haya sido totalmente destruida por los efectos del fenómeno de La Niña 2010-2011, el hogar tendrá derecho a solicitar el nuevo subsidio por el valor total indicado en el presente artículo.  </w:t>
      </w:r>
    </w:p>
    <w:p w14:paraId="33EF4484" w14:textId="77777777" w:rsidR="005A1FCF" w:rsidRPr="009342F9" w:rsidRDefault="005A1FCF" w:rsidP="00FC79C1">
      <w:pPr>
        <w:spacing w:after="0" w:line="240" w:lineRule="auto"/>
        <w:jc w:val="both"/>
        <w:rPr>
          <w:rFonts w:ascii="Arial" w:eastAsia="Times New Roman" w:hAnsi="Arial" w:cs="Arial"/>
          <w:color w:val="000000"/>
          <w:lang w:eastAsia="es-CO"/>
        </w:rPr>
      </w:pPr>
    </w:p>
    <w:p w14:paraId="77E03DA8" w14:textId="434472A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2. Tratándose de Subsidios Familiares de Vivienda asignados con anterioridad a la </w:t>
      </w:r>
      <w:proofErr w:type="gramStart"/>
      <w:r w:rsidRPr="009342F9">
        <w:rPr>
          <w:rFonts w:ascii="Arial" w:eastAsia="Times New Roman" w:hAnsi="Arial" w:cs="Arial"/>
          <w:color w:val="000000"/>
          <w:lang w:eastAsia="es-CO"/>
        </w:rPr>
        <w:t>entrada en vigencia</w:t>
      </w:r>
      <w:proofErr w:type="gramEnd"/>
      <w:r w:rsidRPr="009342F9">
        <w:rPr>
          <w:rFonts w:ascii="Arial" w:eastAsia="Times New Roman" w:hAnsi="Arial" w:cs="Arial"/>
          <w:color w:val="000000"/>
          <w:lang w:eastAsia="es-CO"/>
        </w:rPr>
        <w:t xml:space="preserve"> del Decreto-ley 4580 de 2010 y no legalizados, el hogar beneficiario tendrá derecho a solicitar el ajuste del valor del subsidio asignado hasta alcanzar el monto indicado en el presente artículo para su vinculación a un proyecto de vivienda de los que trata la presente sección.  </w:t>
      </w:r>
    </w:p>
    <w:p w14:paraId="5B57B086" w14:textId="77777777" w:rsidR="005A1FCF" w:rsidRPr="009342F9" w:rsidRDefault="005A1FCF" w:rsidP="00FC79C1">
      <w:pPr>
        <w:spacing w:after="0" w:line="240" w:lineRule="auto"/>
        <w:jc w:val="both"/>
        <w:rPr>
          <w:rFonts w:ascii="Arial" w:eastAsia="Times New Roman" w:hAnsi="Arial" w:cs="Arial"/>
          <w:color w:val="000000"/>
          <w:lang w:eastAsia="es-CO"/>
        </w:rPr>
      </w:pPr>
    </w:p>
    <w:p w14:paraId="70AA484B" w14:textId="3419C2EC"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Parágrafo. Los recursos para la asignación de subsidios familiares de vivienda, </w:t>
      </w:r>
      <w:proofErr w:type="gramStart"/>
      <w:r w:rsidRPr="009342F9">
        <w:rPr>
          <w:rFonts w:ascii="Arial" w:eastAsia="Times New Roman" w:hAnsi="Arial" w:cs="Arial"/>
          <w:color w:val="000000"/>
          <w:lang w:eastAsia="es-CO"/>
        </w:rPr>
        <w:t>de acuerdo a</w:t>
      </w:r>
      <w:proofErr w:type="gramEnd"/>
      <w:r w:rsidRPr="009342F9">
        <w:rPr>
          <w:rFonts w:ascii="Arial" w:eastAsia="Times New Roman" w:hAnsi="Arial" w:cs="Arial"/>
          <w:color w:val="000000"/>
          <w:lang w:eastAsia="es-CO"/>
        </w:rPr>
        <w:t xml:space="preserve"> la categoría del municipio y hasta el rango de salarios mínimos legales mensuales vigentes previsto en este artículo, se atenderán hasta el monto de las apropiaciones autorizadas en el Presupuesto del Fondo Nacional de Vivienda, Fonvivienda.  </w:t>
      </w:r>
    </w:p>
    <w:p w14:paraId="2192A68B" w14:textId="77777777" w:rsidR="005A1FCF" w:rsidRPr="009342F9" w:rsidRDefault="005A1FCF" w:rsidP="00FC79C1">
      <w:pPr>
        <w:spacing w:after="0" w:line="240" w:lineRule="auto"/>
        <w:jc w:val="both"/>
        <w:rPr>
          <w:rFonts w:ascii="Arial" w:eastAsia="Times New Roman" w:hAnsi="Arial" w:cs="Arial"/>
          <w:color w:val="000000"/>
          <w:lang w:eastAsia="es-CO"/>
        </w:rPr>
      </w:pPr>
      <w:bookmarkStart w:id="258" w:name="ver_30069224"/>
      <w:bookmarkEnd w:id="257"/>
      <w:bookmarkEnd w:id="258"/>
    </w:p>
    <w:p w14:paraId="1C9D23B2" w14:textId="01E74D71"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Artículo 2.1.1.1.3.6.7. Vigencia del subsidio familiar de vivienda. La vigencia de los subsidios de vivienda de interés social de que trata esta sección será de seis (6) meses calendario contados desde el primer día del mes siguiente a la fecha de giro por el Patrimonio Autónomo Matriz (PAM) al respectivo Patrimonio Autónomo Derivado (PAD) de los recursos de que trata el numeral 2.2 del artículo 2.1.1.1.3.2.3 de la presente sección. </w:t>
      </w:r>
    </w:p>
    <w:p w14:paraId="536F16D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7CC124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1°. En todo caso, la vigencia de los subsidios familiares de vivienda otorgados con cargo a los recursos del Presupuesto Nacional podrá ser prorrogada mediante resolución expedida por el Ministerio de Vivienda, Ciudad y Territorio. </w:t>
      </w:r>
    </w:p>
    <w:p w14:paraId="6D11C5C8" w14:textId="633E568F"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59" w:name="ver_30069225"/>
      <w:bookmarkEnd w:id="259"/>
    </w:p>
    <w:p w14:paraId="5DDD6A0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2.1.1.1.3.6.8. Aplicación de otros subsidios familiares de vivienda. De conformidad con lo dispuesto en el artículo 8° del Decreto-ley 4832 de 2010, los hogares afectados en sus viviendas por el Fenómeno de La Niña 2010- 2011 o ubicados en zonas de riesgo en los términos de esta sección, anteriormente beneficiados con Subsidios Familiares de Vivienda a través de convocatorias diferentes a las que se realicen en el marco de la presente sección podrán aplicarlos para adquirir una vivienda en los proyectos de vivienda urbana de interés social nueva que se acojan a la normatividad prevista en esta sección . </w:t>
      </w:r>
    </w:p>
    <w:p w14:paraId="1238E5B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BD12AD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Si el subsidio asignado por otras convocatorias estuviere ya vinculado jurídicamente a un proyecto, el beneficiario sólo podrá adquirir una vivienda en un proyecto de vivienda de interés social a los que se refiere esta sección previa desvinculación del primero, mediante la resciliación de los contratos suscritos para su vinculación inicial y con la autorización expresa del oferente </w:t>
      </w:r>
      <w:proofErr w:type="gramStart"/>
      <w:r w:rsidRPr="009342F9">
        <w:rPr>
          <w:rFonts w:ascii="Arial" w:eastAsia="Times New Roman" w:hAnsi="Arial" w:cs="Arial"/>
          <w:color w:val="000000"/>
          <w:lang w:eastAsia="es-CO"/>
        </w:rPr>
        <w:t>del mismo</w:t>
      </w:r>
      <w:proofErr w:type="gramEnd"/>
      <w:r w:rsidRPr="009342F9">
        <w:rPr>
          <w:rFonts w:ascii="Arial" w:eastAsia="Times New Roman" w:hAnsi="Arial" w:cs="Arial"/>
          <w:color w:val="000000"/>
          <w:lang w:eastAsia="es-CO"/>
        </w:rPr>
        <w:t>. Si los recursos ya hubieren sido girados a un encargo fiduciario constituido por el oferente conforme a la normatividad vigente, este y el hogar deberán autorizar el giro de los recursos al Patrimonio Autónomo Derivado (PAD) que se constituya para el desarrollo del proyecto de vivienda urbana de interés social nueva. </w:t>
      </w:r>
    </w:p>
    <w:p w14:paraId="12647A8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3BC73E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Lo anterior no aplicará si el oferente del proyecto no ha iniciado la construcción de las viviendas durante los dos (2) años siguientes a la asignación del Subsidio Familiar de Vivienda. En este caso sólo se requerirá la autorización del hogar beneficiario para destinar el subsidio a la adquisición de una vivienda en un proyecto de vivienda urbana de interés social nueva. </w:t>
      </w:r>
    </w:p>
    <w:p w14:paraId="74154356" w14:textId="50DF4201" w:rsidR="005A1FCF"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60" w:name="ver_30069226"/>
      <w:bookmarkEnd w:id="260"/>
    </w:p>
    <w:p w14:paraId="6DCACC71" w14:textId="6DEB39CC" w:rsidR="00FC79C1" w:rsidRPr="009342F9" w:rsidRDefault="00FC79C1" w:rsidP="005A1FCF">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SUBSECCIÓN 7</w:t>
      </w:r>
    </w:p>
    <w:p w14:paraId="1811F18E" w14:textId="0B96ACC5" w:rsidR="00FC79C1" w:rsidRPr="009342F9" w:rsidRDefault="00FC79C1" w:rsidP="005A1FCF">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DISPOSICIONES COMPLEMENTARIAS</w:t>
      </w:r>
    </w:p>
    <w:p w14:paraId="036CA630" w14:textId="77777777" w:rsidR="00FC79C1" w:rsidRPr="009342F9" w:rsidRDefault="00FC79C1" w:rsidP="005A1FCF">
      <w:pPr>
        <w:spacing w:after="0" w:line="240" w:lineRule="auto"/>
        <w:jc w:val="center"/>
        <w:rPr>
          <w:rFonts w:ascii="Arial" w:eastAsia="Times New Roman" w:hAnsi="Arial" w:cs="Arial"/>
          <w:b/>
          <w:bCs/>
          <w:color w:val="000000"/>
          <w:lang w:eastAsia="es-CO"/>
        </w:rPr>
      </w:pPr>
      <w:bookmarkStart w:id="261" w:name="ver_30069227"/>
      <w:bookmarkEnd w:id="261"/>
    </w:p>
    <w:p w14:paraId="7A302B7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2.1.1.1.3.7.1. Cesión a título gratuito. La transferencia de los inmuebles a la que se refiere el artículo 4° del Decreto-ley 4832 de 2010 se realizará a título gratuito a favor del Patrimonio Autónomo Derivado (PAD) que indique el Consejo Directivo del Fondo Nacional de Vivienda FONVIVIENDA, siempre que se trate de bienes fiscales con las características establecidas en el artículo 2.1.1.1.3.7.2 de la presente subsección y se dé cumplimiento con los siguientes trámites y requisitos: </w:t>
      </w:r>
    </w:p>
    <w:p w14:paraId="2501797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49E558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 Suscripción previa de un convenio entre el Fondo Nacional de Vivienda, FONVIVIENDA, la entidad que transferirá el inmueble, el Patrimonio Autónomo Matriz y el Patrimonio Autónomo Derivado (PAD) debidamente representado por la sociedad Fiduciaria que actúa como su vocero, en el cual se establezca como condición resolutoria del título traslaticio del dominio la obligación de ejecutar en el inmueble del caso, en un plazo no mayor de un año, un proyecto de vivienda urbana de interés social nueva que en cumplimiento de los requisitos y condiciones establecidas en la presente sección, prevea la atención de población afectada por el Fenómeno de La Niña 2010-2011 y/o la reubicación de hogares localizados en zonas de riesgo en los términos de la presente sección. </w:t>
      </w:r>
    </w:p>
    <w:p w14:paraId="0942E5F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w:t>
      </w:r>
    </w:p>
    <w:p w14:paraId="667D261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b) La entidad propietaria del inmueble deberá transferirlo a paz y salvo por concepto de impuestos, tasas, contribuciones, valorizaciones nacionales, departamentales o municipales causados con anterioridad a la transferencia del bien, y libre de gravámenes, limitaciones al dominio, querellas o litigios pendientes, contratos, ocupaciones de terceros y en general de cualquier situación que impida o limite el ejercicio pleno y exclusivo del derecho de dominio sobre el inmueble que será objeto de transferencia, situaciones todas estas que deberá verificar el Patrimonio Autónomo Derivado (PAD) y que deberá acreditar ante el Fondo Nacional de Vivienda y el Patrimonio Autónomo Matriz (PAM). </w:t>
      </w:r>
    </w:p>
    <w:p w14:paraId="6A2B601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D12A92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c) Contar con los estudios que determinen la viabilidad jurídica, financiera y técnica para desarrollar un proyecto de vivienda urbana de interés social nueva en el lote objeto de la transferencia conforme a los lineamientos y directrices que sobre el particular imparta el Ministerio de Vivienda, Ciudad y Territorio, y con los avalúos sobre el valor </w:t>
      </w:r>
      <w:proofErr w:type="gramStart"/>
      <w:r w:rsidRPr="009342F9">
        <w:rPr>
          <w:rFonts w:ascii="Arial" w:eastAsia="Times New Roman" w:hAnsi="Arial" w:cs="Arial"/>
          <w:color w:val="000000"/>
          <w:lang w:eastAsia="es-CO"/>
        </w:rPr>
        <w:t>del mismo</w:t>
      </w:r>
      <w:proofErr w:type="gramEnd"/>
      <w:r w:rsidRPr="009342F9">
        <w:rPr>
          <w:rFonts w:ascii="Arial" w:eastAsia="Times New Roman" w:hAnsi="Arial" w:cs="Arial"/>
          <w:color w:val="000000"/>
          <w:lang w:eastAsia="es-CO"/>
        </w:rPr>
        <w:t xml:space="preserve"> efectuados por el Instituto Geográfico Agustín Codazzi, IGAC, o por un </w:t>
      </w:r>
      <w:proofErr w:type="spellStart"/>
      <w:r w:rsidRPr="009342F9">
        <w:rPr>
          <w:rFonts w:ascii="Arial" w:eastAsia="Times New Roman" w:hAnsi="Arial" w:cs="Arial"/>
          <w:color w:val="000000"/>
          <w:lang w:eastAsia="es-CO"/>
        </w:rPr>
        <w:t>avaluador</w:t>
      </w:r>
      <w:proofErr w:type="spellEnd"/>
      <w:r w:rsidRPr="009342F9">
        <w:rPr>
          <w:rFonts w:ascii="Arial" w:eastAsia="Times New Roman" w:hAnsi="Arial" w:cs="Arial"/>
          <w:color w:val="000000"/>
          <w:lang w:eastAsia="es-CO"/>
        </w:rPr>
        <w:t xml:space="preserve"> miembro de una lonja de propiedad raíz. </w:t>
      </w:r>
    </w:p>
    <w:p w14:paraId="6FF0F41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9D21BC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d) FONVIVIENDA consultará a las entidades territoriales en donde se encuentren ubicados los bienes inmuebles fiscales sobre su interés de intervenir en la construcción de proyectos de vivienda urbana de interés social nueva con el lleno de los requisitos establecidos en la presente sección. Dichas entidades, dentro del plazo máximo de un mes calendario deberán dar respuesta en la que indiquen como mínimo los aportes que comprometerán, su disposición para administrar y vigilar el inmueble, y su capacidad para organizar la demanda de postulantes al subsidio que cumplan con los requisitos exigidos en la presente sección. </w:t>
      </w:r>
    </w:p>
    <w:p w14:paraId="5C7FBAD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B30A4E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Los demás requisitos que establezca el Ministerio de Vivienda, Ciudad y Territorio. </w:t>
      </w:r>
    </w:p>
    <w:p w14:paraId="0431F12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AFC4AF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Si las entidades territoriales concurren al saneamiento fiscal de los inmuebles para efectuar la transferencia, el valor de los tributos se puede considerar como aporte local al proyecto si así lo dispone la administración de la entidad territorial que efectúe el saneamiento del caso. </w:t>
      </w:r>
    </w:p>
    <w:p w14:paraId="7CD4498D"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262" w:name="ver_30069228"/>
      <w:bookmarkEnd w:id="262"/>
    </w:p>
    <w:p w14:paraId="7716A23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2.1.1.1.3.7.2. Bienes inmuebles fiscales con vocación para el desarrollo o construcción de proyectos de vivienda de interés social. Se entienden como bienes inmuebles fiscales con vocación para la destinación o construcción de proyectos de vivienda de interés social urbana, los predios o porción de ellos, ubicados en suelo urbano o de expansión urbana, con disponibilidad de servicios públicos, que puedan destinarse al desarrollo de programas de vivienda de interés social, de conformidad con las normas sobre usos del suelo adoptadas en el respectivo Plan de Ordenamiento Territorial o en los instrumentos que lo desarrollen y complementen, así como aquellos que tengan una clasificación de uso diferente al residencial y que por sus características sean propicios para el desarrollo de proyectos de vivienda. </w:t>
      </w:r>
    </w:p>
    <w:p w14:paraId="3A5A7C9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C6A678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Cuando los bienes inmuebles fiscales de que trata el presente artículo hayan sido clasificados con un uso diferente al residencial, las autoridades locales correspondientes determinarán las condiciones urbanísticas para el desarrollo de los programas de vivienda de interés social de que trata el presente decreto. </w:t>
      </w:r>
    </w:p>
    <w:p w14:paraId="3E3098BA" w14:textId="5FBE68E0"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63" w:name="ver_30069229"/>
      <w:bookmarkEnd w:id="263"/>
    </w:p>
    <w:p w14:paraId="695FEA8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2.1.1.1.3.7.3. Remisión normativa. En lo no previsto en la presente sección se aplicarán las disposiciones contenidas en la sección 2.1.1.1.1 y/o en aquella que la modifique, adicione o sustituya siempre que no pugnen con la naturaleza de las disposiciones aquí contenidas. </w:t>
      </w:r>
    </w:p>
    <w:p w14:paraId="1FB4A6B7" w14:textId="77777777" w:rsidR="00FC79C1"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6CBAA27" w14:textId="77777777" w:rsidR="00E63A77" w:rsidRPr="009342F9" w:rsidRDefault="00E63A77" w:rsidP="00FC79C1">
      <w:pPr>
        <w:spacing w:after="0" w:line="240" w:lineRule="auto"/>
        <w:jc w:val="both"/>
        <w:rPr>
          <w:rFonts w:ascii="Arial" w:eastAsia="Times New Roman" w:hAnsi="Arial" w:cs="Arial"/>
          <w:color w:val="000000"/>
          <w:lang w:eastAsia="es-CO"/>
        </w:rPr>
      </w:pPr>
    </w:p>
    <w:p w14:paraId="0FC52800" w14:textId="6EC540BC" w:rsidR="00FC79C1" w:rsidRPr="009342F9" w:rsidRDefault="00FC79C1" w:rsidP="005A1FCF">
      <w:pPr>
        <w:spacing w:after="0" w:line="240" w:lineRule="auto"/>
        <w:jc w:val="center"/>
        <w:rPr>
          <w:rFonts w:ascii="Arial" w:eastAsia="Times New Roman" w:hAnsi="Arial" w:cs="Arial"/>
          <w:b/>
          <w:bCs/>
          <w:color w:val="000000"/>
          <w:lang w:eastAsia="es-CO"/>
        </w:rPr>
      </w:pPr>
      <w:bookmarkStart w:id="264" w:name="ver_30069230"/>
      <w:bookmarkEnd w:id="264"/>
      <w:r w:rsidRPr="009342F9">
        <w:rPr>
          <w:rFonts w:ascii="Arial" w:eastAsia="Times New Roman" w:hAnsi="Arial" w:cs="Arial"/>
          <w:b/>
          <w:bCs/>
          <w:color w:val="000000"/>
          <w:lang w:eastAsia="es-CO"/>
        </w:rPr>
        <w:lastRenderedPageBreak/>
        <w:t>SECCIÓN 4</w:t>
      </w:r>
    </w:p>
    <w:p w14:paraId="199C3E7A" w14:textId="77777777" w:rsidR="00FC79C1" w:rsidRPr="009342F9" w:rsidRDefault="00FC79C1" w:rsidP="005A1FCF">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SUBSIDIO FAMILIAR DE VIVIENDA MADRES COMUNITARIAS</w:t>
      </w:r>
    </w:p>
    <w:p w14:paraId="1A1583D2" w14:textId="77777777" w:rsidR="00FC79C1" w:rsidRPr="009342F9" w:rsidRDefault="00FC79C1" w:rsidP="005A1FCF">
      <w:pPr>
        <w:spacing w:after="0" w:line="240" w:lineRule="auto"/>
        <w:jc w:val="center"/>
        <w:rPr>
          <w:rFonts w:ascii="Arial" w:eastAsia="Times New Roman" w:hAnsi="Arial" w:cs="Arial"/>
          <w:b/>
          <w:bCs/>
          <w:color w:val="000000"/>
          <w:lang w:eastAsia="es-CO"/>
        </w:rPr>
      </w:pPr>
      <w:bookmarkStart w:id="265" w:name="ver_30069231"/>
      <w:bookmarkEnd w:id="265"/>
    </w:p>
    <w:p w14:paraId="466EDD4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2.1.1.1.4.1. Objeto. La presente sección reglamenta el acceso al subsidio familiar de vivienda de interés social para las madres comunitarias vinculadas a los programas de hogares comunitarios de Bienestar, </w:t>
      </w:r>
      <w:proofErr w:type="spellStart"/>
      <w:r w:rsidRPr="009342F9">
        <w:rPr>
          <w:rFonts w:ascii="Arial" w:eastAsia="Times New Roman" w:hAnsi="Arial" w:cs="Arial"/>
          <w:color w:val="000000"/>
          <w:lang w:eastAsia="es-CO"/>
        </w:rPr>
        <w:t>Famis</w:t>
      </w:r>
      <w:proofErr w:type="spellEnd"/>
      <w:r w:rsidRPr="009342F9">
        <w:rPr>
          <w:rFonts w:ascii="Arial" w:eastAsia="Times New Roman" w:hAnsi="Arial" w:cs="Arial"/>
          <w:color w:val="000000"/>
          <w:lang w:eastAsia="es-CO"/>
        </w:rPr>
        <w:t xml:space="preserve"> y Madres Sustitutas, previamente certificadas por el Instituto Colombiano de Bienestar Familiar y afiliadas a las Cajas de Compensación Familiar. </w:t>
      </w:r>
    </w:p>
    <w:p w14:paraId="05931136"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266" w:name="ver_30069232"/>
      <w:bookmarkEnd w:id="266"/>
    </w:p>
    <w:p w14:paraId="7607FD5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2.1.1.1.4.2. Subsidio familiar de vivienda de interés social urbano a madres comunitarias. Para la presente reglamentación se entenderá por madres comunitarias a los hogares de las madres comunitarias vinculadas a los programas de hogares comunitarios de Bienestar, </w:t>
      </w:r>
      <w:proofErr w:type="spellStart"/>
      <w:r w:rsidRPr="009342F9">
        <w:rPr>
          <w:rFonts w:ascii="Arial" w:eastAsia="Times New Roman" w:hAnsi="Arial" w:cs="Arial"/>
          <w:color w:val="000000"/>
          <w:lang w:eastAsia="es-CO"/>
        </w:rPr>
        <w:t>Famis</w:t>
      </w:r>
      <w:proofErr w:type="spellEnd"/>
      <w:r w:rsidRPr="009342F9">
        <w:rPr>
          <w:rFonts w:ascii="Arial" w:eastAsia="Times New Roman" w:hAnsi="Arial" w:cs="Arial"/>
          <w:color w:val="000000"/>
          <w:lang w:eastAsia="es-CO"/>
        </w:rPr>
        <w:t xml:space="preserve"> y Madres Sustitutas, previamente certificadas por el Instituto Colombiano de Bienestar Familiar. </w:t>
      </w:r>
    </w:p>
    <w:p w14:paraId="50A2661F" w14:textId="55336664"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67" w:name="ver_30069233"/>
      <w:bookmarkEnd w:id="267"/>
    </w:p>
    <w:p w14:paraId="01348EA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2.1.1.1.4.3. Modalidad de subsidio familiar de vivienda. Las madres comunitarias de Bienestar, </w:t>
      </w:r>
      <w:proofErr w:type="spellStart"/>
      <w:r w:rsidRPr="009342F9">
        <w:rPr>
          <w:rFonts w:ascii="Arial" w:eastAsia="Times New Roman" w:hAnsi="Arial" w:cs="Arial"/>
          <w:color w:val="000000"/>
          <w:lang w:eastAsia="es-CO"/>
        </w:rPr>
        <w:t>Famis</w:t>
      </w:r>
      <w:proofErr w:type="spellEnd"/>
      <w:r w:rsidRPr="009342F9">
        <w:rPr>
          <w:rFonts w:ascii="Arial" w:eastAsia="Times New Roman" w:hAnsi="Arial" w:cs="Arial"/>
          <w:color w:val="000000"/>
          <w:lang w:eastAsia="es-CO"/>
        </w:rPr>
        <w:t xml:space="preserve"> y Madres Sustitutas previamente certificadas por el Instituto Colombiano de Bienestar Familiar y afiliadas a las Cajas de Compensación Familiar podrán postularse para aplicar al subsidio familiar de vivienda de interés social en las modalidades de adquisición de vivienda nueva o usada, construcción en sitio propio, mejoramiento de vivienda, y mejoramiento para vivienda saludable. </w:t>
      </w:r>
    </w:p>
    <w:p w14:paraId="3420ECD5" w14:textId="5B2689C0"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68" w:name="ver_30069234"/>
      <w:bookmarkEnd w:id="268"/>
    </w:p>
    <w:p w14:paraId="6E2A6DE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2.1.1.1.4.4. Requisitos de postulación. Además del cumplimiento de los requisitos de postulación de que trata el artículo 2.1.1.1.1.3.3.1.1 del presente decreto, los hogares deberán presentar ante la entidad otorgante, la respectiva certificación expedida por el Instituto Colombiano de Bienestar Familiar en la que se acredite su vinculación a los programas de hogares comunitarios de Bienestar, </w:t>
      </w:r>
      <w:proofErr w:type="spellStart"/>
      <w:r w:rsidRPr="009342F9">
        <w:rPr>
          <w:rFonts w:ascii="Arial" w:eastAsia="Times New Roman" w:hAnsi="Arial" w:cs="Arial"/>
          <w:color w:val="000000"/>
          <w:lang w:eastAsia="es-CO"/>
        </w:rPr>
        <w:t>Famis</w:t>
      </w:r>
      <w:proofErr w:type="spellEnd"/>
      <w:r w:rsidRPr="009342F9">
        <w:rPr>
          <w:rFonts w:ascii="Arial" w:eastAsia="Times New Roman" w:hAnsi="Arial" w:cs="Arial"/>
          <w:color w:val="000000"/>
          <w:lang w:eastAsia="es-CO"/>
        </w:rPr>
        <w:t xml:space="preserve"> y Madres Sustitutas. </w:t>
      </w:r>
    </w:p>
    <w:p w14:paraId="0034AD76" w14:textId="677DC3E6"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69" w:name="ver_30210162"/>
      <w:bookmarkStart w:id="270" w:name="ver_30069235"/>
      <w:bookmarkEnd w:id="269"/>
    </w:p>
    <w:p w14:paraId="7FEF2815" w14:textId="77777777" w:rsidR="00FC79C1" w:rsidRDefault="00FC79C1" w:rsidP="00FC79C1">
      <w:pPr>
        <w:spacing w:after="0" w:line="240" w:lineRule="auto"/>
        <w:jc w:val="both"/>
        <w:rPr>
          <w:rFonts w:ascii="Arial" w:eastAsia="Times New Roman" w:hAnsi="Arial" w:cs="Arial"/>
          <w:color w:val="000000"/>
          <w:lang w:eastAsia="es-CO"/>
        </w:rPr>
      </w:pPr>
      <w:r w:rsidRPr="231E957E">
        <w:rPr>
          <w:rFonts w:ascii="Arial" w:eastAsia="Times New Roman" w:hAnsi="Arial" w:cs="Arial"/>
          <w:color w:val="000000" w:themeColor="text1"/>
          <w:lang w:eastAsia="es-CO"/>
        </w:rPr>
        <w:t>Artículo 2.1.1.1.4.5. Valor y aplicación del subsidio familiar de vivienda. El monto del subsidio familiar de vivienda que se otorgará por una sola vez al beneficiario para vivienda nueva o usada, construcción en sitio propio, mejoramiento de vivienda y mejoramiento de vivienda saludable será hasta por los valores máximos establecidos en la sección 2.1.1.1.1 del presente decreto.  </w:t>
      </w:r>
    </w:p>
    <w:p w14:paraId="67B13DD7" w14:textId="77777777" w:rsidR="007C7D44" w:rsidRPr="009342F9" w:rsidRDefault="007C7D44" w:rsidP="00FC79C1">
      <w:pPr>
        <w:spacing w:after="0" w:line="240" w:lineRule="auto"/>
        <w:jc w:val="both"/>
        <w:rPr>
          <w:rFonts w:ascii="Arial" w:eastAsia="Times New Roman" w:hAnsi="Arial" w:cs="Arial"/>
          <w:color w:val="000000"/>
          <w:lang w:eastAsia="es-CO"/>
        </w:rPr>
      </w:pPr>
    </w:p>
    <w:p w14:paraId="14E1B1E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El subsidio familiar de vivienda de que trata la presente sección será aplicado en suelo urbano, en viviendas de interés social cuyo precio no sea superior a ciento treinta y cinco (135) salarios mínimos legales mensuales vigentes, y excepcionalmente, en viviendas de interés social cuyo precio no sea superior a ciento cincuenta (150) salarios mínimos legales mensuales vigentes que se ubiquen en los municipios y distritos establecidos en el título 9 de la parte 1 del libro 2 del presente decreto </w:t>
      </w:r>
    </w:p>
    <w:p w14:paraId="6E8FAA3A"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271" w:name="ver_30069236"/>
      <w:bookmarkEnd w:id="270"/>
      <w:bookmarkEnd w:id="271"/>
    </w:p>
    <w:p w14:paraId="1882756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2.1.1.1.4.6. Mejoramiento de vivienda y mejoramiento para vivienda saludable. La aplicación del subsidio familiar de vivienda asignado en la modalidad de mejoramiento y mejoramiento para vivienda </w:t>
      </w:r>
      <w:proofErr w:type="gramStart"/>
      <w:r w:rsidRPr="009342F9">
        <w:rPr>
          <w:rFonts w:ascii="Arial" w:eastAsia="Times New Roman" w:hAnsi="Arial" w:cs="Arial"/>
          <w:color w:val="000000"/>
          <w:lang w:eastAsia="es-CO"/>
        </w:rPr>
        <w:t>saludable,</w:t>
      </w:r>
      <w:proofErr w:type="gramEnd"/>
      <w:r w:rsidRPr="009342F9">
        <w:rPr>
          <w:rFonts w:ascii="Arial" w:eastAsia="Times New Roman" w:hAnsi="Arial" w:cs="Arial"/>
          <w:color w:val="000000"/>
          <w:lang w:eastAsia="es-CO"/>
        </w:rPr>
        <w:t xml:space="preserve"> deberá contemplar prioritariamente mejoras locativas internas, que permitan el acondicionamiento de los espacios físicos en donde funcionan los programas de madres comunitarias, así como la superación de alguna carencia. </w:t>
      </w:r>
    </w:p>
    <w:p w14:paraId="5FDD928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24C31A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1°. El mejoramiento estructural será el que atienda carencias en su estructura principal, cimientos, muros o cubiertas, hacinamiento y carencia o vetustez de redes eléctricas, de acueducto y alcantarillado y cuyo desarrollo exige la consecución de permisos o licencias previos ante las autoridades competentes. </w:t>
      </w:r>
    </w:p>
    <w:p w14:paraId="50195B8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7D9736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Parágrafo 2°. El mejoramiento básico será el que atienda carencias tales como habilitación o instalación de batería de baños, lavaderos, cocinas, pisos en tierra o en materiales inadecuados y otras condiciones relacionadas con el saneamiento y mejoramiento de fachadas con el objeto de alcanzar progresivamente soluciones de vivienda dignas sin requerir la obtención de permisos o licencias por parte de las autoridades competentes. </w:t>
      </w:r>
    </w:p>
    <w:p w14:paraId="2804C619" w14:textId="21E4CC5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72" w:name="ver_30069237"/>
      <w:bookmarkEnd w:id="272"/>
    </w:p>
    <w:p w14:paraId="5A306C8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2.1.1.1.4.7. Orientación y divulgación para acceder al subsidio familiar de vivienda para madres comunitarias. Las Cajas de Compensación Familiar realizarán la orientación, divulgación y debida comunicación a los hogares de las madres comunitarias con el fin de identificar la idoneidad de los oferentes que realizarán las obras de mejoramiento, los avalúos a las viviendas usadas y visita a las viviendas para que contribuya a la debida aplicación del subsidio familiar de vivienda. </w:t>
      </w:r>
    </w:p>
    <w:p w14:paraId="3E1DF6D6" w14:textId="2B4338B8"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73" w:name="ver_30069238"/>
      <w:bookmarkEnd w:id="273"/>
    </w:p>
    <w:p w14:paraId="1E93477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2.1.1.1.4.8. Remisión. En lo no dispuesto en esta sección se dará aplicación a la sección 2.1.1.1.1 del presente decreto y las normas que lo desarrollen, modifiquen, adicionen o sustituyan. </w:t>
      </w:r>
    </w:p>
    <w:p w14:paraId="3F764902" w14:textId="6F83CF8A" w:rsidR="005A1FCF"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74" w:name="ver_30069239"/>
      <w:bookmarkEnd w:id="274"/>
    </w:p>
    <w:p w14:paraId="46004DD5" w14:textId="1CFA0A9F" w:rsidR="00FC79C1" w:rsidRPr="009342F9" w:rsidRDefault="00FC79C1" w:rsidP="005A1FCF">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SECCIÓN 5</w:t>
      </w:r>
    </w:p>
    <w:p w14:paraId="14B6C603" w14:textId="77777777" w:rsidR="00FC79C1" w:rsidRPr="009342F9" w:rsidRDefault="00FC79C1" w:rsidP="005A1FCF">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SUBSIDIO FAMILIAR DE VIVIENDA PARA RECICLADORES</w:t>
      </w:r>
    </w:p>
    <w:p w14:paraId="42D72E91"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275" w:name="ver_30069240"/>
      <w:bookmarkEnd w:id="275"/>
    </w:p>
    <w:p w14:paraId="5422437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2.1.1.1.5.1. Beneficiarios. Podrán ser beneficiarios del subsidio familiar de vivienda de interés social urbano de que trata la presente sección, los hogares conformados por dos o más personas que integren el mismo grupo familiar, cuando al menos uno de sus miembros desarrolle actividades de recuperación, tratamiento o aprovechamiento de residuos reciclables, perteneciendo a Cooperativas de Trabajo Asociado u otro tipo de grupos y asociaciones reconocidas por la ley que tengan una existencia mínima de tres años, cuyo objeto único sea la recuperación, el tratamiento y el aprovechamiento de residuos reciclables. </w:t>
      </w:r>
    </w:p>
    <w:p w14:paraId="418347C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465A0C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1°. La Superintendencia de Economía Solidaria enviará al Fondo Nacional de Vivienda, antes del 31 de enero de cada año, o en su defecto, antes de la apertura de la respectiva convocatoria para acceder al subsidio familiar de vivienda de interés social urbano de que trata la presente sección, la base de datos de las Cooperativas de Trabajo Asociado cuyo objeto único sea la recuperación, el tratamiento y aprovechamiento de residuos reciclables y el listado de sus respectivos asociados, la cual servirá para efectuar la verificación de la información de las postulaciones. </w:t>
      </w:r>
    </w:p>
    <w:p w14:paraId="29D65D1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FBF2BC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2°. Para efectos de verificar la información de los postulantes que pertenezcan a grupos o asociaciones diferentes a Cooperativas de Trabajo Asociado, deberá presentarse ante el Fondo Nacional de Vivienda o ante la entidad que éste determine, dentro del plazo definido en la convocatoria de postulación, copia del respectivo certificado de existencia y representación legal expedido por la Cámara de Comercio competente con una anterioridad no mayor de treinta (30) días, en donde conste que su objeto único sea la recuperación, el tratamiento y aprovechamiento de residuos reciclables. </w:t>
      </w:r>
    </w:p>
    <w:p w14:paraId="4BCE0F7F" w14:textId="77777777" w:rsid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76" w:name="ver_30069241"/>
      <w:bookmarkEnd w:id="276"/>
    </w:p>
    <w:p w14:paraId="6F17C22E" w14:textId="7B92DA4F"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2.1.1.1.5.2. Postulación. Los hogares postulantes deberán anexar los documentos señalados en el artículo 2.1.1.1.1.3.3.1.1 del presente decreto o las normas que lo complementen, modifiquen, adicionen o sustituyan y adjuntar certificación del representante legal del grupo, asociación o Cooperativa de Trabajo Asociado, cuyo objeto único sea la recuperación, el tratamiento y aprovechamiento de residuos reciclables, en la que conste que por lo menos un miembro del hogar ostenta la condición de recuperador de residuos reciclables, desempeñándose en las labores de recuperación, tratamiento o aprovechamiento de los mismos y que se encuentra </w:t>
      </w:r>
      <w:r w:rsidRPr="009342F9">
        <w:rPr>
          <w:rFonts w:ascii="Arial" w:eastAsia="Times New Roman" w:hAnsi="Arial" w:cs="Arial"/>
          <w:color w:val="000000"/>
          <w:lang w:eastAsia="es-CO"/>
        </w:rPr>
        <w:lastRenderedPageBreak/>
        <w:t>vinculado a dicho grupo, asociación o Cooperativa de Trabajo Asociado con una anterioridad mínima de tres (3) años. </w:t>
      </w:r>
    </w:p>
    <w:p w14:paraId="7D814C2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454691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Las personas naturales o jurídicas, que suministren información o documentos falsos, incurrirán en las sanciones legales a que haya lugar, conforme a la normativa vigente. </w:t>
      </w:r>
    </w:p>
    <w:p w14:paraId="52F07C99" w14:textId="45B8FE4E"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77" w:name="ver_30069242"/>
      <w:bookmarkEnd w:id="277"/>
    </w:p>
    <w:p w14:paraId="6EE8E0C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2.1.1.1.5.3. Valor del Subsidio Familiar de Vivienda. El monto del subsidio familiar de vivienda que se otorgará a hogares que tengan como miembro del hogar a recuperadores de residuos reciclables, que desarrollen actividades de recuperación, tratamiento y aprovechamiento de los mismos, será hasta el monto máximo establecido en la normativa vigente para cada una de las modalidades del subsidio familiar de vivienda de interés social urbano, de conformidad con lo establecido en la sección 2.1.1.1.1 del presente decreto y las normas que lo modifiquen, adicionen, complementen o sustituyan y estará sujeto a la disponibilidad de recursos. </w:t>
      </w:r>
    </w:p>
    <w:p w14:paraId="770350E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542E93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todo caso, para dar cumplimiento a lo dispuesto en el artículo 86 de la Ley 1151 de 2007, las entidades públicas, incluidas las entidades territoriales, solo podrán invertir recursos en vivienda de interés social prioritario. </w:t>
      </w:r>
    </w:p>
    <w:p w14:paraId="6AF3EF3A" w14:textId="1C2C4CE6"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78" w:name="ver_30069243"/>
      <w:bookmarkEnd w:id="278"/>
    </w:p>
    <w:p w14:paraId="2B2D707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2.1.1.1.5.4. Aplicación del subsidio. El subsidio familiar de vivienda de interés social urbano de que trata esta sección se podrá aplicar a proyectos de vivienda, en las modalidades de adquisición de vivienda nueva o usada, construcción en sitio propio y mejoramiento de vivienda, dentro del respectivo departamento, de conformidad con lo señalado en el formulario de postulación. </w:t>
      </w:r>
    </w:p>
    <w:p w14:paraId="19E3ACA3" w14:textId="570D36FA"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79" w:name="ver_30069244"/>
      <w:bookmarkEnd w:id="279"/>
    </w:p>
    <w:p w14:paraId="4E62A9E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2.1.1.1.5.5. Aplicación de la sección 2.1.1.1.1 del presente decreto. Los hogares que se postulen en la bolsa especial para recuperadores de residuos reciclables deberán cumplir con los requisitos y procedimientos establecidos en la sección 2.1.1.1.1 del presente decreto o las normas que lo modifiquen, complementen, adicionen o sustituyan. </w:t>
      </w:r>
    </w:p>
    <w:p w14:paraId="72E838F4" w14:textId="53739522" w:rsidR="005A1FCF"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80" w:name="ver_30069245"/>
      <w:bookmarkEnd w:id="280"/>
    </w:p>
    <w:p w14:paraId="1EDEB6BF" w14:textId="335F87C4" w:rsidR="00FC79C1" w:rsidRPr="009342F9" w:rsidRDefault="00FC79C1" w:rsidP="009342F9">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SECCIÓN 6</w:t>
      </w:r>
    </w:p>
    <w:p w14:paraId="61158325" w14:textId="77777777" w:rsidR="00FC79C1" w:rsidRDefault="00FC79C1" w:rsidP="005A1FCF">
      <w:pPr>
        <w:spacing w:after="0" w:line="240" w:lineRule="auto"/>
        <w:jc w:val="center"/>
        <w:rPr>
          <w:rFonts w:ascii="Arial" w:eastAsia="Times New Roman" w:hAnsi="Arial" w:cs="Arial"/>
          <w:b/>
          <w:bCs/>
          <w:color w:val="000000"/>
          <w:lang w:eastAsia="es-CO"/>
        </w:rPr>
      </w:pPr>
      <w:r w:rsidRPr="231E957E">
        <w:rPr>
          <w:rFonts w:ascii="Arial" w:eastAsia="Times New Roman" w:hAnsi="Arial" w:cs="Arial"/>
          <w:b/>
          <w:color w:val="000000" w:themeColor="text1"/>
          <w:lang w:eastAsia="es-CO"/>
        </w:rPr>
        <w:t>SUBSIDIO FAMILIAR DE VIVIENDA VINCULADO A MACROPROYECTOS</w:t>
      </w:r>
    </w:p>
    <w:p w14:paraId="73EBD4B4" w14:textId="77777777" w:rsidR="007C7D44" w:rsidRPr="009342F9" w:rsidRDefault="007C7D44" w:rsidP="005A1FCF">
      <w:pPr>
        <w:spacing w:after="0" w:line="240" w:lineRule="auto"/>
        <w:jc w:val="center"/>
        <w:rPr>
          <w:rFonts w:ascii="Arial" w:eastAsia="Times New Roman" w:hAnsi="Arial" w:cs="Arial"/>
          <w:b/>
          <w:bCs/>
          <w:color w:val="000000"/>
          <w:lang w:eastAsia="es-CO"/>
        </w:rPr>
      </w:pPr>
    </w:p>
    <w:p w14:paraId="11550068" w14:textId="77777777" w:rsidR="00FC79C1" w:rsidRPr="009342F9" w:rsidRDefault="00FC79C1" w:rsidP="005A1FCF">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SUBSECCIÓN 1</w:t>
      </w:r>
    </w:p>
    <w:p w14:paraId="04FD40B8" w14:textId="77777777" w:rsidR="00FC79C1" w:rsidRPr="009342F9" w:rsidRDefault="00FC79C1" w:rsidP="005A1FCF">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DISPOSICIONES GENERALES</w:t>
      </w:r>
    </w:p>
    <w:p w14:paraId="02A88965"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281" w:name="ver_30069246"/>
      <w:bookmarkEnd w:id="281"/>
    </w:p>
    <w:p w14:paraId="16ABA42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2.1.1.1.6.1.1. Subsidio Familiar de Vivienda vinculado a Macroproyectos de Interés Social Nacional. El Subsidio Familiar de Vivienda que reglamenta la presente sección se otorga únicamente para la adquisición de vivienda nueva en los Macroproyectos de Interés Social Nacional que sean adoptados por el Ministerio de Vivienda, Ciudad y Territorio. </w:t>
      </w:r>
    </w:p>
    <w:p w14:paraId="0A923A85" w14:textId="263CC0C3"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82" w:name="ver_30069247"/>
      <w:bookmarkEnd w:id="282"/>
    </w:p>
    <w:p w14:paraId="26DBBAD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2.1.1.1.6.1.2. Recursos aportados a los Macroproyectos de Interés Social Nacional. El Fondo Nacional de Vivienda “FONVIVIENDA” y las entidades públicas legalmente habilitadas para tal efecto, podrán destinar recursos para la ejecución de los Macroproyectos de Interés Social Nacional, transfiriéndolos a los patrimonios autónomos que se constituyan para el manejo de estos, mediante la celebración de contratos de fiducia mercantil, la firma de convenios o a través de resolución de asignación. Los recursos así otorgados serán posteriormente individualizados a favor de los hogares que cumplan con las condiciones establecidas en la ley y en la presente sección, a título de Subsidio Familiar de Vivienda, mediante acto administrativo que no generará ejecución presupuestal. </w:t>
      </w:r>
    </w:p>
    <w:p w14:paraId="256177FC" w14:textId="0300C3A5" w:rsidR="00FC79C1" w:rsidRPr="009342F9" w:rsidRDefault="00FC79C1" w:rsidP="009342F9">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FA6F48D" w14:textId="77777777" w:rsidR="005A1FCF" w:rsidRDefault="005A1FCF" w:rsidP="00FC79C1">
      <w:pPr>
        <w:spacing w:after="0" w:line="240" w:lineRule="auto"/>
        <w:jc w:val="both"/>
        <w:rPr>
          <w:rFonts w:ascii="Arial" w:eastAsia="Times New Roman" w:hAnsi="Arial" w:cs="Arial"/>
          <w:color w:val="000000"/>
          <w:lang w:eastAsia="es-CO"/>
        </w:rPr>
      </w:pPr>
      <w:bookmarkStart w:id="283" w:name="ver_30069248"/>
      <w:bookmarkEnd w:id="283"/>
    </w:p>
    <w:p w14:paraId="138DF5C9" w14:textId="77777777" w:rsidR="00E63A77" w:rsidRDefault="00E63A77" w:rsidP="00FC79C1">
      <w:pPr>
        <w:spacing w:after="0" w:line="240" w:lineRule="auto"/>
        <w:jc w:val="both"/>
        <w:rPr>
          <w:rFonts w:ascii="Arial" w:eastAsia="Times New Roman" w:hAnsi="Arial" w:cs="Arial"/>
          <w:color w:val="000000"/>
          <w:lang w:eastAsia="es-CO"/>
        </w:rPr>
      </w:pPr>
    </w:p>
    <w:p w14:paraId="2744C9A0" w14:textId="4515C803" w:rsidR="00FC79C1" w:rsidRPr="009342F9" w:rsidRDefault="00FC79C1" w:rsidP="005A1FCF">
      <w:pPr>
        <w:spacing w:after="0" w:line="240" w:lineRule="auto"/>
        <w:jc w:val="center"/>
        <w:rPr>
          <w:rFonts w:ascii="Arial" w:eastAsia="Times New Roman" w:hAnsi="Arial" w:cs="Arial"/>
          <w:b/>
          <w:bCs/>
          <w:color w:val="000000"/>
          <w:lang w:eastAsia="es-CO"/>
        </w:rPr>
      </w:pPr>
      <w:r w:rsidRPr="231E957E">
        <w:rPr>
          <w:rFonts w:ascii="Arial" w:eastAsia="Times New Roman" w:hAnsi="Arial" w:cs="Arial"/>
          <w:b/>
          <w:color w:val="000000" w:themeColor="text1"/>
          <w:lang w:eastAsia="es-CO"/>
        </w:rPr>
        <w:t>SUBSECCIÓN 2</w:t>
      </w:r>
    </w:p>
    <w:p w14:paraId="14F7D91E" w14:textId="77777777" w:rsidR="00FC79C1" w:rsidRPr="009342F9" w:rsidRDefault="00FC79C1" w:rsidP="005A1FCF">
      <w:pPr>
        <w:spacing w:after="0" w:line="240" w:lineRule="auto"/>
        <w:jc w:val="center"/>
        <w:rPr>
          <w:rFonts w:ascii="Arial" w:eastAsia="Times New Roman" w:hAnsi="Arial" w:cs="Arial"/>
          <w:b/>
          <w:bCs/>
          <w:color w:val="000000"/>
          <w:lang w:eastAsia="es-CO"/>
        </w:rPr>
      </w:pPr>
      <w:r w:rsidRPr="231E957E">
        <w:rPr>
          <w:rFonts w:ascii="Arial" w:eastAsia="Times New Roman" w:hAnsi="Arial" w:cs="Arial"/>
          <w:b/>
          <w:color w:val="000000" w:themeColor="text1"/>
          <w:lang w:eastAsia="es-CO"/>
        </w:rPr>
        <w:t>APLICACIÓN DE SUBSIDIOS FAMILIARES DE VIVIENDA EN MACROPROYECTOS DE INTERÉS SOCIAL NACIONAL</w:t>
      </w:r>
    </w:p>
    <w:p w14:paraId="03510D26" w14:textId="77777777" w:rsidR="00FC79C1" w:rsidRPr="009342F9" w:rsidRDefault="00FC79C1" w:rsidP="005A1FCF">
      <w:pPr>
        <w:spacing w:after="0" w:line="240" w:lineRule="auto"/>
        <w:jc w:val="center"/>
        <w:rPr>
          <w:rFonts w:ascii="Arial" w:eastAsia="Times New Roman" w:hAnsi="Arial" w:cs="Arial"/>
          <w:b/>
          <w:bCs/>
          <w:color w:val="000000"/>
          <w:lang w:eastAsia="es-CO"/>
        </w:rPr>
      </w:pPr>
      <w:bookmarkStart w:id="284" w:name="ver_30069249"/>
      <w:bookmarkEnd w:id="284"/>
    </w:p>
    <w:p w14:paraId="57721596" w14:textId="77777777" w:rsidR="00FC79C1" w:rsidRPr="009342F9" w:rsidRDefault="00FC79C1" w:rsidP="00FC79C1">
      <w:pPr>
        <w:spacing w:after="0" w:line="240" w:lineRule="auto"/>
        <w:jc w:val="both"/>
        <w:rPr>
          <w:rFonts w:ascii="Arial" w:eastAsia="Times New Roman" w:hAnsi="Arial" w:cs="Arial"/>
          <w:color w:val="000000"/>
          <w:lang w:eastAsia="es-CO"/>
        </w:rPr>
      </w:pPr>
      <w:r w:rsidRPr="231E957E">
        <w:rPr>
          <w:rFonts w:ascii="Arial" w:eastAsia="Times New Roman" w:hAnsi="Arial" w:cs="Arial"/>
          <w:color w:val="000000" w:themeColor="text1"/>
          <w:lang w:eastAsia="es-CO"/>
        </w:rPr>
        <w:t>Artículo 2.1.1.1.6.2.1. Aplicación de Subsidios Familiares de Vivienda en Macroproyectos de Interés Social Nacional. Los hogares beneficiarios de Subsidios Familiares de Vivienda, a través de convocatorias diferentes a las que se realicen en el marco de los Macroproyectos, podrán aplicarlos para adquirir una solución habitacional en los Macroproyectos de Interés Social Nacional adoptados por el Ministerio de Ambiente, Vivienda y Desarrollo Territorial, hoy Ministerio de Vivienda, Ciudad y Territorio, siempre que demuestren los recursos complementarios para el cierre financiero. </w:t>
      </w:r>
    </w:p>
    <w:p w14:paraId="4EB310D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699971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Para la aplicación del Subsidio Familiar de Vivienda antes señalado, el hogar beneficiario deberá autorizar el giro de la totalidad </w:t>
      </w:r>
      <w:proofErr w:type="gramStart"/>
      <w:r w:rsidRPr="009342F9">
        <w:rPr>
          <w:rFonts w:ascii="Arial" w:eastAsia="Times New Roman" w:hAnsi="Arial" w:cs="Arial"/>
          <w:color w:val="000000"/>
          <w:lang w:eastAsia="es-CO"/>
        </w:rPr>
        <w:t>del mismo</w:t>
      </w:r>
      <w:proofErr w:type="gramEnd"/>
      <w:r w:rsidRPr="009342F9">
        <w:rPr>
          <w:rFonts w:ascii="Arial" w:eastAsia="Times New Roman" w:hAnsi="Arial" w:cs="Arial"/>
          <w:color w:val="000000"/>
          <w:lang w:eastAsia="es-CO"/>
        </w:rPr>
        <w:t>, por parte de la entidad donde se encuentre depositado, al patrimonio autónomo mediante el cual se desarrolle el respectivo Macroproyecto y suscribir la correspondiente promesa de compraventa con la entidad fiduciaria representante de dicho patrimonio autónomo o el gestor del mismo. Los recursos así girados se destinarán a la ejecución integral del Macroproyecto, a partir de su ingreso al patrimonio autónomo. </w:t>
      </w:r>
    </w:p>
    <w:p w14:paraId="0D4633C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93D651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 legalización de dicho Subsidio Familiar de Vivienda se hará una vez se culmine y transfiera la solución habitacional, mediante la correspondiente escritura pública, la cual deberá ser debidamente registrada y en ella se hará constar que parte del precio de la adquisición es el Subsidio Familiar de Vivienda. En consecuencia, tendrá las restricciones de que trata la Ley 3ª de 1991. </w:t>
      </w:r>
    </w:p>
    <w:p w14:paraId="235CBAC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775B1A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Si el Subsidio Familiar de Vivienda asignado se encuentra vinculado a un proyecto de vivienda, el beneficiario sólo podrá adquirir una solución habitacional en un Macroproyecto, previa desvinculación del proyecto, mediante la resciliación del contrato de promesa de compraventa, o con autorización expresa del oferente del proyecto. </w:t>
      </w:r>
    </w:p>
    <w:p w14:paraId="392CC28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52EDE9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todo caso, si los recursos ya fueron girados al encargo fiduciario constituido por el oferente, este y el hogar deberán autorizar el giro de los recursos al patrimonio autónomo constituido para el desarrollo del Macroproyecto. </w:t>
      </w:r>
    </w:p>
    <w:p w14:paraId="721D961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4134D9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Lo anterior no aplicará si el oferente del proyecto no ha iniciado la construcción de las viviendas durante los dos (2) años siguientes a la asignación del Subsidio Familiar de Vivienda. En este caso sólo se requerirá la autorización del hogar beneficiario para destinar el subsidio a la adquisición de una vivienda nueva en un Macroproyecto de Interés Social Nacional. </w:t>
      </w:r>
    </w:p>
    <w:p w14:paraId="239468E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F89580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Adicionalmente, en el evento de cobro contra escritura, la entidad financiera depositaria de los recursos del subsidio, previa autorización del </w:t>
      </w:r>
      <w:proofErr w:type="gramStart"/>
      <w:r w:rsidRPr="009342F9">
        <w:rPr>
          <w:rFonts w:ascii="Arial" w:eastAsia="Times New Roman" w:hAnsi="Arial" w:cs="Arial"/>
          <w:color w:val="000000"/>
          <w:lang w:eastAsia="es-CO"/>
        </w:rPr>
        <w:t>hogar,</w:t>
      </w:r>
      <w:proofErr w:type="gramEnd"/>
      <w:r w:rsidRPr="009342F9">
        <w:rPr>
          <w:rFonts w:ascii="Arial" w:eastAsia="Times New Roman" w:hAnsi="Arial" w:cs="Arial"/>
          <w:color w:val="000000"/>
          <w:lang w:eastAsia="es-CO"/>
        </w:rPr>
        <w:t xml:space="preserve"> los girará directamente al patrimonio autónomo constituido para el desarrollo del Macroproyecto. </w:t>
      </w:r>
    </w:p>
    <w:p w14:paraId="2F268C16" w14:textId="27F8A9B5"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85" w:name="ver_30069250"/>
      <w:bookmarkEnd w:id="285"/>
    </w:p>
    <w:p w14:paraId="74D8FDA2" w14:textId="77777777" w:rsidR="00FC79C1"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2.1.1.1.6.2.2. Elegibilidad del Macroproyecto de Interés Social Nacional. Para todos los efectos, la Licencia de Construcción del Macroproyecto, o de sus etapas, hará las veces de elegibilidad </w:t>
      </w:r>
      <w:proofErr w:type="gramStart"/>
      <w:r w:rsidRPr="009342F9">
        <w:rPr>
          <w:rFonts w:ascii="Arial" w:eastAsia="Times New Roman" w:hAnsi="Arial" w:cs="Arial"/>
          <w:color w:val="000000"/>
          <w:lang w:eastAsia="es-CO"/>
        </w:rPr>
        <w:t>del mismo</w:t>
      </w:r>
      <w:proofErr w:type="gramEnd"/>
      <w:r w:rsidRPr="009342F9">
        <w:rPr>
          <w:rFonts w:ascii="Arial" w:eastAsia="Times New Roman" w:hAnsi="Arial" w:cs="Arial"/>
          <w:color w:val="000000"/>
          <w:lang w:eastAsia="es-CO"/>
        </w:rPr>
        <w:t>. </w:t>
      </w:r>
    </w:p>
    <w:p w14:paraId="5A0D5A30" w14:textId="77777777" w:rsidR="00E63A77" w:rsidRDefault="00E63A77" w:rsidP="00FC79C1">
      <w:pPr>
        <w:spacing w:after="0" w:line="240" w:lineRule="auto"/>
        <w:jc w:val="both"/>
        <w:rPr>
          <w:rFonts w:ascii="Arial" w:eastAsia="Times New Roman" w:hAnsi="Arial" w:cs="Arial"/>
          <w:color w:val="000000"/>
          <w:lang w:eastAsia="es-CO"/>
        </w:rPr>
      </w:pPr>
    </w:p>
    <w:p w14:paraId="25336D53" w14:textId="77777777" w:rsidR="00E63A77" w:rsidRDefault="00E63A77" w:rsidP="00FC79C1">
      <w:pPr>
        <w:spacing w:after="0" w:line="240" w:lineRule="auto"/>
        <w:jc w:val="both"/>
        <w:rPr>
          <w:rFonts w:ascii="Arial" w:eastAsia="Times New Roman" w:hAnsi="Arial" w:cs="Arial"/>
          <w:color w:val="000000"/>
          <w:lang w:eastAsia="es-CO"/>
        </w:rPr>
      </w:pPr>
    </w:p>
    <w:p w14:paraId="2F49730A" w14:textId="77777777" w:rsidR="00E63A77" w:rsidRDefault="00E63A77" w:rsidP="00FC79C1">
      <w:pPr>
        <w:spacing w:after="0" w:line="240" w:lineRule="auto"/>
        <w:jc w:val="both"/>
        <w:rPr>
          <w:rFonts w:ascii="Arial" w:eastAsia="Times New Roman" w:hAnsi="Arial" w:cs="Arial"/>
          <w:color w:val="000000"/>
          <w:lang w:eastAsia="es-CO"/>
        </w:rPr>
      </w:pPr>
    </w:p>
    <w:p w14:paraId="36ADA42F" w14:textId="77777777" w:rsidR="00E63A77" w:rsidRPr="009342F9" w:rsidRDefault="00E63A77" w:rsidP="00FC79C1">
      <w:pPr>
        <w:spacing w:after="0" w:line="240" w:lineRule="auto"/>
        <w:jc w:val="both"/>
        <w:rPr>
          <w:rFonts w:ascii="Arial" w:eastAsia="Times New Roman" w:hAnsi="Arial" w:cs="Arial"/>
          <w:color w:val="000000"/>
          <w:lang w:eastAsia="es-CO"/>
        </w:rPr>
      </w:pPr>
    </w:p>
    <w:p w14:paraId="6DBBE125" w14:textId="7300C0C7" w:rsidR="00FC79C1" w:rsidRPr="009342F9" w:rsidRDefault="00FC79C1" w:rsidP="007C7D44">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lastRenderedPageBreak/>
        <w:t>SUBSECCIÓN 3</w:t>
      </w:r>
    </w:p>
    <w:p w14:paraId="5BB937B5" w14:textId="77777777" w:rsidR="00FC79C1" w:rsidRPr="009342F9" w:rsidRDefault="00FC79C1" w:rsidP="005A1FCF">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ASIGNACIÓN DE SUBSIDIOS FAMILIARES DE VIVIENDA EN LOS MACROPROYECTOS DE INTERÉS SOCIAL NACIONAL</w:t>
      </w:r>
    </w:p>
    <w:p w14:paraId="6B9B10EA"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286" w:name="ver_30069252"/>
      <w:bookmarkEnd w:id="286"/>
    </w:p>
    <w:p w14:paraId="36E4CC0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2.1.1.1.6.3.1. Postulación. Verificación de la información, calificación y asignación. Las condiciones de postulación, verificación de la información, calificación de las postulaciones y asignación del Subsidio Familiar de Vivienda, serán las contenidas en los artículos 2.1.1.1.1.3.3.1.1, 2.1.1.1.1.3.3.1.2, 2.1.1.1.1.3.3.2.1, 2.1.1.1.13.3.4.1, 2.1.1.1.13.3.4.2, 2.1.1.1.14.1.1, 2.1.1.1.1.4.1.2, 2.1.1.1.1.4.1.3, 2.1.1.1.1.4.2.1 y 2.1.1.1.1.4.2.4 del presente decreto, o la norma que lo modifique, adicione o sustituya. </w:t>
      </w:r>
    </w:p>
    <w:p w14:paraId="02732AE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7412F3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todo caso, los hogares que se postulen para acceder al Subsidio Familiar de Vivienda en el marco de un Macroproyecto de Interés Social Nacional deberán acreditar el cierre financiero para acceder a la solución habitacional respectiva. </w:t>
      </w:r>
    </w:p>
    <w:p w14:paraId="3ABD284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5BEE75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1°. Los períodos de postulación para los Macroproyectos de Interés Social Nacional, se realizarán de acuerdo con las fechas que determine el Representante Legal del Fondo Nacional de Vivienda “FONVIVIENDA”, de acuerdo con el cronograma que señale el gestor del proyecto y la postulación de los hogares, podrá realizarse a través del operador contratado, el Gerente Técnico y/o el Gestor del Macroproyecto, en las mismas condiciones de que trata la sección 2.1.1.1.1 del presente decreto, o la norma que lo modifique, adicione o sustituya, según se determine en el acto administrativo que dé apertura a la convocatoria para postulación. </w:t>
      </w:r>
    </w:p>
    <w:p w14:paraId="07BE9DC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6B7773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2°. Para efectos de la aplicación de la fórmula de calificación de que trata el artículo 2.1.1.1.1.4.1.3 del presente decreto, a los Macroproyectos, todos los postulantes tendrán un valor de puntaje del SISBÉN, igual a diez (10). </w:t>
      </w:r>
    </w:p>
    <w:p w14:paraId="376655D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BF834E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Parágrafo 3°. La asignación de los Subsidios Familiares de Vivienda por parte del Fondo Nacional de </w:t>
      </w:r>
      <w:proofErr w:type="gramStart"/>
      <w:r w:rsidRPr="009342F9">
        <w:rPr>
          <w:rFonts w:ascii="Arial" w:eastAsia="Times New Roman" w:hAnsi="Arial" w:cs="Arial"/>
          <w:color w:val="000000"/>
          <w:lang w:eastAsia="es-CO"/>
        </w:rPr>
        <w:t>Vivienda,</w:t>
      </w:r>
      <w:proofErr w:type="gramEnd"/>
      <w:r w:rsidRPr="009342F9">
        <w:rPr>
          <w:rFonts w:ascii="Arial" w:eastAsia="Times New Roman" w:hAnsi="Arial" w:cs="Arial"/>
          <w:color w:val="000000"/>
          <w:lang w:eastAsia="es-CO"/>
        </w:rPr>
        <w:t xml:space="preserve"> podrá realizarse de manera permanente de acuerdo con los requerimientos de cada Macroproyecto, a los hogares que acrediten el cierre financiero, aun antes del cierre de cada convocatoria. </w:t>
      </w:r>
    </w:p>
    <w:p w14:paraId="13A17C81" w14:textId="762FB405"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87" w:name="ver_30069253"/>
      <w:bookmarkEnd w:id="287"/>
    </w:p>
    <w:p w14:paraId="35322CC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2.1.1.1.6.3.2. Criterios de priorización. Una vez calificadas las postulaciones de los hogares, se dará prioridad a la asignación del Subsidio Familiar de Vivienda en los Macroproyectos, a los hogares postulados de acuerdo con los siguientes criterios, </w:t>
      </w:r>
      <w:proofErr w:type="gramStart"/>
      <w:r w:rsidRPr="009342F9">
        <w:rPr>
          <w:rFonts w:ascii="Arial" w:eastAsia="Times New Roman" w:hAnsi="Arial" w:cs="Arial"/>
          <w:color w:val="000000"/>
          <w:lang w:eastAsia="es-CO"/>
        </w:rPr>
        <w:t>quienes</w:t>
      </w:r>
      <w:proofErr w:type="gramEnd"/>
      <w:r w:rsidRPr="009342F9">
        <w:rPr>
          <w:rFonts w:ascii="Arial" w:eastAsia="Times New Roman" w:hAnsi="Arial" w:cs="Arial"/>
          <w:color w:val="000000"/>
          <w:lang w:eastAsia="es-CO"/>
        </w:rPr>
        <w:t xml:space="preserve"> en todo caso, deberán acreditar el cierre para acceder a la solución habitacional respectiva: </w:t>
      </w:r>
    </w:p>
    <w:p w14:paraId="60EC351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0BE988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Los hogares registrados en el Registro Único de Población Desplazada. </w:t>
      </w:r>
    </w:p>
    <w:p w14:paraId="0AEEBB6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3982D0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Los hogares objeto de reasentamiento, de acuerdo con certificación del alcalde municipal refrendada por el CLOPAD y que se encuentren ubicados en el mismo municipio en que se desarrollará el Macroproyecto de Interés Social Nacional. En todo caso, si el Macroproyecto desde su adopción tiene como criterio la reubicación o reasentamiento de hogares por zona de riesgo, podrá destinarse el 100% de los Subsidios Familiares de Vivienda para este fin. </w:t>
      </w:r>
    </w:p>
    <w:p w14:paraId="5BC8E679" w14:textId="6D392068"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88" w:name="ver_30210165"/>
      <w:bookmarkStart w:id="289" w:name="ver_30069254"/>
      <w:bookmarkEnd w:id="288"/>
    </w:p>
    <w:p w14:paraId="453EA70E" w14:textId="439D35E9" w:rsidR="00FC79C1"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2.1.1.1.6.3.3. Monto del Subsidio Familiar de Vivienda. El monto del Subsidio Familiar de Vivienda de que trata esta sección podrá ser hasta de noventa salarios mínimos legales mensuales vigentes (90 </w:t>
      </w:r>
      <w:proofErr w:type="spellStart"/>
      <w:r w:rsidRPr="009342F9">
        <w:rPr>
          <w:rFonts w:ascii="Arial" w:eastAsia="Times New Roman" w:hAnsi="Arial" w:cs="Arial"/>
          <w:color w:val="000000"/>
          <w:lang w:eastAsia="es-CO"/>
        </w:rPr>
        <w:t>smlmv</w:t>
      </w:r>
      <w:proofErr w:type="spellEnd"/>
      <w:r w:rsidRPr="009342F9">
        <w:rPr>
          <w:rFonts w:ascii="Arial" w:eastAsia="Times New Roman" w:hAnsi="Arial" w:cs="Arial"/>
          <w:color w:val="000000"/>
          <w:lang w:eastAsia="es-CO"/>
        </w:rPr>
        <w:t>). En todo caso, el valor del subsidio dependerá del monto de los recursos aportados por el Fondo Nacional de Vivienda en cada Macroproyecto.  </w:t>
      </w:r>
    </w:p>
    <w:p w14:paraId="0129F681" w14:textId="77777777" w:rsidR="009342F9" w:rsidRPr="009342F9" w:rsidRDefault="009342F9" w:rsidP="00FC79C1">
      <w:pPr>
        <w:spacing w:after="0" w:line="240" w:lineRule="auto"/>
        <w:jc w:val="both"/>
        <w:rPr>
          <w:rFonts w:ascii="Arial" w:eastAsia="Times New Roman" w:hAnsi="Arial" w:cs="Arial"/>
          <w:color w:val="000000"/>
          <w:lang w:eastAsia="es-CO"/>
        </w:rPr>
      </w:pPr>
    </w:p>
    <w:p w14:paraId="0F9BA63F" w14:textId="71DD99EE" w:rsidR="00FC79C1"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Si el hogar solicita un valor inferior al establecido, sustentado en el cierre financiero, no se dará aplicación a lo dispuesto en el inciso último del parágrafo 4° del artículo 2.1.1.1.1.4.1.3.  </w:t>
      </w:r>
    </w:p>
    <w:p w14:paraId="5D673758" w14:textId="77777777" w:rsidR="009342F9" w:rsidRPr="009342F9" w:rsidRDefault="009342F9" w:rsidP="00FC79C1">
      <w:pPr>
        <w:spacing w:after="0" w:line="240" w:lineRule="auto"/>
        <w:jc w:val="both"/>
        <w:rPr>
          <w:rFonts w:ascii="Arial" w:eastAsia="Times New Roman" w:hAnsi="Arial" w:cs="Arial"/>
          <w:color w:val="000000"/>
          <w:lang w:eastAsia="es-CO"/>
        </w:rPr>
      </w:pPr>
    </w:p>
    <w:p w14:paraId="6145706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Parágrafo. Excepcionalmente podrá superarse el valor máximo antes señalado, cuando el grado de vulnerabilidad de los hogares y la especial situación de la entidad territorial, amerite un mayor esfuerzo del Gobierno nacional, situación que se establecerá en el acto de individualización del Subsidio Familiar de Vivienda, previa definición por medio documento </w:t>
      </w:r>
      <w:proofErr w:type="spellStart"/>
      <w:r w:rsidRPr="009342F9">
        <w:rPr>
          <w:rFonts w:ascii="Arial" w:eastAsia="Times New Roman" w:hAnsi="Arial" w:cs="Arial"/>
          <w:color w:val="000000"/>
          <w:lang w:eastAsia="es-CO"/>
        </w:rPr>
        <w:t>Conpes</w:t>
      </w:r>
      <w:proofErr w:type="spellEnd"/>
      <w:r w:rsidRPr="009342F9">
        <w:rPr>
          <w:rFonts w:ascii="Arial" w:eastAsia="Times New Roman" w:hAnsi="Arial" w:cs="Arial"/>
          <w:color w:val="000000"/>
          <w:lang w:eastAsia="es-CO"/>
        </w:rPr>
        <w:t xml:space="preserve"> en el que se indique cuál será la fuente de financiación de los recursos adicionales.  </w:t>
      </w:r>
    </w:p>
    <w:p w14:paraId="3D6E5DE7" w14:textId="66832AAE"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90" w:name="ver_30069255"/>
      <w:bookmarkEnd w:id="289"/>
      <w:bookmarkEnd w:id="290"/>
    </w:p>
    <w:p w14:paraId="4E154D3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2.1.1.1.6.3.4. Vigencia del Subsidio Familiar de Vivienda. La vigencia del Subsidio Familiar de Vivienda que se reglamenta por la presente </w:t>
      </w:r>
      <w:proofErr w:type="gramStart"/>
      <w:r w:rsidRPr="009342F9">
        <w:rPr>
          <w:rFonts w:ascii="Arial" w:eastAsia="Times New Roman" w:hAnsi="Arial" w:cs="Arial"/>
          <w:color w:val="000000"/>
          <w:lang w:eastAsia="es-CO"/>
        </w:rPr>
        <w:t>sección,</w:t>
      </w:r>
      <w:proofErr w:type="gramEnd"/>
      <w:r w:rsidRPr="009342F9">
        <w:rPr>
          <w:rFonts w:ascii="Arial" w:eastAsia="Times New Roman" w:hAnsi="Arial" w:cs="Arial"/>
          <w:color w:val="000000"/>
          <w:lang w:eastAsia="es-CO"/>
        </w:rPr>
        <w:t xml:space="preserve"> es de un (1) año, contado a partir de la expedición del acto administrativo de asignación, el cual puede ser prorrogado por el Fondo Nacional de Vivienda, mediante resolución. </w:t>
      </w:r>
    </w:p>
    <w:p w14:paraId="223F4EA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1BA490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todo caso, vencido el plazo de vigencia del Subsidio Familiar de Vivienda, sin que el hogar beneficiario haya comparecido a suscribir la correspondiente escritura pública, se entenderá que ha desistido de la asignación de dicho subsidio y en este evento se podrá asignar el Subsidio Familiar de Vivienda al hogar que lo suceda en estricto orden de ubicación, mediante resolución motivada expedida por “FONVIVIENDA”, siempre y cuando dicho hogar ratifique su interés en recibir el Subsidio a través del respectivo Macroproyecto. </w:t>
      </w:r>
    </w:p>
    <w:p w14:paraId="7AC882D0" w14:textId="5BF50EB3"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91" w:name="ver_30069256"/>
      <w:bookmarkEnd w:id="291"/>
    </w:p>
    <w:p w14:paraId="794F689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2.1.1.1.6.3.5. Legalización del Subsidio Familiar de Vivienda. La legalización del Subsidio Familiar de Vivienda se realiza mediante escritura pública de compraventa, la cual deberá ser suscrita, como máximo, dentro del año siguiente a la asignación de dicho subsidio y registrada dentro de los dos (2) meses siguientes. </w:t>
      </w:r>
    </w:p>
    <w:p w14:paraId="766D1D0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2FFBF8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esta deberá indicarse el valor de la vivienda, el valor del subsidio o subsidios otorgados, el total de los miembros del hogar beneficiario, la constitución del patrimonio de familia, la condición resolutoria en caso de incurrir en la conducta señalada en el artículo 8° de la Ley 3ª de 1991 y la constitución del gravamen hipotecario, si a ello hubiere lugar. </w:t>
      </w:r>
    </w:p>
    <w:p w14:paraId="386489F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40DD1B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Copia del acta de entrega de la vivienda con el correspondiente recibo a satisfacción, el Certificado de Existencia de la vivienda expedido por el Gerente del Proyecto y el Certificado de Tradición y Libertad en el que conste la inscripción de la escritura pública a la cual se ha hecho referencia, deberán remitirse validadas por la entidad fiduciaria representante del patrimonio autónomo, al Fondo Nacional de Vivienda. </w:t>
      </w:r>
    </w:p>
    <w:p w14:paraId="21329B5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D7F28B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Legalizados el total de los subsidios familiares de vivienda, vinculados a cada Macroproyecto de Interés Social Nacional, se procederá a la desvinculación de “FONVIVIENDA” del contrato Fiduciario, en su condición de beneficiario o fideicomitente, según corresponda. </w:t>
      </w:r>
    </w:p>
    <w:p w14:paraId="5D14C0A7" w14:textId="60E301AF"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92" w:name="ver_30069257"/>
      <w:bookmarkEnd w:id="292"/>
    </w:p>
    <w:p w14:paraId="002FB3B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2.1.1.1.6.3.6. Recursos del FOVIS vinculado a Macroproyectos de Interés Social Nacional. Los hogares que se encuentren vinculados a las Cajas de Compensación </w:t>
      </w:r>
      <w:proofErr w:type="gramStart"/>
      <w:r w:rsidRPr="009342F9">
        <w:rPr>
          <w:rFonts w:ascii="Arial" w:eastAsia="Times New Roman" w:hAnsi="Arial" w:cs="Arial"/>
          <w:color w:val="000000"/>
          <w:lang w:eastAsia="es-CO"/>
        </w:rPr>
        <w:t>Familiar,</w:t>
      </w:r>
      <w:proofErr w:type="gramEnd"/>
      <w:r w:rsidRPr="009342F9">
        <w:rPr>
          <w:rFonts w:ascii="Arial" w:eastAsia="Times New Roman" w:hAnsi="Arial" w:cs="Arial"/>
          <w:color w:val="000000"/>
          <w:lang w:eastAsia="es-CO"/>
        </w:rPr>
        <w:t xml:space="preserve"> podrán acceder al Subsidio Familiar de Vivienda que otorgan estas para la adquisición de vivienda nueva en los Macroproyectos que hayan sido adoptados por el Ministerio de Ambiente, Vivienda y Desarrollo Territorial, hoy Ministerio de Vivienda, Ciudad y Territorio. </w:t>
      </w:r>
    </w:p>
    <w:p w14:paraId="410D4BC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62170F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Los subsidios otorgados por las Cajas de Compensación Familiar a los </w:t>
      </w:r>
      <w:proofErr w:type="gramStart"/>
      <w:r w:rsidRPr="009342F9">
        <w:rPr>
          <w:rFonts w:ascii="Arial" w:eastAsia="Times New Roman" w:hAnsi="Arial" w:cs="Arial"/>
          <w:color w:val="000000"/>
          <w:lang w:eastAsia="es-CO"/>
        </w:rPr>
        <w:t>beneficiarios,</w:t>
      </w:r>
      <w:proofErr w:type="gramEnd"/>
      <w:r w:rsidRPr="009342F9">
        <w:rPr>
          <w:rFonts w:ascii="Arial" w:eastAsia="Times New Roman" w:hAnsi="Arial" w:cs="Arial"/>
          <w:color w:val="000000"/>
          <w:lang w:eastAsia="es-CO"/>
        </w:rPr>
        <w:t xml:space="preserve"> serán girados de manera anticipada al patrimonio autónomo del respectivo Macroproyecto, previa suscripción de la promesa de compraventa entre el hogar beneficiario y la entidad fiduciaria </w:t>
      </w:r>
      <w:r w:rsidRPr="009342F9">
        <w:rPr>
          <w:rFonts w:ascii="Arial" w:eastAsia="Times New Roman" w:hAnsi="Arial" w:cs="Arial"/>
          <w:color w:val="000000"/>
          <w:lang w:eastAsia="es-CO"/>
        </w:rPr>
        <w:lastRenderedPageBreak/>
        <w:t>representante del patrimonio autónomo, de acuerdo con lo dispuesto en la sección 2.1.1.1.1 del presente decreto y la reglamentación que expida el Fondo Nacional de Vivienda. </w:t>
      </w:r>
    </w:p>
    <w:p w14:paraId="3BF7306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509EC7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En el evento de no ejecutarse la solución habitacional vinculada al respectivo Macroproyecto, por causas no atribuibles al hogar beneficiario, el patrimonio autónomo girará a la Caja de Compensación Familiar, el monto del Subsidio Familiar de Vivienda, girado anticipadamente, junto con sus rendimientos generados a la fecha de liquidación para su devolución. </w:t>
      </w:r>
    </w:p>
    <w:p w14:paraId="38C1586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0366076" w14:textId="380B556D" w:rsidR="00FC79C1" w:rsidRPr="009342F9" w:rsidRDefault="00FC79C1" w:rsidP="00FC79C1">
      <w:pPr>
        <w:spacing w:after="0" w:line="240" w:lineRule="auto"/>
        <w:jc w:val="both"/>
        <w:rPr>
          <w:rFonts w:ascii="Arial" w:eastAsia="Times New Roman" w:hAnsi="Arial" w:cs="Arial"/>
          <w:color w:val="000000"/>
          <w:lang w:eastAsia="es-CO"/>
        </w:rPr>
      </w:pPr>
      <w:bookmarkStart w:id="293" w:name="ver_30069258"/>
      <w:bookmarkEnd w:id="293"/>
      <w:r w:rsidRPr="009342F9">
        <w:rPr>
          <w:rFonts w:ascii="Arial" w:eastAsia="Times New Roman" w:hAnsi="Arial" w:cs="Arial"/>
          <w:color w:val="000000"/>
          <w:lang w:eastAsia="es-CO"/>
        </w:rPr>
        <w:t>Artículo 2.1.1.1.6.3.7. Aplicación de Subsidio Familiar de Vivienda para población desplazada y afectada por situación de desastre o calamidad pública. Los beneficiarios de los Subsidios Familiares de Vivienda asignados o que se asignen por el Fondo Nacional de Vivienda a la población en situación de desplazamiento o afectada por situación de desastre o calamidad pública, debidamente acreditada por la autoridad competente, podrán autorizar su desembolso a los patrimonios autónomos constituidos para el desarrollo de Macroproyectos de Interés Social Nacional y en el marco de los mismos, se les asignará la vivienda construida en el Macroproyecto, a título de subsidio, aunque el valor de esta sea superior al valor del subsidio otorgado inicialmente. </w:t>
      </w:r>
    </w:p>
    <w:p w14:paraId="711F7B8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EE5F65D" w14:textId="77777777" w:rsidR="00FC79C1" w:rsidRPr="009342F9" w:rsidRDefault="00FC79C1" w:rsidP="005A1FCF">
      <w:pPr>
        <w:spacing w:after="0" w:line="240" w:lineRule="auto"/>
        <w:jc w:val="center"/>
        <w:rPr>
          <w:rFonts w:ascii="Arial" w:eastAsia="Times New Roman" w:hAnsi="Arial" w:cs="Arial"/>
          <w:b/>
          <w:bCs/>
          <w:color w:val="000000"/>
          <w:lang w:eastAsia="es-CO"/>
        </w:rPr>
      </w:pPr>
      <w:bookmarkStart w:id="294" w:name="ver_30069259"/>
      <w:bookmarkEnd w:id="294"/>
      <w:r w:rsidRPr="009342F9">
        <w:rPr>
          <w:rFonts w:ascii="Arial" w:eastAsia="Times New Roman" w:hAnsi="Arial" w:cs="Arial"/>
          <w:b/>
          <w:bCs/>
          <w:color w:val="000000"/>
          <w:lang w:eastAsia="es-CO"/>
        </w:rPr>
        <w:t>SECCIÓN 7</w:t>
      </w:r>
    </w:p>
    <w:p w14:paraId="772905AE" w14:textId="77777777" w:rsidR="00FC79C1" w:rsidRPr="009342F9" w:rsidRDefault="00FC79C1" w:rsidP="005A1FCF">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SUBSIDIO FAMILIAR DE VIVIENDA CONCEJALES</w:t>
      </w:r>
    </w:p>
    <w:p w14:paraId="7BCBD161"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295" w:name="ver_30069260"/>
      <w:bookmarkEnd w:id="295"/>
    </w:p>
    <w:p w14:paraId="552C691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2.1.1.1.7.1. Campo de aplicación. La presente sección se aplica al proceso de asignación del subsidio familiar de vivienda de interés social urbano, que otorgan el Fondo Nacional de Vivienda y las Cajas de Compensación Familiar, para atender al hogar que tenga como miembro a concejales que pertenezcan a municipios de categorías 4, 5 y 6, según lo dispuesto en la Ley 617 de 2000; priorizando la asignación de los subsidios a los concejales de los municipios de categoría sexta, siempre y cuando exista disponibilidad de recursos. </w:t>
      </w:r>
    </w:p>
    <w:p w14:paraId="23C8F5D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F8B37E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todo caso, para dar cumplimiento a lo dispuesto en el artículo 86 de la Ley 1151 de 2007, las entidades públicas, incluidas las entidades territoriales, sólo podrán invertir recursos en vivienda de interés social prioritario. </w:t>
      </w:r>
    </w:p>
    <w:p w14:paraId="545A7A95" w14:textId="7E0A3420"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96" w:name="ver_30069261"/>
      <w:bookmarkEnd w:id="296"/>
    </w:p>
    <w:p w14:paraId="2E1D97B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2.1.1.1.7.2. Postulantes. Podrán ser postulantes al subsidio familiar de vivienda de interés social urbano de que trata esta sección, los hogares conformados por dos o más personas que integren el mismo grupo familiar, que a partir de la fecha de expedición de la Ley 1148 de 2007 tengan como miembros de hogar a concejales que pertenezcan a municipios de categorías 4, 5 y 6 y que se postulen en las convocatorias de la bolsa especial para concejales que adelante el Fondo Nacional de Vivienda, cumpliendo con los requisitos y procedimientos establecidos en la sección 2.1.1.1.1del presente decreto y las demás normas que lo adicionen, complementen, modifiquen o sustituyan. </w:t>
      </w:r>
    </w:p>
    <w:p w14:paraId="405255C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1B13DE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Las Cajas de Compensación Familiar podrán atender a los hogares afiliados que tengan como miembro de hogar a concejales que pertenezcan a municipios de categorías 4, 5 y 6, con el subsidio familiar de vivienda de que trata esta sección en las convocatorias regulares que adelantan dentro de sus cronogramas anuales. </w:t>
      </w:r>
    </w:p>
    <w:p w14:paraId="77A1CBB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511402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Parágrafo. Los hogares postulantes deberán anexar, además de los documentos señalados en el artículo 2.1.1.1.1.3.3.1.1 del presente decreto, el que demuestre que uno de sus miembros de hogar se encuentra acreditado como </w:t>
      </w:r>
      <w:proofErr w:type="gramStart"/>
      <w:r w:rsidRPr="009342F9">
        <w:rPr>
          <w:rFonts w:ascii="Arial" w:eastAsia="Times New Roman" w:hAnsi="Arial" w:cs="Arial"/>
          <w:color w:val="000000"/>
          <w:lang w:eastAsia="es-CO"/>
        </w:rPr>
        <w:t>Concejal</w:t>
      </w:r>
      <w:proofErr w:type="gramEnd"/>
      <w:r w:rsidRPr="009342F9">
        <w:rPr>
          <w:rFonts w:ascii="Arial" w:eastAsia="Times New Roman" w:hAnsi="Arial" w:cs="Arial"/>
          <w:color w:val="000000"/>
          <w:lang w:eastAsia="es-CO"/>
        </w:rPr>
        <w:t xml:space="preserve"> en la Registraduría Nacional del Estado Civil. </w:t>
      </w:r>
    </w:p>
    <w:p w14:paraId="6342555F" w14:textId="63D0A158"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97" w:name="ver_30069262"/>
      <w:bookmarkEnd w:id="297"/>
    </w:p>
    <w:p w14:paraId="02D20D4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Artículo 2.1.1.1.7.3. Aplicación del subsidio. El subsidio familiar de vivienda de interés social urbano de que trata la presente sección se podrá aplicar en las modalidades de adquisición de vivienda nueva o usada, construcción en sitio propio y mejoramiento de vivienda, dentro del departamento donde se realizó la postulación. </w:t>
      </w:r>
    </w:p>
    <w:p w14:paraId="0A0D6C97" w14:textId="328B28A2"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98" w:name="ver_30069263"/>
      <w:bookmarkEnd w:id="298"/>
    </w:p>
    <w:p w14:paraId="400B9B5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2.1.1.1.7.4. Valor del subsidio familiar de vivienda. El monto del subsidio familiar de vivienda que se otorgará, por una sola vez, a hogares que tengan como miembro del hogar a concejales, será el solicitado hasta el monto máximo establecido en la normatividad vigente para cada una de las modalidades. </w:t>
      </w:r>
    </w:p>
    <w:p w14:paraId="0C530257"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299" w:name="ver_30069264"/>
      <w:bookmarkEnd w:id="299"/>
      <w:r w:rsidRPr="009342F9">
        <w:rPr>
          <w:rFonts w:ascii="Arial" w:eastAsia="Times New Roman" w:hAnsi="Arial" w:cs="Arial"/>
          <w:color w:val="000000"/>
          <w:lang w:eastAsia="es-CO"/>
        </w:rPr>
        <w:t>Artículo 2.1.1.1.7.5. Atención prioritaria. Los hogares postulados y calificados, que participen en la Bolsa Especial para Concejales, podrán ser atendidos de manera prioritaria hasta completar la totalidad de la asignación de dichos hogares, de conformidad con el procedimiento que para el efecto establezca el Ministerio de Vivienda, Ciudad y Territorio. </w:t>
      </w:r>
    </w:p>
    <w:p w14:paraId="6A7A5EDB" w14:textId="79B30ADF"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300" w:name="ver_30069265"/>
      <w:bookmarkEnd w:id="300"/>
    </w:p>
    <w:p w14:paraId="7395D69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2.1.1.1.7.6. Aplicación de la sección 2.1.1.1.1 del presente decreto. En los aspectos no regulados de manera expresa en la presente sección, se dará aplicación a lo dispuesto en la sección 2.1.1.1.1 del presente decreto y las demás normas que lo modifiquen, complementen, adicionen o sustituyan. </w:t>
      </w:r>
    </w:p>
    <w:p w14:paraId="6B004C83" w14:textId="5951E387" w:rsidR="005A1FCF"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301" w:name="ver_30069266"/>
      <w:bookmarkEnd w:id="301"/>
    </w:p>
    <w:p w14:paraId="66588074" w14:textId="14D28335" w:rsidR="00FC79C1" w:rsidRPr="009342F9" w:rsidRDefault="00FC79C1" w:rsidP="005A1FCF">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SECCIÓN 8</w:t>
      </w:r>
    </w:p>
    <w:p w14:paraId="6C44C352" w14:textId="77777777" w:rsidR="00FC79C1" w:rsidRDefault="00FC79C1" w:rsidP="005A1FCF">
      <w:pPr>
        <w:spacing w:after="0" w:line="240" w:lineRule="auto"/>
        <w:jc w:val="center"/>
        <w:rPr>
          <w:rFonts w:ascii="Arial" w:eastAsia="Times New Roman" w:hAnsi="Arial" w:cs="Arial"/>
          <w:b/>
          <w:bCs/>
          <w:color w:val="000000"/>
          <w:lang w:eastAsia="es-CO"/>
        </w:rPr>
      </w:pPr>
      <w:r w:rsidRPr="231E957E">
        <w:rPr>
          <w:rFonts w:ascii="Arial" w:eastAsia="Times New Roman" w:hAnsi="Arial" w:cs="Arial"/>
          <w:b/>
          <w:color w:val="000000" w:themeColor="text1"/>
          <w:lang w:eastAsia="es-CO"/>
        </w:rPr>
        <w:t>SUBSIDIO FAMILIAR DE VIVIENDA PARA DESASTRES NATURALES, CALAMIDAD PÚBLICA O EMERGENCIA</w:t>
      </w:r>
    </w:p>
    <w:p w14:paraId="71080B72" w14:textId="77777777" w:rsidR="007C7D44" w:rsidRPr="009342F9" w:rsidRDefault="007C7D44" w:rsidP="005A1FCF">
      <w:pPr>
        <w:spacing w:after="0" w:line="240" w:lineRule="auto"/>
        <w:jc w:val="center"/>
        <w:rPr>
          <w:rFonts w:ascii="Arial" w:eastAsia="Times New Roman" w:hAnsi="Arial" w:cs="Arial"/>
          <w:b/>
          <w:bCs/>
          <w:color w:val="000000"/>
          <w:lang w:eastAsia="es-CO"/>
        </w:rPr>
      </w:pPr>
    </w:p>
    <w:p w14:paraId="2506112F" w14:textId="77777777" w:rsidR="00FC79C1" w:rsidRPr="009342F9" w:rsidRDefault="00FC79C1" w:rsidP="005A1FCF">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SUBSECCIÓN 1</w:t>
      </w:r>
    </w:p>
    <w:p w14:paraId="74CDFD3B" w14:textId="5CAC14C4" w:rsidR="00FC79C1" w:rsidRPr="009342F9" w:rsidRDefault="00FC79C1" w:rsidP="005A1FCF">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SUBSIDIO FAMILIAR DE VIVIENDA URBANO Y RURAL OTORGADO POR EL FONDO NACIONAL DE VIVIENDA Y POR EL BANCO AGRARIO DE COLOMBIA S.A</w:t>
      </w:r>
    </w:p>
    <w:p w14:paraId="1D78B360"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302" w:name="ver_30069267"/>
      <w:bookmarkEnd w:id="302"/>
    </w:p>
    <w:p w14:paraId="3A8635E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2.1.1.1.8.1.1. Campo de aplicación. La presente subsección se aplica a los procesos de postulación, asignación y aplicación del Subsidio Familiar de Vivienda Urbano y Rural que otorga, respectivamente, el Fondo Nacional de Vivienda y el Banco Agrario de Colombia S.A., para la atención de hogares que han perdido la totalidad de su vivienda o esta ha sido afectada como consecuencia de una situación de desastre, calamidad pública o emergencia, debiendo para el efecto estar debidamente incluidas en los censos oficiales que con ocasión de estos hechos emita el Comité Local de Prevención y Atención de Desastres, avalados por el Comité Regional de Prevención y Atención de Desastres y refrendados por la Dirección de Prevención y Atención de Desastres del Ministerio del Interior. </w:t>
      </w:r>
    </w:p>
    <w:p w14:paraId="49CFACF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F2AB6A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1°. En los casos en que la situación de desastre, calamidad pública o emergencia haya sido declarada como medida preventiva por encontrarse las familias ubicadas en zona de alto riesgo no mitigable, se entenderá que esta situación atiende a programas de reubicación que adelantarán las entidades territoriales para gestionar recursos del subsidio familiar de vivienda a través de las bolsas concursables establecidas por la normatividad vigente, en cumplimiento de su obligación de reubicar a las familias asentadas en zonas de alto riesgo no mitigable y de evitar nuevos asentamientos u ocupaciones en estas zonas, conforme lo dispuesto en el artículo 56 de la Ley 9ª de 1989. </w:t>
      </w:r>
    </w:p>
    <w:p w14:paraId="64AEE0D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3F56C3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Parágrafo 2°. Para la asignación de subsidios familiares de vivienda que trata esta subsección, la entidad territorial o el oferente, una vez declarada la situación de emergencia, calamidad o desastre, deberá presentar al Fondo Nacional de Vivienda o al Banco Agrario de Colombia S.A. según corresponda, su manifestación formal de adelantar el proyecto en las modalidades de mejoramiento, construcción en sitio propio o adquisición de vivienda nueva o usada, para lo cual </w:t>
      </w:r>
      <w:r w:rsidRPr="009342F9">
        <w:rPr>
          <w:rFonts w:ascii="Arial" w:eastAsia="Times New Roman" w:hAnsi="Arial" w:cs="Arial"/>
          <w:color w:val="000000"/>
          <w:lang w:eastAsia="es-CO"/>
        </w:rPr>
        <w:lastRenderedPageBreak/>
        <w:t>tendrá el término de un año, contado a partir de la fecha de declaratoria de emergencia, calamidad o desastre. Igualmente, en este período deberá comunicar al Fondo Nacional de Vivienda o al Banco Agrario de Colombia S.A. según corresponda, mediante oficio, los recursos complementarios para desarrollar el proyecto de vivienda, es decir, contar con el lote, si es el caso y acreditar la disponibilidad presupuestal para las obras de urbanismo, incluida la disponibilidad de servicios públicos, cuando corresponda. </w:t>
      </w:r>
    </w:p>
    <w:p w14:paraId="1944F2A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51D38B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todo caso, si al vencimiento del plazo de que trata el inciso anterior, la entidad territorial o el oferente no demuestran contar con estos dos componentes, se entenderá que desiste de la solicitud de adelantar el proyecto de vivienda. </w:t>
      </w:r>
    </w:p>
    <w:p w14:paraId="4D14EA9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67797B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Los terrenos en los cuales se desarrollen los proyectos podrán ser de propiedad de la entidad territorial o de particulares vinculados jurídicamente con el municipio para tal fin. </w:t>
      </w:r>
    </w:p>
    <w:p w14:paraId="1212C25F" w14:textId="058429A4"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303" w:name="ver_30210166"/>
      <w:bookmarkStart w:id="304" w:name="ver_30069268"/>
      <w:bookmarkEnd w:id="303"/>
    </w:p>
    <w:p w14:paraId="74B76BB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2.1.1.1.8.1.2. Valor del subsidio familiar de vivienda urbano y rural. La cuantía del subsidio familiar de vivienda urbano y rural para los hogares afectados por situaciones de desastres, calamidad pública o </w:t>
      </w:r>
      <w:proofErr w:type="gramStart"/>
      <w:r w:rsidRPr="009342F9">
        <w:rPr>
          <w:rFonts w:ascii="Arial" w:eastAsia="Times New Roman" w:hAnsi="Arial" w:cs="Arial"/>
          <w:color w:val="000000"/>
          <w:lang w:eastAsia="es-CO"/>
        </w:rPr>
        <w:t>emergencias,</w:t>
      </w:r>
      <w:proofErr w:type="gramEnd"/>
      <w:r w:rsidRPr="009342F9">
        <w:rPr>
          <w:rFonts w:ascii="Arial" w:eastAsia="Times New Roman" w:hAnsi="Arial" w:cs="Arial"/>
          <w:color w:val="000000"/>
          <w:lang w:eastAsia="es-CO"/>
        </w:rPr>
        <w:t xml:space="preserve"> se establecerá así: </w:t>
      </w:r>
    </w:p>
    <w:p w14:paraId="602A4C02" w14:textId="77777777" w:rsidR="00E63A77" w:rsidRDefault="00E63A77" w:rsidP="00FC79C1">
      <w:pPr>
        <w:spacing w:after="0" w:line="240" w:lineRule="auto"/>
        <w:jc w:val="both"/>
        <w:rPr>
          <w:rFonts w:ascii="Arial" w:eastAsia="Times New Roman" w:hAnsi="Arial" w:cs="Arial"/>
          <w:color w:val="000000"/>
          <w:lang w:eastAsia="es-CO"/>
        </w:rPr>
      </w:pPr>
    </w:p>
    <w:p w14:paraId="3BABFD9C" w14:textId="3E806EE0"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2.1. El valor del Subsidio Familiar de Vivienda Urbano otorgado a esta población en las modalidades de adquisición de vivienda usada y construcción en sitio propio será de veintidós salarios mínimos mensuales legales vigentes (22 </w:t>
      </w:r>
      <w:proofErr w:type="spellStart"/>
      <w:r w:rsidRPr="009342F9">
        <w:rPr>
          <w:rFonts w:ascii="Arial" w:eastAsia="Times New Roman" w:hAnsi="Arial" w:cs="Arial"/>
          <w:color w:val="000000"/>
          <w:lang w:eastAsia="es-CO"/>
        </w:rPr>
        <w:t>smlmv</w:t>
      </w:r>
      <w:proofErr w:type="spellEnd"/>
      <w:r w:rsidRPr="009342F9">
        <w:rPr>
          <w:rFonts w:ascii="Arial" w:eastAsia="Times New Roman" w:hAnsi="Arial" w:cs="Arial"/>
          <w:color w:val="000000"/>
          <w:lang w:eastAsia="es-CO"/>
        </w:rPr>
        <w:t xml:space="preserve">); en la modalidad de adquisición de vivienda nueva podrá ser hasta de noventa salarios mínimos legales mensuales vigentes (90 </w:t>
      </w:r>
      <w:proofErr w:type="spellStart"/>
      <w:r w:rsidRPr="009342F9">
        <w:rPr>
          <w:rFonts w:ascii="Arial" w:eastAsia="Times New Roman" w:hAnsi="Arial" w:cs="Arial"/>
          <w:color w:val="000000"/>
          <w:lang w:eastAsia="es-CO"/>
        </w:rPr>
        <w:t>smlmv</w:t>
      </w:r>
      <w:proofErr w:type="spellEnd"/>
      <w:r w:rsidRPr="009342F9">
        <w:rPr>
          <w:rFonts w:ascii="Arial" w:eastAsia="Times New Roman" w:hAnsi="Arial" w:cs="Arial"/>
          <w:color w:val="000000"/>
          <w:lang w:eastAsia="es-CO"/>
        </w:rPr>
        <w:t>).  </w:t>
      </w:r>
    </w:p>
    <w:p w14:paraId="54126D00" w14:textId="77777777" w:rsidR="00E63A77" w:rsidRDefault="00E63A77" w:rsidP="00FC79C1">
      <w:pPr>
        <w:spacing w:after="0" w:line="240" w:lineRule="auto"/>
        <w:jc w:val="both"/>
        <w:rPr>
          <w:rFonts w:ascii="Arial" w:eastAsia="Times New Roman" w:hAnsi="Arial" w:cs="Arial"/>
          <w:color w:val="000000"/>
          <w:lang w:eastAsia="es-CO"/>
        </w:rPr>
      </w:pPr>
    </w:p>
    <w:p w14:paraId="502D1114" w14:textId="51B2D140"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2.2 El valor del Subsidio Familiar de Vivienda Urbano otorgado a esta población en la modalidad de mejoramiento será de once y medio salarios mínimos mensuales (11.5 </w:t>
      </w:r>
      <w:proofErr w:type="spellStart"/>
      <w:r w:rsidRPr="009342F9">
        <w:rPr>
          <w:rFonts w:ascii="Arial" w:eastAsia="Times New Roman" w:hAnsi="Arial" w:cs="Arial"/>
          <w:color w:val="000000"/>
          <w:lang w:eastAsia="es-CO"/>
        </w:rPr>
        <w:t>smlmv</w:t>
      </w:r>
      <w:proofErr w:type="spellEnd"/>
      <w:r w:rsidRPr="009342F9">
        <w:rPr>
          <w:rFonts w:ascii="Arial" w:eastAsia="Times New Roman" w:hAnsi="Arial" w:cs="Arial"/>
          <w:color w:val="000000"/>
          <w:lang w:eastAsia="es-CO"/>
        </w:rPr>
        <w:t>). </w:t>
      </w:r>
    </w:p>
    <w:p w14:paraId="6BF50A1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29064A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2.3 El valor del Subsidio Familiar de Vivienda Rural para los hogares afectados por situación de desastre o de calamidad pública en las modalidades de construcción y adquisición de vivienda nueva, será de hasta veinticinco (25) salarios mínimos mensuales legales vigentes (</w:t>
      </w:r>
      <w:proofErr w:type="spellStart"/>
      <w:r w:rsidRPr="009342F9">
        <w:rPr>
          <w:rFonts w:ascii="Arial" w:eastAsia="Times New Roman" w:hAnsi="Arial" w:cs="Arial"/>
          <w:color w:val="000000"/>
          <w:lang w:eastAsia="es-CO"/>
        </w:rPr>
        <w:t>smlmv</w:t>
      </w:r>
      <w:proofErr w:type="spellEnd"/>
      <w:r w:rsidRPr="009342F9">
        <w:rPr>
          <w:rFonts w:ascii="Arial" w:eastAsia="Times New Roman" w:hAnsi="Arial" w:cs="Arial"/>
          <w:color w:val="000000"/>
          <w:lang w:eastAsia="es-CO"/>
        </w:rPr>
        <w:t>). (Modificado por el Decreto 900 de 2012, artículo 29).  </w:t>
      </w:r>
    </w:p>
    <w:p w14:paraId="6871335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9CBECB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2.4 El valor del Subsidio Familiar de Vivienda Rural otorgado a esta población en la modalidad de mejoramiento y saneamiento básico, será de hasta quince (15) salarios mínimos mensuales legales vigentes (</w:t>
      </w:r>
      <w:proofErr w:type="spellStart"/>
      <w:r w:rsidRPr="009342F9">
        <w:rPr>
          <w:rFonts w:ascii="Arial" w:eastAsia="Times New Roman" w:hAnsi="Arial" w:cs="Arial"/>
          <w:color w:val="000000"/>
          <w:lang w:eastAsia="es-CO"/>
        </w:rPr>
        <w:t>smlmv</w:t>
      </w:r>
      <w:proofErr w:type="spellEnd"/>
      <w:r w:rsidRPr="009342F9">
        <w:rPr>
          <w:rFonts w:ascii="Arial" w:eastAsia="Times New Roman" w:hAnsi="Arial" w:cs="Arial"/>
          <w:color w:val="000000"/>
          <w:lang w:eastAsia="es-CO"/>
        </w:rPr>
        <w:t>). (Modificado por el Decreto 900 de 2012, artículo 29).  </w:t>
      </w:r>
    </w:p>
    <w:p w14:paraId="7F46282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1809A3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2.5 En todo caso, el valor del Subsidio de Vivienda de Interés Social Rural no podrá ser superior al ochenta por ciento (80%) del valor de la solución de mejoramiento, construcción en sitio propio o adquisición de vivienda nueva, en la fecha de asignación del subsidio. Para estos efectos el Reglamento Operativo del Programa de Vivienda de Interés Social Rural podrá determinar el componente del aporte de contrapartida. </w:t>
      </w:r>
    </w:p>
    <w:p w14:paraId="7DAA306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511127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1°. A los hogares afectados por situaciones de desastre, calamidad pública o emergencia, no se les podrá exigir, ni aplicar el criterio de puntaje SISBÉN, ni los ingresos del hogar postulante como requisitos para la postulación al Subsidio Familiar de Vivienda, ni como determinante del valor del subsidio. </w:t>
      </w:r>
    </w:p>
    <w:p w14:paraId="7AFDB6F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26219B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2°. En el Departamento de Archipiélago de San Andrés, Providencia y Santa Catalina, así como en Vaupés, Guainía, Vichada y Amazonas, el Subsidio Familiar de Vivienda Rural, será aplicable en las modalidades de construcción en sitio propio y mejoramiento y su valor será de hasta veintiséis (26) salarios mínimos mensuales legales vigentes (</w:t>
      </w:r>
      <w:proofErr w:type="spellStart"/>
      <w:r w:rsidRPr="009342F9">
        <w:rPr>
          <w:rFonts w:ascii="Arial" w:eastAsia="Times New Roman" w:hAnsi="Arial" w:cs="Arial"/>
          <w:color w:val="000000"/>
          <w:lang w:eastAsia="es-CO"/>
        </w:rPr>
        <w:t>smlmv</w:t>
      </w:r>
      <w:proofErr w:type="spellEnd"/>
      <w:r w:rsidRPr="009342F9">
        <w:rPr>
          <w:rFonts w:ascii="Arial" w:eastAsia="Times New Roman" w:hAnsi="Arial" w:cs="Arial"/>
          <w:color w:val="000000"/>
          <w:lang w:eastAsia="es-CO"/>
        </w:rPr>
        <w:t xml:space="preserve">) para el primer caso y </w:t>
      </w:r>
      <w:r w:rsidRPr="009342F9">
        <w:rPr>
          <w:rFonts w:ascii="Arial" w:eastAsia="Times New Roman" w:hAnsi="Arial" w:cs="Arial"/>
          <w:color w:val="000000"/>
          <w:lang w:eastAsia="es-CO"/>
        </w:rPr>
        <w:lastRenderedPageBreak/>
        <w:t>de hasta dieciocho (18) salarios mínimos mensuales legales vigentes (</w:t>
      </w:r>
      <w:proofErr w:type="spellStart"/>
      <w:r w:rsidRPr="009342F9">
        <w:rPr>
          <w:rFonts w:ascii="Arial" w:eastAsia="Times New Roman" w:hAnsi="Arial" w:cs="Arial"/>
          <w:color w:val="000000"/>
          <w:lang w:eastAsia="es-CO"/>
        </w:rPr>
        <w:t>smlmv</w:t>
      </w:r>
      <w:proofErr w:type="spellEnd"/>
      <w:r w:rsidRPr="009342F9">
        <w:rPr>
          <w:rFonts w:ascii="Arial" w:eastAsia="Times New Roman" w:hAnsi="Arial" w:cs="Arial"/>
          <w:color w:val="000000"/>
          <w:lang w:eastAsia="es-CO"/>
        </w:rPr>
        <w:t>) para el segundo caso. Para la población en situación de desplazamiento que aplique en estos Departamentos, el valor del subsidio será de hasta veintinueve (29) salarios mínimos mensuales legales vigentes (</w:t>
      </w:r>
      <w:proofErr w:type="spellStart"/>
      <w:r w:rsidRPr="009342F9">
        <w:rPr>
          <w:rFonts w:ascii="Arial" w:eastAsia="Times New Roman" w:hAnsi="Arial" w:cs="Arial"/>
          <w:color w:val="000000"/>
          <w:lang w:eastAsia="es-CO"/>
        </w:rPr>
        <w:t>smlmv</w:t>
      </w:r>
      <w:proofErr w:type="spellEnd"/>
      <w:r w:rsidRPr="009342F9">
        <w:rPr>
          <w:rFonts w:ascii="Arial" w:eastAsia="Times New Roman" w:hAnsi="Arial" w:cs="Arial"/>
          <w:color w:val="000000"/>
          <w:lang w:eastAsia="es-CO"/>
        </w:rPr>
        <w:t>) en la modalidad de vivienda nueva y de hasta veinte (20) salarios mínimos mensuales iguales vigentes (</w:t>
      </w:r>
      <w:proofErr w:type="spellStart"/>
      <w:r w:rsidRPr="009342F9">
        <w:rPr>
          <w:rFonts w:ascii="Arial" w:eastAsia="Times New Roman" w:hAnsi="Arial" w:cs="Arial"/>
          <w:color w:val="000000"/>
          <w:lang w:eastAsia="es-CO"/>
        </w:rPr>
        <w:t>smlmv</w:t>
      </w:r>
      <w:proofErr w:type="spellEnd"/>
      <w:r w:rsidRPr="009342F9">
        <w:rPr>
          <w:rFonts w:ascii="Arial" w:eastAsia="Times New Roman" w:hAnsi="Arial" w:cs="Arial"/>
          <w:color w:val="000000"/>
          <w:lang w:eastAsia="es-CO"/>
        </w:rPr>
        <w:t>) en la de mejoramiento. (Modificado por el Decreto 900 de 2012, artículo 29). </w:t>
      </w:r>
    </w:p>
    <w:p w14:paraId="388193F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E1648C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3°. Cuando los recursos para la construcción de proyectos de vivienda de interés social provengan de otras fuentes diferentes al Fondo Nacional de Vivienda o al Banco Agrario de Colombia S.A., estos permitirán el acceso de la entidad territorial o el oferente al Sistema de Información del Subsidio Familiar de Vivienda para la asignación de los citados recursos. </w:t>
      </w:r>
    </w:p>
    <w:p w14:paraId="17F25F7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CFB58EC"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305" w:name="ver_30069269"/>
      <w:bookmarkEnd w:id="304"/>
      <w:bookmarkEnd w:id="305"/>
      <w:r w:rsidRPr="009342F9">
        <w:rPr>
          <w:rFonts w:ascii="Arial" w:eastAsia="Times New Roman" w:hAnsi="Arial" w:cs="Arial"/>
          <w:color w:val="000000"/>
          <w:lang w:eastAsia="es-CO"/>
        </w:rPr>
        <w:t>Artículo 2.1.1.1.8.1.3. Beneficiarios. Para efectos de la aplicación de esta subsección, se consideran beneficiarios los hogares propietarios, poseedores u ocupantes conformados por una o más personas que integren el mismo grupo familiar, cuya solución habitacional se haya visto afectada por situaciones de desastre, calamidad o emergencia debidamente declaradas por las autoridades competentes y que se encuentren incluidos en los censos oficiales que con ocasión de estos hechos, emita el Comité Local de Prevención y Atención de Desastres avalados por el Comité Regional de Prevención y Atención de Desastres y refrendados por la Dirección de Prevención y Atención de Desastres del Ministerio del Interior. </w:t>
      </w:r>
    </w:p>
    <w:p w14:paraId="118F3A9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EC7791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Parágrafo. La postulación para el subsidio familiar de vivienda en la modalidad de adquisición de vivienda nueva o </w:t>
      </w:r>
      <w:proofErr w:type="gramStart"/>
      <w:r w:rsidRPr="009342F9">
        <w:rPr>
          <w:rFonts w:ascii="Arial" w:eastAsia="Times New Roman" w:hAnsi="Arial" w:cs="Arial"/>
          <w:color w:val="000000"/>
          <w:lang w:eastAsia="es-CO"/>
        </w:rPr>
        <w:t>usada,</w:t>
      </w:r>
      <w:proofErr w:type="gramEnd"/>
      <w:r w:rsidRPr="009342F9">
        <w:rPr>
          <w:rFonts w:ascii="Arial" w:eastAsia="Times New Roman" w:hAnsi="Arial" w:cs="Arial"/>
          <w:color w:val="000000"/>
          <w:lang w:eastAsia="es-CO"/>
        </w:rPr>
        <w:t xml:space="preserve"> solo aplicará para los casos en que la vivienda afectada con ocasión de la situación de desastre, calamidad o emergencia, no pueda ser objeto de mejoramiento o de construcción en sitio propio. </w:t>
      </w:r>
    </w:p>
    <w:p w14:paraId="017D5F58" w14:textId="4B069CAC"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306" w:name="ver_30069270"/>
      <w:bookmarkEnd w:id="306"/>
    </w:p>
    <w:p w14:paraId="41BF744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2.1.1.1.8.1.4. Requisitos y documentos para la postulación. Para efectos de la postulación al Subsidio Familiar de Vivienda de que trata esta subsección, los hogares deberán cumplir con el requisito único de estar inscritos en los censos oficiales que con ocasión de desastres, calamidades públicas o emergencias, emita el Comité Local de Prevención y Atención de Desastres avalados por el Comité Regional de Prevención y Atención de Desastres y refrendados por la Dirección de Prevención y Atención de Desastres del Ministerio del Interior y deberán presentar, dentro de las fechas de apertura y cierre de las convocatorias para los subsidios urbanos y rurales, respectivamente, el formulario de postulación debidamente diligenciado y firmado por todos los miembros mayores del hogar postulante, en el cual deberá indicarse la modalidad de subsidio familiar de vivienda a la cual se aspira. </w:t>
      </w:r>
    </w:p>
    <w:p w14:paraId="68DDBD2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DAEB79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Con la presentación del formulario de postulación se entenderá que el hogar declara bajo la gravedad de juramento que la información allí contenida corresponde a la verdad, autoriza para verificar la información suministrada, y acepta su exclusión de manera automática del sistema de postulación al subsidio en caso de verificarse falsedad o fraude en la información o la documentación. </w:t>
      </w:r>
    </w:p>
    <w:p w14:paraId="52C70D8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95FBC4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todo caso, las personas cuyas viviendas hayan sido afectadas por desastres, calamidades públicas o emergencias debidamente decretadas por las autoridades competentes y que figuren en los respectivos censos de que trata el presente artículo, podrán ser beneficiarios del subsidio de vivienda, sin perjuicio de que figuren registrados como propietarios de más de un inmueble en el territorio nacional. </w:t>
      </w:r>
    </w:p>
    <w:p w14:paraId="28C7CD4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41A3D6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Parágrafo 1°. En caso de reubicación, para efectos del desembolso del subsidio familiar de vivienda, el hogar deberá demostrar la transferencia del derecho de dominio o posesión del inmueble desalojado a la respectiva entidad territorial mediante certificación expedida por esta. </w:t>
      </w:r>
    </w:p>
    <w:p w14:paraId="4DB2B63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C054A5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2°. La postulación al Subsidio Familiar de Vivienda Rural se deberá realizar de conformidad con el procedimiento establecido para tal efecto en el Decreto Único del Sector de Agricultura y Desarrollo Rural o la norma que lo modifique, adicione o sustituya. </w:t>
      </w:r>
    </w:p>
    <w:p w14:paraId="44A3403F" w14:textId="45B394ED"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307" w:name="ver_30069271"/>
      <w:bookmarkEnd w:id="307"/>
    </w:p>
    <w:p w14:paraId="45E49CD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2.1.1.1.8.1.5. Asignación del subsidio familiar de vivienda urbano y rural. Los hogares postulantes serán objeto de asignación previo el cumplimiento de los requisitos establecidos en esta subsección así: </w:t>
      </w:r>
    </w:p>
    <w:p w14:paraId="6E6273F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206E47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5.1 Para el subsidio familiar de vivienda urbano, los hogares quedarán organizados en forma descendente de mayor a menor puntaje y serán asignados hasta agotar los recursos destinados por el Fondo Nacional de Vivienda para atender la emergencia de acuerdo con lo estipulado en los artículos 2.1.1.1.14.1.2 y 2.1.1.1.1.4.1.3 del presente decreto. </w:t>
      </w:r>
    </w:p>
    <w:p w14:paraId="6D77126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C08DDB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5.2 Para el subsidio familiar de vivienda rural, la asignación se realizará de conformidad con lo establecido en el Decreto Único del Sector de Agricultura y Desarrollo Rural. </w:t>
      </w:r>
    </w:p>
    <w:p w14:paraId="1B7E1735" w14:textId="246E31A2"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308" w:name="ver_30069272"/>
      <w:bookmarkEnd w:id="308"/>
    </w:p>
    <w:p w14:paraId="4F4D11C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2.1.1.1.8.1.6. Condiciones para la aplicación del subsidio familiar de vivienda urbano y rural. Las condiciones para la aplicación del subsidio familiar de vivienda urbano y rural serán así: </w:t>
      </w:r>
    </w:p>
    <w:p w14:paraId="5AB03B7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5E5155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6.1 Para el subsidio familiar de vivienda urbano los hogares deberán identificar en el formulario de postulación, el programa y la modalidad a la que postulan. Las condiciones de postulación se mantendrán vigentes durante todo el proceso de asignación y pago del subsidio familiar de vivienda y se realizará exclusivamente a través de programas que desarrollen los siguientes componentes: </w:t>
      </w:r>
    </w:p>
    <w:p w14:paraId="3070D31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360134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6.1.1 Programa de reubicación urbano: </w:t>
      </w:r>
    </w:p>
    <w:p w14:paraId="47D1059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8CFD6C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Se orienta a resolver aquellos casos de afectación en las viviendas que, por el lugar donde se encuentran localizadas, no sea posible la reconstrucción de </w:t>
      </w:r>
      <w:proofErr w:type="gramStart"/>
      <w:r w:rsidRPr="009342F9">
        <w:rPr>
          <w:rFonts w:ascii="Arial" w:eastAsia="Times New Roman" w:hAnsi="Arial" w:cs="Arial"/>
          <w:color w:val="000000"/>
          <w:lang w:eastAsia="es-CO"/>
        </w:rPr>
        <w:t>las mismas</w:t>
      </w:r>
      <w:proofErr w:type="gramEnd"/>
      <w:r w:rsidRPr="009342F9">
        <w:rPr>
          <w:rFonts w:ascii="Arial" w:eastAsia="Times New Roman" w:hAnsi="Arial" w:cs="Arial"/>
          <w:color w:val="000000"/>
          <w:lang w:eastAsia="es-CO"/>
        </w:rPr>
        <w:t xml:space="preserve"> en razón de la disminución en la capacidad portante del terreno, o la inminente situación de riesgo no mitigable. Consiste en facilitar la reubicación de los hogares afectados en el mismo municipio u otro distinto del que habitaban, siguiendo las siguientes directrices: </w:t>
      </w:r>
    </w:p>
    <w:p w14:paraId="1870871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FFB203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6.1.1.1 Se promoverán las modalidades de adquisición de vivienda nueva para aplicación del subsidio en los planes de vivienda de interés social formulados por la entidad territorial, agotado lo anterior, se procurará la aplicación de los subsidios para la adquisición de vivienda nueva en los planes de vivienda existentes en el municipio; luego se aplicará para la adquisición de vivienda usada, lo anterior de acuerdo con los siguientes criterios: </w:t>
      </w:r>
    </w:p>
    <w:p w14:paraId="500F09C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BF6516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6.1.1.1.1 En los casos en que en el municipio donde acaecieron los hechos no se presente oferta de vivienda, la entidad territorial formulará planes de vivienda de interés social. Los subsidios familiares de vivienda que otorgue el Fondo Nacional de </w:t>
      </w:r>
      <w:proofErr w:type="gramStart"/>
      <w:r w:rsidRPr="009342F9">
        <w:rPr>
          <w:rFonts w:ascii="Arial" w:eastAsia="Times New Roman" w:hAnsi="Arial" w:cs="Arial"/>
          <w:color w:val="000000"/>
          <w:lang w:eastAsia="es-CO"/>
        </w:rPr>
        <w:t>Vivienda,</w:t>
      </w:r>
      <w:proofErr w:type="gramEnd"/>
      <w:r w:rsidRPr="009342F9">
        <w:rPr>
          <w:rFonts w:ascii="Arial" w:eastAsia="Times New Roman" w:hAnsi="Arial" w:cs="Arial"/>
          <w:color w:val="000000"/>
          <w:lang w:eastAsia="es-CO"/>
        </w:rPr>
        <w:t xml:space="preserve"> serán orientados en cuanto a su aplicación a estos proyectos. </w:t>
      </w:r>
    </w:p>
    <w:p w14:paraId="639D0AB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AB21BD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6.1.1.1.2 El subsidio podrá ser aplicado por los hogares en cualquiera de los planes de vivienda declarados elegibles. </w:t>
      </w:r>
    </w:p>
    <w:p w14:paraId="3DE250B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w:t>
      </w:r>
    </w:p>
    <w:p w14:paraId="2E3F0E8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6.1.1.2 El subsidio también podrá aplicarse para la adquisición de una vivienda usada entendiendo esta como aquella que cuenta con una o más inscripciones de propietarios en su respectivo folio de matrícula inmobiliaria de conformidad con lo establecido en el artículo 5° de la Ley 351 de 1991. En caso de la modalidad de vivienda usada, el subsidio debe aplicarse en un inmueble ubicado en un barrio legalizado y con servicios públicos, que tenga licencia de construcción y la titularidad del derecho de dominio en cabeza del vendedor debidamente demostrada por el certificado de tradición y libertad. </w:t>
      </w:r>
    </w:p>
    <w:p w14:paraId="441D955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DF79A0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6.1.1.3 Aquellos hogares que cuenten con un lote de su propiedad podrán aplicar el subsidio en la construcción de una vivienda en este, ajustándose a lo dispuesto en el numeral 2.6.3 del artículo 2.1.1.1.1.1.2 del presente decreto. </w:t>
      </w:r>
    </w:p>
    <w:p w14:paraId="5EDBD8F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31ED22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1°. Para la reubicación de los hogares que trata esta subsección, el Gobierno Nacional promoverá la formulación de planes de vivienda de interés social que sean desarrollados por las entidades territoriales. </w:t>
      </w:r>
    </w:p>
    <w:p w14:paraId="4070B68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F18024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2°. Cuando se trate de programas de reubicación, se deberá presentar ante el Fondo Nacional de Vivienda o su operador autorizado, certificado de cofinanciación de la entidad territorial para la ejecución del plan de vivienda. </w:t>
      </w:r>
    </w:p>
    <w:p w14:paraId="171C73C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9934BA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3°. De conformidad con lo previsto en la Ley 1523 de 2012 y el literal d) del numeral primero del artículo 10 de la Ley 388 de 1997, corresponderá al municipio delimitar las zonas de alto riesgo no mitigable por situación de desastre, situación de calamidad pública o emergencias previstas en el artículo 2.1.1.1.8.1.1 de esta subsección. Con la delimitación se establecerán las restricciones de uso y ocupación con miras a la prohibición de licencias de construcción para realizar edificaciones en estos predios. </w:t>
      </w:r>
    </w:p>
    <w:p w14:paraId="62CAFB4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016749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De igual manera, corresponderá a los municipios definir los programas para el manejo y control de las áreas liberadas con el fin de evitar que estas sean habitadas nuevamente. Se entenderá que estas disposiciones se incorporan al plan de ordenamiento territorial del respectivo municipio. </w:t>
      </w:r>
    </w:p>
    <w:p w14:paraId="1883754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6364BD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6.1.2 Programa de Mejoramiento de Vivienda Urbana: </w:t>
      </w:r>
    </w:p>
    <w:p w14:paraId="6C08D31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99724F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Es aquel por el cual el beneficiario del subsidio supera una o varias de las carencias básicas de la vivienda conforme a lo establecido en el artículo 2.1.1.1.1.1.2 numeral 2.6.4 del presente decreto, perteneciente a un desarrollo legal o legalizado, o una edificación, siempre y cuando su título de propiedad se encuentre inscrito en la Oficina de Registro de Instrumentos Públicos a nombre de uno cualquiera de los miembros del hogar. </w:t>
      </w:r>
    </w:p>
    <w:p w14:paraId="2671410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1D8F06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Para el desembolso del subsidio familiar de vivienda para mejoramiento de vivienda o construcción en sitio propio, es necesario que estas no se encuentren ubicadas en zona de alto riesgo no mitigable. Para aquellas que se encuentren en zonas de alto riesgo mitigable, el municipio deberá garantizar la ejecución de las obras necesarias para mitigar el riesgo. </w:t>
      </w:r>
    </w:p>
    <w:p w14:paraId="5A8B7C1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424E5B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6.2 Para el subsidio familiar de vivienda rural, los hogares deberán hacer la postulación de acuerdo con la metodología de postulación establecida para el programa de vivienda de interés social rural y para los tipos de solución contemplados en el Decreto Único del Sector de Agricultura y Desarrollo Rural. </w:t>
      </w:r>
    </w:p>
    <w:p w14:paraId="068E338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85C119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6.2.1 Programa de reubicación rural: </w:t>
      </w:r>
    </w:p>
    <w:p w14:paraId="1F1BD39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9919D8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Este se orienta a resolver aquellos casos de afectación grave en las viviendas y terrenos donde están localizadas y que no sea posible la reconstrucción de </w:t>
      </w:r>
      <w:proofErr w:type="gramStart"/>
      <w:r w:rsidRPr="009342F9">
        <w:rPr>
          <w:rFonts w:ascii="Arial" w:eastAsia="Times New Roman" w:hAnsi="Arial" w:cs="Arial"/>
          <w:color w:val="000000"/>
          <w:lang w:eastAsia="es-CO"/>
        </w:rPr>
        <w:t>las mismas</w:t>
      </w:r>
      <w:proofErr w:type="gramEnd"/>
      <w:r w:rsidRPr="009342F9">
        <w:rPr>
          <w:rFonts w:ascii="Arial" w:eastAsia="Times New Roman" w:hAnsi="Arial" w:cs="Arial"/>
          <w:color w:val="000000"/>
          <w:lang w:eastAsia="es-CO"/>
        </w:rPr>
        <w:t>, en razón de la disminución en la capacidad portante del terreno donde están localizadas, o la inminente situación de riesgo no mitigable, que consiste en facilitar la reubicación de los hogares afectados en el mismo municipio u otro distinto del que habitaban. Para lo cual los hogares realizarán su postulación para construcción de vivienda en sitio propio o adquisición de vivienda nueva. </w:t>
      </w:r>
    </w:p>
    <w:p w14:paraId="3256059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92028E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De conformidad con lo previsto en la Ley 1523 de 2012 y el literal d) del numeral primero del artículo 10 de la Ley 388 de 1997, corresponderá al municipio delimitar las zonas de alto riesgo no mitigable por situación de desastre, situación de calamidad pública o emergencias previstas en el 2.1.1.1.8.1.1 de esta subsección. Con la delimitación se establecerán las restricciones de uso y ocupación con miras a la prohibición de licencias de construcción para realizar edificaciones en estos predios. </w:t>
      </w:r>
    </w:p>
    <w:p w14:paraId="51CDD34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02E13F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De igual manera, corresponderá a los municipios definir los programas para el manejo y control de las áreas liberadas con el fin de evitar que estas sean habitadas nuevamente. Se entenderá que estas disposiciones se incorporan al plan de ordenamiento territorial del respectivo municipio. </w:t>
      </w:r>
    </w:p>
    <w:p w14:paraId="62C0E32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CD6B1F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Asimismo, en caso de reubicación demostrar la entrega del inmueble desalojado al municipio mediante certificación expedida por este. Este requisito debe cumplirse para efectos del desembolso del subsidio familiar de vivienda. </w:t>
      </w:r>
    </w:p>
    <w:p w14:paraId="737570E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B78F52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6.2.2 Programa de Mejoramiento de Vivienda Rural: </w:t>
      </w:r>
    </w:p>
    <w:p w14:paraId="6A62C67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A63CA1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Para este programa se aplicará lo dispuesto en el Decreto Único del Sector de Agricultura y Desarrollo Rural. </w:t>
      </w:r>
    </w:p>
    <w:p w14:paraId="0B3E21F7" w14:textId="1AD65CD6"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309" w:name="ver_30069273"/>
      <w:bookmarkEnd w:id="309"/>
    </w:p>
    <w:p w14:paraId="69A9B94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2.1.1.1.8.1.7. Planes de vivienda urbana y rural. Para el caso de planes de vivienda urbanos, se entienden como aquellas soluciones de vivienda de interés social urbanas subsidiables o el conjunto de ellas, dentro de las modalidades de adquisición de vivienda nueva o usada, construcción en sitio propio o mejoramiento, establecidas en el artículo anterior, desarrollados por oferentes que cumplan con las normas legales vigentes que le sean aplicables. En los casos de construcción en sitio propio y mejoramiento de vivienda, las soluciones pueden ser nucleadas o dispersas, objeto de una o varias licencias de construcción. </w:t>
      </w:r>
    </w:p>
    <w:p w14:paraId="2F369E2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D5D4C0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Para los proyectos de Vivienda de Interés Social Rural establecidos en la presente subsección, cada proyecto de vivienda de interés social rural estará conformado por máximo 100 soluciones de vivienda subsidiable. Las Entidades Oferentes determinadas en el Decreto Único del Sector de Agricultura y Desarrollo Rural o la norma que lo modifique, adicione o sustituya, podrán presentar el número de proyectos que se requieran para postular a los hogares debidamente incluidos en los censos oficiales que con ocasión de desastres, calamidades públicas o emergencias, emita el Comité Local de Prevención y Atención de Desastres avalados por el Comité Regional de Prevención y Atención de Desastres y refrendados por la Dirección de Prevención y Atención de Desastres del Ministerio del Interior. </w:t>
      </w:r>
    </w:p>
    <w:p w14:paraId="5F3B766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73AF61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Parágrafo. Para aquellos planes de vivienda urbanos que atiendan a población afectada por situaciones de desastre o situación de calamidad pública o emergencia, la cual se encuentre incluida en los censos oficiales que con ocasión de estos hechos, emita el Comité Local de </w:t>
      </w:r>
      <w:r w:rsidRPr="009342F9">
        <w:rPr>
          <w:rFonts w:ascii="Arial" w:eastAsia="Times New Roman" w:hAnsi="Arial" w:cs="Arial"/>
          <w:color w:val="000000"/>
          <w:lang w:eastAsia="es-CO"/>
        </w:rPr>
        <w:lastRenderedPageBreak/>
        <w:t>Prevención y Atención de Desastres avalados por el Comité Regional de Prevención y Atención de Desastres y refrendados por la Dirección de Prevención y Atención de Desastres del Ministerio del Interior, la elegibilidad se entenderá dada por la licencia de construcción en los planes de vivienda formulados por las entidades territoriales o los oferentes, presentados en las modalidades de adquisición de vivienda nueva, construcción en sitio propio o mejoramiento, sin importar la categoría que ostente el municipio. Todos los aspectos legales, técnicos y financieros que garanticen la viabilidad para la ejecución del plan de vivienda deben estar debidamente certificados por la entidad territorial. </w:t>
      </w:r>
    </w:p>
    <w:p w14:paraId="6B223F99" w14:textId="4E5DE593"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310" w:name="ver_30069274"/>
      <w:bookmarkEnd w:id="310"/>
    </w:p>
    <w:p w14:paraId="1BEEBBF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2.1.1.1.8.1.8. Aplicación de la sección 2.1.1.1.1 del presente decreto y del Decreto Único del Sector de Agricultura y Desarrollo Rural. En lo no previsto en esta subsección, se aplicará lo dispuesto en la sección 2.1.1.1.1 del presente decreto y en el Decreto Único del Sector de Agricultura y Desarrollo Rural y las normas que los sustituyan, modifiquen o adicionen. </w:t>
      </w:r>
    </w:p>
    <w:p w14:paraId="5006A90C" w14:textId="18247A41" w:rsidR="00FC79C1" w:rsidRPr="009342F9" w:rsidRDefault="00FC79C1" w:rsidP="00FC79C1">
      <w:pPr>
        <w:spacing w:after="0" w:line="240" w:lineRule="auto"/>
        <w:jc w:val="both"/>
        <w:rPr>
          <w:rFonts w:ascii="Arial" w:eastAsia="Times New Roman" w:hAnsi="Arial" w:cs="Arial"/>
          <w:color w:val="000000"/>
          <w:lang w:eastAsia="es-CO"/>
        </w:rPr>
      </w:pPr>
    </w:p>
    <w:p w14:paraId="2A90116B" w14:textId="77777777" w:rsidR="00FC79C1" w:rsidRPr="009342F9" w:rsidRDefault="00FC79C1" w:rsidP="005A1FCF">
      <w:pPr>
        <w:spacing w:after="0" w:line="240" w:lineRule="auto"/>
        <w:jc w:val="center"/>
        <w:rPr>
          <w:rFonts w:ascii="Arial" w:eastAsia="Times New Roman" w:hAnsi="Arial" w:cs="Arial"/>
          <w:b/>
          <w:bCs/>
          <w:color w:val="000000"/>
          <w:lang w:eastAsia="es-CO"/>
        </w:rPr>
      </w:pPr>
      <w:bookmarkStart w:id="311" w:name="ver_30069275"/>
      <w:bookmarkEnd w:id="311"/>
      <w:r w:rsidRPr="009342F9">
        <w:rPr>
          <w:rFonts w:ascii="Arial" w:eastAsia="Times New Roman" w:hAnsi="Arial" w:cs="Arial"/>
          <w:b/>
          <w:bCs/>
          <w:color w:val="000000"/>
          <w:lang w:eastAsia="es-CO"/>
        </w:rPr>
        <w:t>SUBSECCIÓN 2</w:t>
      </w:r>
    </w:p>
    <w:p w14:paraId="73F90A76" w14:textId="77777777" w:rsidR="00FC79C1" w:rsidRPr="009342F9" w:rsidRDefault="00FC79C1" w:rsidP="005A1FCF">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SUBSIDIO FAMILIAR DE VIVIENDA URBANO Y RURAL OTORGADO POR CAJAS DE COMPENSACIÓN FAMILIAR</w:t>
      </w:r>
    </w:p>
    <w:p w14:paraId="341353D8"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312" w:name="ver_30069327"/>
      <w:bookmarkEnd w:id="312"/>
    </w:p>
    <w:p w14:paraId="64844C6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2.1.1.1.8.2.1. Objeto. La presente subsección reglamenta el proceso de postulación, asignación y desembolso del subsidio familiar de vivienda de interés social en dinero para áreas urbanas, que otorgan las Cajas de Compensación Familiar obligadas a constituir FOVIS para la atención prioritaria de los hogares afiliados que han perdido la totalidad de su solución de vivienda o que esta haya sido afectada como consecuencia de una situación de desastre, calamidad pública o emergencias que se presenten o puedan acaecer por eventos de origen natural y para aquellos que por causa de estas situaciones queden en condiciones de alto riesgo no mitigable. </w:t>
      </w:r>
    </w:p>
    <w:p w14:paraId="5218F573" w14:textId="77777777" w:rsidR="009342F9" w:rsidRDefault="009342F9" w:rsidP="00FC79C1">
      <w:pPr>
        <w:spacing w:after="0" w:line="240" w:lineRule="auto"/>
        <w:jc w:val="both"/>
        <w:rPr>
          <w:rFonts w:ascii="Arial" w:eastAsia="Times New Roman" w:hAnsi="Arial" w:cs="Arial"/>
          <w:color w:val="000000"/>
          <w:lang w:eastAsia="es-CO"/>
        </w:rPr>
      </w:pPr>
      <w:bookmarkStart w:id="313" w:name="ver_30069328"/>
      <w:bookmarkEnd w:id="313"/>
    </w:p>
    <w:p w14:paraId="65CAE634" w14:textId="28D01742"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2.1.1.1.8.2.2. Valor del subsidio familiar de vivienda urbano. El valor del Subsidio Familiar de Vivienda Urbano otorgado por las Cajas de Compensación Familiar a sus hogares afiliados afectados de que trata esta subsección, en las modalidades de adquisición de vivienda nueva o usada y construcción en sitio propio será de veintidós salarios mínimos mensuales legales vigentes (22 </w:t>
      </w:r>
      <w:proofErr w:type="spellStart"/>
      <w:r w:rsidRPr="009342F9">
        <w:rPr>
          <w:rFonts w:ascii="Arial" w:eastAsia="Times New Roman" w:hAnsi="Arial" w:cs="Arial"/>
          <w:color w:val="000000"/>
          <w:lang w:eastAsia="es-CO"/>
        </w:rPr>
        <w:t>smlmv</w:t>
      </w:r>
      <w:proofErr w:type="spellEnd"/>
      <w:r w:rsidRPr="009342F9">
        <w:rPr>
          <w:rFonts w:ascii="Arial" w:eastAsia="Times New Roman" w:hAnsi="Arial" w:cs="Arial"/>
          <w:color w:val="000000"/>
          <w:lang w:eastAsia="es-CO"/>
        </w:rPr>
        <w:t xml:space="preserve">), y en la modalidad de mejoramiento será de once y medio salarios mínimos mensuales legales vigentes (11.5 </w:t>
      </w:r>
      <w:proofErr w:type="spellStart"/>
      <w:r w:rsidRPr="009342F9">
        <w:rPr>
          <w:rFonts w:ascii="Arial" w:eastAsia="Times New Roman" w:hAnsi="Arial" w:cs="Arial"/>
          <w:color w:val="000000"/>
          <w:lang w:eastAsia="es-CO"/>
        </w:rPr>
        <w:t>smlmv</w:t>
      </w:r>
      <w:proofErr w:type="spellEnd"/>
      <w:r w:rsidRPr="009342F9">
        <w:rPr>
          <w:rFonts w:ascii="Arial" w:eastAsia="Times New Roman" w:hAnsi="Arial" w:cs="Arial"/>
          <w:color w:val="000000"/>
          <w:lang w:eastAsia="es-CO"/>
        </w:rPr>
        <w:t>), sin consideración alguna del puntaje de SISBÉN y de los ingresos de los hogares postulantes. </w:t>
      </w:r>
    </w:p>
    <w:p w14:paraId="33EE58B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9CE600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Parágrafo. En el departamento Archipiélago de San Andrés, Providencia y Santa Catalina el Subsidio Familiar de Vivienda Urbano de que trata esta subsección, será aplicable en las modalidades de adquisición de vivienda nueva o usada, construcción en sitio propio y mejoramiento y su valor será de veintidós salarios mínimos legales mensuales vigentes (22 </w:t>
      </w:r>
      <w:proofErr w:type="spellStart"/>
      <w:r w:rsidRPr="009342F9">
        <w:rPr>
          <w:rFonts w:ascii="Arial" w:eastAsia="Times New Roman" w:hAnsi="Arial" w:cs="Arial"/>
          <w:color w:val="000000"/>
          <w:lang w:eastAsia="es-CO"/>
        </w:rPr>
        <w:t>smlmv</w:t>
      </w:r>
      <w:proofErr w:type="spellEnd"/>
      <w:r w:rsidRPr="009342F9">
        <w:rPr>
          <w:rFonts w:ascii="Arial" w:eastAsia="Times New Roman" w:hAnsi="Arial" w:cs="Arial"/>
          <w:color w:val="000000"/>
          <w:lang w:eastAsia="es-CO"/>
        </w:rPr>
        <w:t>). </w:t>
      </w:r>
    </w:p>
    <w:p w14:paraId="399F7E73" w14:textId="16C2FBC1"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314" w:name="ver_30069329"/>
      <w:bookmarkEnd w:id="314"/>
    </w:p>
    <w:p w14:paraId="36C2C1B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2.1.1.1.8.2.3. Postulantes. Podrán solicitar la asignación prioritaria del Subsidio Familiar de Vivienda de Interés Social Urbano, los hogares conformados por una o más personas afiliadas a las Cajas de Compensación Familiar que hayan perdido la totalidad de su vivienda o esta haya sido afectada como consecuencia de una situación de desastre, calamidad pública o emergencia que se presente o pueda acaecer por eventos de origen natural y para aquellos que por causa de estas situaciones queden en condición de zona de alto riesgo no mitigable conforme a lo dispuesto en la Ley 1523 de 2012. </w:t>
      </w:r>
    </w:p>
    <w:p w14:paraId="19A48F88" w14:textId="3988CCA2"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315" w:name="ver_30069330"/>
      <w:bookmarkEnd w:id="315"/>
    </w:p>
    <w:p w14:paraId="5923170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2.1.1.1.8.2.4. Requisitos y documentos para la postulación. Para efectos de la postulación al Subsidio Familiar de Vivienda Urbana de que trata esta subsección, los hogares deberán cumplir con el requisito único de estar inscritos en los censos oficiales que con ocasión </w:t>
      </w:r>
      <w:r w:rsidRPr="009342F9">
        <w:rPr>
          <w:rFonts w:ascii="Arial" w:eastAsia="Times New Roman" w:hAnsi="Arial" w:cs="Arial"/>
          <w:color w:val="000000"/>
          <w:lang w:eastAsia="es-CO"/>
        </w:rPr>
        <w:lastRenderedPageBreak/>
        <w:t>de desastres, calamidades públicas o emergencias, emita al Comité Local de Prevención y Atención de Desastres avalados por el Comité Regional de Prevención y Atención de Desastres y refrendados por la Dirección de Prevención y Atención de Desastres del Ministerio del Interior y deberán presentar, en las fechas de apertura y cierre de la convocatoria ante la respectiva Caja de Compensación Familiar, el formulario de postulación debidamente diligenciado y firmado por todos los miembros mayores del hogar postulante, en el cual deberá indicarse la modalidad de subsidio familiar de vivienda a la cual se aspira. </w:t>
      </w:r>
    </w:p>
    <w:p w14:paraId="3236E0A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E55253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Con la presentación del formulario de postulación, ante la respectiva Caja de Compensación Familiar, se entenderá que el hogar declara bajo la gravedad de juramento que la información allí contenida corresponde a la verdad, autoriza para verificar la información suministrada, y acepta su exclusión de manera automática del sistema de postulación al subsidio en caso de verificarse falsedad o fraude en la información o la documentación. </w:t>
      </w:r>
    </w:p>
    <w:p w14:paraId="23823BF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6439CE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todo caso, las personas cuyas viviendas hayan sido afectadas por desastres, calamidades públicas o emergencias debidamente decretadas por las autoridades competentes y que figuren en los respectivos censos de que trata el presente artículo, podrán ser beneficiarios del subsidio de vivienda, sin perjuicio de que figuren registrados como propietarios de más de un inmueble en el territorio nacional. </w:t>
      </w:r>
    </w:p>
    <w:p w14:paraId="7AE6C41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1FCE04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En caso de reubicación, para efectos del desembolso del subsidio familiar de vivienda, el hogar deberá demostrar la transferencia del derecho de dominio o posesión del inmueble desalojado a la respectiva entidad territorial mediante certificación expedida por esta. </w:t>
      </w:r>
    </w:p>
    <w:p w14:paraId="6DDD4B54" w14:textId="5DF86FEC" w:rsidR="00FC79C1" w:rsidRPr="009342F9" w:rsidRDefault="00FC79C1" w:rsidP="009342F9">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41990BB"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316" w:name="ver_30069331"/>
      <w:bookmarkEnd w:id="316"/>
      <w:r w:rsidRPr="009342F9">
        <w:rPr>
          <w:rFonts w:ascii="Arial" w:eastAsia="Times New Roman" w:hAnsi="Arial" w:cs="Arial"/>
          <w:color w:val="000000"/>
          <w:lang w:eastAsia="es-CO"/>
        </w:rPr>
        <w:t>Artículo 2.1.1.1.8.2.5. Criterios para la calificación y determinación de los puntajes de las postulaciones. Para efectos de determinar el puntaje de calificación de cada postulación, se dará aplicación a lo dispuesto en los artículos 2.1.1.1.14.1.2 y 2.1.1.1.1.4.1.3 del presente decreto, sumando doscientos (200) puntos adicionales por encontrarse el hogar en situación de desastre, calamidad pública o emergencia que se presente o pueda acaecer por eventos de origen natural y en condiciones de alto riesgo no mitigable. </w:t>
      </w:r>
    </w:p>
    <w:p w14:paraId="192F4C86"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317" w:name="ver_30069332"/>
      <w:bookmarkEnd w:id="317"/>
    </w:p>
    <w:p w14:paraId="4697771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2.1.1.1.8.2.6. Desembolso del subsidio. Para efectos del desembolso del subsidio, el hogar deberá aportar una certificación emitida por la entidad territorial en la que conste que el bien afectado quedó ubicado en zona de alto riesgo no mitigable por situación de desastre, calamidad pública o emergencia, con la consecuente restricción de uso y habitación, de conformidad con lo establecido en el parágrafo 3° del artículo 2.1.1.1.8.1.6. </w:t>
      </w:r>
    </w:p>
    <w:p w14:paraId="2CC4B3AF"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318" w:name="ver_30069333"/>
      <w:bookmarkEnd w:id="318"/>
    </w:p>
    <w:p w14:paraId="112E03B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2.1.1.1.8.2.7. Aspectos no regulados. En los aspectos no contemplados en esta normativa, se dará aplicación a lo dispuesto en la sección 2.1.1.1.1 del presente decreto y las normas que lo sustituyan, modifiquen o adicionen. </w:t>
      </w:r>
    </w:p>
    <w:p w14:paraId="1AF47EB8" w14:textId="45C28A23" w:rsidR="005A1FCF"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319" w:name="ver_30069334"/>
      <w:bookmarkEnd w:id="319"/>
    </w:p>
    <w:p w14:paraId="06C1A23C" w14:textId="0C9DC0A7" w:rsidR="00FC79C1" w:rsidRPr="009342F9" w:rsidRDefault="00FC79C1" w:rsidP="005A1FCF">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SECCIÓN 9</w:t>
      </w:r>
    </w:p>
    <w:p w14:paraId="4D799C6E" w14:textId="77777777" w:rsidR="00FC79C1" w:rsidRPr="009342F9" w:rsidRDefault="00FC79C1" w:rsidP="005A1FCF">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SUBSIDIO FAMILIAR DE VIVIENDA PARA AFECTADOS POR ATENTADOS TERRORISTAS</w:t>
      </w:r>
    </w:p>
    <w:p w14:paraId="4D73107C"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320" w:name="ver_30069335"/>
      <w:bookmarkEnd w:id="320"/>
    </w:p>
    <w:p w14:paraId="524C4DC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2.1.1.1.9.1. Subsidio para poseedores afectados por atentados terroristas. Los hogares afectados por un atentado terrorista, que ostenten a título de posesión el predio afectado, podrán postularse a un subsidio familiar de vivienda en la convocatoria que para el efecto adelante el Fondo Nacional de Vivienda, siempre y cuando demuestren que tienen el inmueble en forma quieta, pacífica e ininterrumpida en los términos de la legislación civil, y lo constaten por cualquiera de los medios probatorios que la misma prevé. </w:t>
      </w:r>
    </w:p>
    <w:p w14:paraId="5451626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138D45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El otorgamiento del subsidio familiar de vivienda no conlleva pronunciamiento alguno sobre la titularidad de derechos reales ni de la posesión sobre el inmueble al cual se le aplique el subsidio. </w:t>
      </w:r>
    </w:p>
    <w:p w14:paraId="0C37266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AC8657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las modalidades de reparación y reconstrucción de vivienda, el hogar postulante deberá presentar el presupuesto de la obra suscrito por un ingeniero o arquitecto que cuente con su respectiva tarjeta profesional, o en su defecto, aprobado por el Jefe de Planeación Municipal o la oficina que se encargue de otorgar las licencias o permisos de construcción. </w:t>
      </w:r>
    </w:p>
    <w:p w14:paraId="34E8E38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56DFB2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1°. En los casos de obra ejecutada, para efectos del desembolso de los subsidios familiares de vivienda de que trata este artículo, aplicados en las modalidades de reconstrucción o reparación de la vivienda afectada, el hogar beneficiario deberá presentar la licencia correspondiente y el certificado de existencia del inmueble expedido por las entidades habilitadas por el Gobierno Nacional para tal fin. </w:t>
      </w:r>
    </w:p>
    <w:p w14:paraId="4748CEB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F2F7AF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Cuando la intervención en el inmueble no amerite la expedición de una licencia, el hogar deberá presentar una certificación suscrita por un ingeniero o arquitecto que cuente con su respectiva tarjeta profesional, donde conste la ejecución de la obra con base en el presupuesto presentado para la postulación. </w:t>
      </w:r>
    </w:p>
    <w:p w14:paraId="6B8CC41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24CBF2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Para todos los demás eventos, se dará cumplimiento a lo establecido en los artículos 2.1.1.1.1.5.1.1 y 2.1.1.1.1.5.1.2 del presente decreto, o la norma que lo modifique, adicione o sustituya y demás normatividad vigente sobre la materia. </w:t>
      </w:r>
    </w:p>
    <w:p w14:paraId="07057BC2" w14:textId="69467F59"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321" w:name="ver_30069336"/>
      <w:bookmarkEnd w:id="321"/>
    </w:p>
    <w:p w14:paraId="78696F5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2.1.1.1.9.2. Subsidio al arrendamiento para población afectada por atentados terroristas. Para el caso de los hogares damnificados por atentados terroristas, el desembolso del subsidio familiar de vivienda otorgado por el Fondo Nacional de Vivienda para el pago del arrendamiento de un </w:t>
      </w:r>
      <w:proofErr w:type="gramStart"/>
      <w:r w:rsidRPr="009342F9">
        <w:rPr>
          <w:rFonts w:ascii="Arial" w:eastAsia="Times New Roman" w:hAnsi="Arial" w:cs="Arial"/>
          <w:color w:val="000000"/>
          <w:lang w:eastAsia="es-CO"/>
        </w:rPr>
        <w:t>inmueble,</w:t>
      </w:r>
      <w:proofErr w:type="gramEnd"/>
      <w:r w:rsidRPr="009342F9">
        <w:rPr>
          <w:rFonts w:ascii="Arial" w:eastAsia="Times New Roman" w:hAnsi="Arial" w:cs="Arial"/>
          <w:color w:val="000000"/>
          <w:lang w:eastAsia="es-CO"/>
        </w:rPr>
        <w:t xml:space="preserve"> se realizará en instalamentos, durante un plazo máximo de 24 meses. </w:t>
      </w:r>
    </w:p>
    <w:p w14:paraId="7FE0F00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3647EB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 entidad otorgante del Subsidio Familiar de Vivienda desembolsará en forma anticipada la totalidad del subsidio a la Cuenta de Ahorro Programado, CAP, del beneficiario, una vez el hogar realice la legalización de la apertura de la cuenta ante la entidad bancaria correspondiente. </w:t>
      </w:r>
    </w:p>
    <w:p w14:paraId="715E851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225271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Los recursos del subsidio familiar de vivienda permanecerán en forma inmovilizada en la cuenta de ahorro programado, hasta el momento en que el beneficiario acredite ante la entidad otorgante del subsidio familiar de vivienda o su operador si lo hubiese, la suscripción del respectivo contrato de arrendamiento de la solución de vivienda, presentando copia </w:t>
      </w:r>
      <w:proofErr w:type="gramStart"/>
      <w:r w:rsidRPr="009342F9">
        <w:rPr>
          <w:rFonts w:ascii="Arial" w:eastAsia="Times New Roman" w:hAnsi="Arial" w:cs="Arial"/>
          <w:color w:val="000000"/>
          <w:lang w:eastAsia="es-CO"/>
        </w:rPr>
        <w:t>del mismo</w:t>
      </w:r>
      <w:proofErr w:type="gramEnd"/>
      <w:r w:rsidRPr="009342F9">
        <w:rPr>
          <w:rFonts w:ascii="Arial" w:eastAsia="Times New Roman" w:hAnsi="Arial" w:cs="Arial"/>
          <w:color w:val="000000"/>
          <w:lang w:eastAsia="es-CO"/>
        </w:rPr>
        <w:t>. Evento en el cual los cánones de arrendamiento serán movilizados semestralmente de manera anticipada directamente al arrendador del inmueble previa constancia de vigencia del contrato que deberá ser suscrita por el beneficiario del subsidio y por el arrendador de la solución de vivienda. </w:t>
      </w:r>
    </w:p>
    <w:p w14:paraId="76586AF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90BD9D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Semestralmente se hará una relación de actualización de contratos de arrendamiento que se encuentren vigentes para efectos de la movilización de los recursos. En todo caso, en el evento de demostrarse que para los procesos de desembolso y movilización del recurso se presentó información falsa o fraudulenta se impondrán las sanciones a que haya lugar de acuerdo con lo dispuesto en la ley. </w:t>
      </w:r>
    </w:p>
    <w:p w14:paraId="1F580042" w14:textId="7CFBAFAA" w:rsidR="005A1FCF"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322" w:name="ver_30069337"/>
      <w:bookmarkEnd w:id="322"/>
    </w:p>
    <w:p w14:paraId="18DCC34C" w14:textId="30AE073A" w:rsidR="00FC79C1" w:rsidRPr="009342F9" w:rsidRDefault="00FC79C1" w:rsidP="005A1FCF">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SECCIÓN 10</w:t>
      </w:r>
    </w:p>
    <w:p w14:paraId="683D01A4" w14:textId="77777777" w:rsidR="00FC79C1" w:rsidRPr="009342F9" w:rsidRDefault="00FC79C1" w:rsidP="005A1FCF">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SUBSIDIO FAMILIAR DE VIVIENDA POR HABILITACIÓN LEGAL DE TÍTULOS</w:t>
      </w:r>
    </w:p>
    <w:p w14:paraId="0774E8EB"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323" w:name="ver_30069338"/>
      <w:bookmarkEnd w:id="323"/>
    </w:p>
    <w:p w14:paraId="2B1827E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Artículo 2.1.1.1.10.1. Habilitación legal de títulos. Se entiende como subsidio familiar de vivienda mediante la habilitación legal de títulos de que trata el artículo 5º de la Ley 3ª de 1991, la opción legal que faculta al tenedor de una vivienda de interés social a acceder al derecho de dominio de la misma, mediante resolución administrativa debidamente registrada, cuando esta se construyó ocupando un predio de propiedad de una entidad pública u ocupando un predio de propiedad privada y este fue adquirido posteriormente por una entidad pública, quedando con la calidad de un bien fiscal que permite la legalización del predio en cabeza de ese tenedor. </w:t>
      </w:r>
    </w:p>
    <w:p w14:paraId="48B5043C" w14:textId="22A750C6"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324" w:name="ver_30069339"/>
      <w:bookmarkEnd w:id="324"/>
    </w:p>
    <w:p w14:paraId="63704CF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2.1.1.1.10.2. Requisitos. El subsidio familiar de vivienda por habilitación legal de títulos se realiza mediante el aporte del bien fiscal o el aporte en dinero para sufragar los costos para la transferencia del dominio si se requieren, previa verificación de los siguientes requisitos: </w:t>
      </w:r>
    </w:p>
    <w:p w14:paraId="66463B8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F67B8E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 Que hayan sido ocupados antes de la fecha de entrada en vigencia de la Ley 708 de 2001, circunstancia que se acreditará mediante certificación expedida por el </w:t>
      </w:r>
      <w:proofErr w:type="gramStart"/>
      <w:r w:rsidRPr="009342F9">
        <w:rPr>
          <w:rFonts w:ascii="Arial" w:eastAsia="Times New Roman" w:hAnsi="Arial" w:cs="Arial"/>
          <w:color w:val="000000"/>
          <w:lang w:eastAsia="es-CO"/>
        </w:rPr>
        <w:t>Alcalde</w:t>
      </w:r>
      <w:proofErr w:type="gramEnd"/>
      <w:r w:rsidRPr="009342F9">
        <w:rPr>
          <w:rFonts w:ascii="Arial" w:eastAsia="Times New Roman" w:hAnsi="Arial" w:cs="Arial"/>
          <w:color w:val="000000"/>
          <w:lang w:eastAsia="es-CO"/>
        </w:rPr>
        <w:t xml:space="preserve"> de la respectiva entidad territorial o por la autoridad en quien este delegue; </w:t>
      </w:r>
    </w:p>
    <w:p w14:paraId="392CB16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29FC86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b) Que la vivienda de interés social se encuentre en un asentamiento legalizado urbanísticamente y que no esté ubicada en zona de alto riesgo, insalubre o que presente peligro para la población, circunstancia que deberá ser certificada por el </w:t>
      </w:r>
      <w:proofErr w:type="gramStart"/>
      <w:r w:rsidRPr="009342F9">
        <w:rPr>
          <w:rFonts w:ascii="Arial" w:eastAsia="Times New Roman" w:hAnsi="Arial" w:cs="Arial"/>
          <w:color w:val="000000"/>
          <w:lang w:eastAsia="es-CO"/>
        </w:rPr>
        <w:t>Alcalde</w:t>
      </w:r>
      <w:proofErr w:type="gramEnd"/>
      <w:r w:rsidRPr="009342F9">
        <w:rPr>
          <w:rFonts w:ascii="Arial" w:eastAsia="Times New Roman" w:hAnsi="Arial" w:cs="Arial"/>
          <w:color w:val="000000"/>
          <w:lang w:eastAsia="es-CO"/>
        </w:rPr>
        <w:t xml:space="preserve"> de la respectiva entidad territorial o por la autoridad que tenga competencia para ello; </w:t>
      </w:r>
    </w:p>
    <w:p w14:paraId="46D8633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6635DF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c) Que el beneficiario del subsidio familiar de vivienda por habilitación legal de </w:t>
      </w:r>
      <w:proofErr w:type="gramStart"/>
      <w:r w:rsidRPr="009342F9">
        <w:rPr>
          <w:rFonts w:ascii="Arial" w:eastAsia="Times New Roman" w:hAnsi="Arial" w:cs="Arial"/>
          <w:color w:val="000000"/>
          <w:lang w:eastAsia="es-CO"/>
        </w:rPr>
        <w:t>títulos,</w:t>
      </w:r>
      <w:proofErr w:type="gramEnd"/>
      <w:r w:rsidRPr="009342F9">
        <w:rPr>
          <w:rFonts w:ascii="Arial" w:eastAsia="Times New Roman" w:hAnsi="Arial" w:cs="Arial"/>
          <w:color w:val="000000"/>
          <w:lang w:eastAsia="es-CO"/>
        </w:rPr>
        <w:t xml:space="preserve"> haya ocupado la vivienda sin mediar una relación legal o contractual con el propietario del predio; </w:t>
      </w:r>
    </w:p>
    <w:p w14:paraId="5D17EE6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A217EA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d) El beneficiario del subsidio familiar de vivienda por habilitación legal de títulos, no podrá ser poseedor o propietario de otra solución de vivienda; </w:t>
      </w:r>
    </w:p>
    <w:p w14:paraId="7205482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FACE3F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 Que el beneficiario del subsidio familiar de vivienda por habilitación legal de títulos no haya sido adjudicatario del Instituto de Crédito Territorial o que no se le hubiere asignado y pagado un subsidio familiar de vivienda, con excepción de aquellos que perdieron la vivienda subsidiada por imposibilidad de pago o que hayan sido beneficiarios del subsidio familiar de vivienda otorgado para mejoramiento; </w:t>
      </w:r>
    </w:p>
    <w:p w14:paraId="36B1792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182B16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f) Que el valor del lote sobre el cual se encuentra construida la solución de vivienda de interés social o del aporte en dinero, no exceda el monto legal máximo vigente fijado para el subsidio familiar de vivienda por el Gobierno Nacional para la correspondiente vigencia fiscal; </w:t>
      </w:r>
    </w:p>
    <w:p w14:paraId="1DDB9DA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D3BA0C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g) Registro de las familias ocupantes efectuado por la autoridad municipal o distrital o, en su defecto por el Instituto Geográfico Agustín Codazzi o los Catastros de Bogotá, Cali, Medellín y Antioquia, en concordancia con lo previsto en la Ley 14 de 1983, con una anterioridad no mayor a un año a la fecha de la resolución de transferencia de dominio; </w:t>
      </w:r>
    </w:p>
    <w:p w14:paraId="4392CF7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22E3A1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h) Certificación expedida por el Instituto Geográfico Agustín Codazzi o los Catastros de Bogotá, Cali, Medellín y Antioquia, de que el predio tiene las características de una vivienda de interés social. </w:t>
      </w:r>
    </w:p>
    <w:p w14:paraId="7278264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6605C9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Parágrafo. La entidad propietaria del inmueble dispondrá la publicación de un aviso en un periódico de amplia circulación del lugar de ubicación del predio, en el cual se indicará el nombre de la familia ocupante, su documento de identidad, la identificación del predio por su nomenclatura, si la posee, el objeto de la actuación y la facultad que tiene todo interesado de </w:t>
      </w:r>
      <w:r w:rsidRPr="009342F9">
        <w:rPr>
          <w:rFonts w:ascii="Arial" w:eastAsia="Times New Roman" w:hAnsi="Arial" w:cs="Arial"/>
          <w:color w:val="000000"/>
          <w:lang w:eastAsia="es-CO"/>
        </w:rPr>
        <w:lastRenderedPageBreak/>
        <w:t>hacerse parte en la misma para lo cual dispondrá de un término no inferior a cinco días hábiles contados a partir de la fecha de publicación del aviso. </w:t>
      </w:r>
    </w:p>
    <w:p w14:paraId="3D0748D5" w14:textId="037F05F3"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325" w:name="ver_30069340"/>
      <w:bookmarkEnd w:id="325"/>
    </w:p>
    <w:p w14:paraId="5B81D91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2.1.1.1.10.3. Procedimiento excepcional de postulación, asignación y transferencia para la habilitación legal de títulos. Se presentará el formulario de postulación ante FONVIVIENDA, para que efectúe la asignación en forma directa a cada familia ocupante, de conformidad con la reglamentación que se expedirá para el efecto. </w:t>
      </w:r>
    </w:p>
    <w:p w14:paraId="1F7111C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FC4E14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los eventos en que se demuestre falsedad en los documentos presentados para acreditar los requisitos para la asignación, se dará aplicación a las sanciones previstas en la Ley 3ª de 1991, todo lo cual será debidamente verificado por la entidad otorgante del subsidio. </w:t>
      </w:r>
    </w:p>
    <w:p w14:paraId="62843B69" w14:textId="04744EAC" w:rsidR="005A1FCF"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326" w:name="ver_30069341"/>
      <w:bookmarkEnd w:id="326"/>
    </w:p>
    <w:p w14:paraId="5F756404" w14:textId="0E0EA2B2" w:rsidR="00FC79C1" w:rsidRPr="009342F9" w:rsidRDefault="00FC79C1" w:rsidP="005A1FCF">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SECCIÓN 11</w:t>
      </w:r>
    </w:p>
    <w:p w14:paraId="358AC92B" w14:textId="77777777" w:rsidR="00FC79C1" w:rsidRPr="009342F9" w:rsidRDefault="00FC79C1" w:rsidP="005A1FCF">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SUBSIDIO FAMILIAR DE VIVIENDA APLICADO A CONTRATOS DE LEASING HABITACIONAL</w:t>
      </w:r>
    </w:p>
    <w:p w14:paraId="285436B0"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327" w:name="ver_30069342"/>
      <w:bookmarkEnd w:id="327"/>
    </w:p>
    <w:p w14:paraId="41C2BD0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2.1.1.1.11.1. Aplicación. La presente sección aplica al proceso de asignación del subsidio familiar de vivienda de interés social urbano, que otorgará el Gobierno Nacional, en la modalidad de leasing habitacional. </w:t>
      </w:r>
    </w:p>
    <w:p w14:paraId="7B4B326E" w14:textId="714282E3"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328" w:name="ver_30069343"/>
      <w:bookmarkEnd w:id="328"/>
    </w:p>
    <w:p w14:paraId="0EDA8EC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2.1.1.1.11.2. Subsidio familiar de vivienda en contratos de leasing habitacional. Es el subsidio familiar de vivienda al que los hogares de todos los municipios del país, independientemente de la categoría que les corresponda según la ley, pueden acceder acreditando la suscripción de un contrato de leasing habitacional, con una entidad autorizada por la Superintendencia Financiera de Colombia para tal fin, cumpliendo con los requisitos establecidos en la presente sección. </w:t>
      </w:r>
    </w:p>
    <w:p w14:paraId="71A4935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1B5D7D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 entidad otorgante del subsidio familiar de vivienda suscribirá convenios con las entidades autorizadas para realizar operaciones de leasing habitacional a fin de definir la operatividad de asignación y pago de los subsidios familiares de vivienda en contratos de leasing habitacional. El Ministerio de Vivienda, Ciudad y Territorio establecerá las condiciones y procedimientos para la suscripción de los convenios de que trata el presente artículo. </w:t>
      </w:r>
    </w:p>
    <w:p w14:paraId="70E6C23A" w14:textId="3ABDD37A"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329" w:name="ver_30069344"/>
      <w:bookmarkEnd w:id="329"/>
    </w:p>
    <w:p w14:paraId="5FB6158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2.1.1.1.11.3. Postulación al subsidio familiar de vivienda. La postulación de los hogares para la obtención de los subsidios de que trata la presente sección, se efectuará de conformidad con lo dispuesto en el artículo 2.1.1.1.1.3.3.1.1 del presente decreto, y se considerarán aceptables la carta de aprobación del leasing habitacional o los contratos de leasing habitacional, suscritos con las entidades autorizadas por la ley para el desarrollo de operaciones de leasing habitacional, con quienes la entidad otorgante del subsidio familiar de vivienda haya suscrito el convenio de que trata el artículo 2.1.1.1.11.2 de la presente sección. </w:t>
      </w:r>
    </w:p>
    <w:p w14:paraId="676553A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548206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adición, la carta de aprobación del leasing habitacional debe contar con el resultado favorable del análisis de riesgo del solicitante o solicitantes, como mínimo, en aquellos aspectos atinentes a su capacidad de pago, comportamiento crediticio, hábitos de pago, confirmación de referencias, información de los solicitantes y las características y condiciones de la operación considerada y sólo podrá ser emitido por las entidades autorizadas para el desarrollo de operaciones de leasing habitacional. </w:t>
      </w:r>
    </w:p>
    <w:p w14:paraId="2B10530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C4F240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Para el acceso al subsidio familiar de vivienda no es necesario que el hogar cuente con ahorro previo, por lo que no se exigirá este requisito en los procesos de postulación. </w:t>
      </w:r>
    </w:p>
    <w:p w14:paraId="378F309A" w14:textId="41B1E040"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330" w:name="ver_30069345"/>
      <w:bookmarkEnd w:id="330"/>
    </w:p>
    <w:p w14:paraId="0B48670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Artículo 2.1.1.1.11.4. Focalización y valor del subsidio familiar de vivienda. Los hogares de bajos ingresos accederán al subsidio familiar de vivienda en contratos de leasing habitacional, por los valores establecidos en el artículo 2.1.1.1.1.1.8 del presente decreto para la modalidad de adquisición de vivienda nueva o usada y el monto se determinará con base en el nivel de ingresos del hogar postulante. </w:t>
      </w:r>
    </w:p>
    <w:p w14:paraId="73A449C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0AF753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Las entidades autorizadas para el desarrollo de operaciones de leasing habitacional o ahorro programado contractual con la evaluación crediticia favorable con las que la entidad otorgante suscriba </w:t>
      </w:r>
      <w:proofErr w:type="gramStart"/>
      <w:r w:rsidRPr="009342F9">
        <w:rPr>
          <w:rFonts w:ascii="Arial" w:eastAsia="Times New Roman" w:hAnsi="Arial" w:cs="Arial"/>
          <w:color w:val="000000"/>
          <w:lang w:eastAsia="es-CO"/>
        </w:rPr>
        <w:t>convenios,</w:t>
      </w:r>
      <w:proofErr w:type="gramEnd"/>
      <w:r w:rsidRPr="009342F9">
        <w:rPr>
          <w:rFonts w:ascii="Arial" w:eastAsia="Times New Roman" w:hAnsi="Arial" w:cs="Arial"/>
          <w:color w:val="000000"/>
          <w:lang w:eastAsia="es-CO"/>
        </w:rPr>
        <w:t xml:space="preserve"> deberán informar a la entidad otorgante el nivel de ingresos del hogar postulante con base en los estudios realizados para determinar su capacidad de pago. </w:t>
      </w:r>
    </w:p>
    <w:p w14:paraId="04FA950C" w14:textId="3FB31A62"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331" w:name="ver_30210169"/>
      <w:bookmarkStart w:id="332" w:name="ver_30069346"/>
      <w:bookmarkEnd w:id="331"/>
    </w:p>
    <w:p w14:paraId="1C34A017" w14:textId="361BCF48"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2.1.1.1.11.5. Aplicación del subsidio familiar de vivienda. El valor total del subsidio familiar de vivienda asignado en contratos de leasing habitacional debe destinarse a la reducción del valor de la vivienda objeto del contrato de leasing habitacional o al pago de la opción de compra de </w:t>
      </w:r>
      <w:proofErr w:type="gramStart"/>
      <w:r w:rsidRPr="009342F9">
        <w:rPr>
          <w:rFonts w:ascii="Arial" w:eastAsia="Times New Roman" w:hAnsi="Arial" w:cs="Arial"/>
          <w:color w:val="000000"/>
          <w:lang w:eastAsia="es-CO"/>
        </w:rPr>
        <w:t>la misma</w:t>
      </w:r>
      <w:proofErr w:type="gramEnd"/>
      <w:r w:rsidRPr="009342F9">
        <w:rPr>
          <w:rFonts w:ascii="Arial" w:eastAsia="Times New Roman" w:hAnsi="Arial" w:cs="Arial"/>
          <w:color w:val="000000"/>
          <w:lang w:eastAsia="es-CO"/>
        </w:rPr>
        <w:t>.  </w:t>
      </w:r>
    </w:p>
    <w:p w14:paraId="63EBD1C0" w14:textId="77777777" w:rsidR="005A1FCF" w:rsidRPr="009342F9" w:rsidRDefault="005A1FCF" w:rsidP="00FC79C1">
      <w:pPr>
        <w:spacing w:after="0" w:line="240" w:lineRule="auto"/>
        <w:jc w:val="both"/>
        <w:rPr>
          <w:rFonts w:ascii="Arial" w:eastAsia="Times New Roman" w:hAnsi="Arial" w:cs="Arial"/>
          <w:color w:val="000000"/>
          <w:lang w:eastAsia="es-CO"/>
        </w:rPr>
      </w:pPr>
    </w:p>
    <w:p w14:paraId="29EE44B5" w14:textId="550803FB" w:rsidR="00FC79C1"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El valor de la vivienda será el estipulado en el contrato de leasing habitacional, y se presumirá que el mismo incluye tanto el valor de los bienes inmuebles como los que presten usos y servicios complementarios o conexos a los mismos tales como parqueaderos, depósitos, buhardillas, terrazas, antejardines o patios. El valor consolidado de la vivienda conforme a lo aquí establecido no podrá superar los ciento treinta y cinco (135) salarios mínimos legales mensuales vigentes, excepto aquellas que se ubiquen en los municipios y distritos detallados en el título 9 de la parte 1 del libro 2 del presente decreto en las cuales el valor podrá ser hasta de ciento cincuenta (150) salarios mínimos legales mensuales vigentes, o cuando se trate de programas y/o proyectos de renovación urbana, en los cuales podrá ser hasta de ciento setenta y cinco (175) salarios mínimos legales mensuales vigentes.  </w:t>
      </w:r>
    </w:p>
    <w:p w14:paraId="2F8DA0FB" w14:textId="77777777" w:rsidR="009342F9" w:rsidRPr="009342F9" w:rsidRDefault="009342F9" w:rsidP="00FC79C1">
      <w:pPr>
        <w:spacing w:after="0" w:line="240" w:lineRule="auto"/>
        <w:jc w:val="both"/>
        <w:rPr>
          <w:rFonts w:ascii="Arial" w:eastAsia="Times New Roman" w:hAnsi="Arial" w:cs="Arial"/>
          <w:color w:val="000000"/>
          <w:lang w:eastAsia="es-CO"/>
        </w:rPr>
      </w:pPr>
    </w:p>
    <w:p w14:paraId="34CEAFF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En la asignación del subsidio familiar de vivienda en contratos de leasing habitacional para ser destinados al pago de la opción de compra en el contrato de leasing habitacional, la entidad otorgante tendrá en cuenta que tal opción, se haga efectiva en un plazo máximo a un (1) año posterior a su postulación.  </w:t>
      </w:r>
    </w:p>
    <w:p w14:paraId="76E9D14E" w14:textId="68DA8F5C"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333" w:name="ver_30069347"/>
      <w:bookmarkEnd w:id="332"/>
      <w:bookmarkEnd w:id="333"/>
    </w:p>
    <w:p w14:paraId="030FA7A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2.1.1.1.11.6. Vigencia del subsidio. La vigencia de los subsidios de vivienda de interés social otorgados de conformidad con la presente sección con cargo a recursos del Presupuesto Nacional es de doce (12) meses calendario contados desde el primer día del mes siguiente a la fecha de la publicación de la resolución de asignación y pueden ser prorrogados hasta por doce (12) meses más, prorrogados mediante resolución expedida por el Ministerio de Vivienda, Ciudad y Territorio. </w:t>
      </w:r>
    </w:p>
    <w:p w14:paraId="0A9F978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783B73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Los subsidios familiares de vivienda otorgados por las Cajas de Compensación Familiar de conformidad con la presente </w:t>
      </w:r>
      <w:proofErr w:type="gramStart"/>
      <w:r w:rsidRPr="009342F9">
        <w:rPr>
          <w:rFonts w:ascii="Arial" w:eastAsia="Times New Roman" w:hAnsi="Arial" w:cs="Arial"/>
          <w:color w:val="000000"/>
          <w:lang w:eastAsia="es-CO"/>
        </w:rPr>
        <w:t>sección,</w:t>
      </w:r>
      <w:proofErr w:type="gramEnd"/>
      <w:r w:rsidRPr="009342F9">
        <w:rPr>
          <w:rFonts w:ascii="Arial" w:eastAsia="Times New Roman" w:hAnsi="Arial" w:cs="Arial"/>
          <w:color w:val="000000"/>
          <w:lang w:eastAsia="es-CO"/>
        </w:rPr>
        <w:t xml:space="preserve"> tienen una vigencia de doce (12) meses, prorrogables mediante acuerdo expedido por su respectivo Consejo Directivo hasta por doce (12) meses más. </w:t>
      </w:r>
    </w:p>
    <w:p w14:paraId="0318557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792C1E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En el caso de subsidios otorgados con cargo a recursos del Presupuesto Nacional, lo dispuesto en el presente artículo operará siempre y cuando exista disponibilidad de recursos y se dé cumplimiento a las normas del Estatuto Orgánico del Presupuesto. </w:t>
      </w:r>
    </w:p>
    <w:p w14:paraId="3C2C1E67" w14:textId="73D100C9"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334" w:name="ver_30069348"/>
      <w:bookmarkEnd w:id="334"/>
    </w:p>
    <w:p w14:paraId="0397271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2.1.1.1.11.7. Giro de los recursos. La entidad otorgante girará el valor del subsidio familiar de vivienda en favor de la entidad otorgante del contrato de leasing habitacional, previa autorización del beneficiario, una vez se acredite ante la entidad otorgante o su operador, la existencia del contrato de leasing habitacional y el recibo a satisfacción de la solución, de </w:t>
      </w:r>
      <w:r w:rsidRPr="009342F9">
        <w:rPr>
          <w:rFonts w:ascii="Arial" w:eastAsia="Times New Roman" w:hAnsi="Arial" w:cs="Arial"/>
          <w:color w:val="000000"/>
          <w:lang w:eastAsia="es-CO"/>
        </w:rPr>
        <w:lastRenderedPageBreak/>
        <w:t>vivienda, para ser aplicado en el esquema del contrato de leasing habitacional en las opciones señaladas en el artículo 2.1.1.1.11.5 de la presente sección. </w:t>
      </w:r>
    </w:p>
    <w:p w14:paraId="58C376B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DAF4B9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Cuando el hogar se hubiese postulado al subsidio familiar de vivienda para ser aplicado en el uso de la opción de compra de la vivienda objeto del leasing habitacional, el giro de los recursos se efectuará en los valores exactos para cubrir tal opción de compra, siempre y cuando esta no sea superior al valor del subsidio familiar de vivienda. </w:t>
      </w:r>
    </w:p>
    <w:p w14:paraId="28F491C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989BE5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Los documentos necesarios para el desembolso de los recursos y las condiciones para el giro de </w:t>
      </w:r>
      <w:proofErr w:type="gramStart"/>
      <w:r w:rsidRPr="009342F9">
        <w:rPr>
          <w:rFonts w:ascii="Arial" w:eastAsia="Times New Roman" w:hAnsi="Arial" w:cs="Arial"/>
          <w:color w:val="000000"/>
          <w:lang w:eastAsia="es-CO"/>
        </w:rPr>
        <w:t>los mismos</w:t>
      </w:r>
      <w:proofErr w:type="gramEnd"/>
      <w:r w:rsidRPr="009342F9">
        <w:rPr>
          <w:rFonts w:ascii="Arial" w:eastAsia="Times New Roman" w:hAnsi="Arial" w:cs="Arial"/>
          <w:color w:val="000000"/>
          <w:lang w:eastAsia="es-CO"/>
        </w:rPr>
        <w:t xml:space="preserve"> serán los señalados por el Ministerio de Vivienda, Ciudad y Territorio mediante resolución. </w:t>
      </w:r>
    </w:p>
    <w:p w14:paraId="32764C40" w14:textId="77777777" w:rsidR="009342F9" w:rsidRDefault="009342F9" w:rsidP="00FC79C1">
      <w:pPr>
        <w:spacing w:after="0" w:line="240" w:lineRule="auto"/>
        <w:jc w:val="both"/>
        <w:rPr>
          <w:rFonts w:ascii="Arial" w:eastAsia="Times New Roman" w:hAnsi="Arial" w:cs="Arial"/>
          <w:color w:val="000000"/>
          <w:lang w:eastAsia="es-CO"/>
        </w:rPr>
      </w:pPr>
      <w:bookmarkStart w:id="335" w:name="ver_30069349"/>
      <w:bookmarkEnd w:id="335"/>
    </w:p>
    <w:p w14:paraId="4C6354F8" w14:textId="6E4D9C69"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2.1.1.1.11.8. Restitución del subsidio en caso de no uso de la opción de compra. En el caso en que el hogar beneficiario del subsidio familiar de vivienda deje de habitar en la solución de vivienda por incumplimiento del contrato de leasing, dentro del plazo de diez (10) años contados a partir de la fecha de expedición del documento que acredita su asignación, debe restituirse a la entidad otorgante, por parte de la entidad con quien el beneficiario del subsidio familiar de vivienda suscribió el contrato de leasing habitacional, en la proporción no utilizada del subsidio familiar de vivienda en lo que resta del contrato. El Ministerio de Vivienda, Ciudad y Territorio establecerá las condiciones y el procedimiento de restitución de que trata el presente artículo. </w:t>
      </w:r>
    </w:p>
    <w:p w14:paraId="2D154B0A" w14:textId="77777777" w:rsid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336" w:name="ver_30069350"/>
      <w:bookmarkEnd w:id="336"/>
    </w:p>
    <w:p w14:paraId="2005208F" w14:textId="670E5D11"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2.1.1.1.11.9. Subsidios por cajas de compensación familiar. Las Cajas de Compensación Familiar podrán otorgar subsidios familiares de vivienda para ser aplicados en contratos de leasing habitacional celebrados con entidades autorizadas por la Superintendencia Financiera de Colombia para tal fin, de conformidad con la aprobación y directrices que impartan sus Consejos Directivos y el plan anual de ejecución de recursos del FOVIS, así como en aplicación de la presente sección, la subsección 6 de la sección 2.1.1.1.1 del presente decreto y las demás normas concordantes. </w:t>
      </w:r>
    </w:p>
    <w:p w14:paraId="1E049534" w14:textId="367C996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337" w:name="ver_30069351"/>
      <w:bookmarkEnd w:id="337"/>
    </w:p>
    <w:p w14:paraId="30DC9F3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2.1.1.1.11.10. Aplicación de otros subsidios asignados. Los subsidios familiares de vivienda otorgados en la modalidad de adquisición de vivienda nueva o usada, con anterioridad al 16 de febrero de 2012, por el Fondo Nacional de Vivienda o las Cajas de Compensación Familiar, podrán ser aplicados para leasing habitacional, en el respectivo departamento al cual se postuló, siempre y cuando se cumplan los requisitos dispuestos en la presente sección, se encuentren vigentes, no cobrados y no estén vinculados a procesos de compraventa, de conformidad con el procedimiento que fije para el efecto el Ministerio de Vivienda, Ciudad y Territorio. </w:t>
      </w:r>
    </w:p>
    <w:p w14:paraId="1AD4EB1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54B3FE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En todo caso, la aplicación de los subsidios familiares en contratos de leasing habitacional de que trata la presente </w:t>
      </w:r>
      <w:proofErr w:type="gramStart"/>
      <w:r w:rsidRPr="009342F9">
        <w:rPr>
          <w:rFonts w:ascii="Arial" w:eastAsia="Times New Roman" w:hAnsi="Arial" w:cs="Arial"/>
          <w:color w:val="000000"/>
          <w:lang w:eastAsia="es-CO"/>
        </w:rPr>
        <w:t>sección,</w:t>
      </w:r>
      <w:proofErr w:type="gramEnd"/>
      <w:r w:rsidRPr="009342F9">
        <w:rPr>
          <w:rFonts w:ascii="Arial" w:eastAsia="Times New Roman" w:hAnsi="Arial" w:cs="Arial"/>
          <w:color w:val="000000"/>
          <w:lang w:eastAsia="es-CO"/>
        </w:rPr>
        <w:t xml:space="preserve"> no significará un aumento en el valor del subsidio. </w:t>
      </w:r>
    </w:p>
    <w:p w14:paraId="62DF280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60F8DD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Los hogares beneficiarios del subsidio familiar de vivienda para población en situación de desplazamiento dispuesto en la sección 2.1.1.1.2 del presente decreto, podrán aplicar los subsidios familiares de vivienda asignados y no aplicados, en contratos de leasing habitacional cumpliendo las condiciones definidas en la presente sección. </w:t>
      </w:r>
    </w:p>
    <w:p w14:paraId="757831AE" w14:textId="75D41B78"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338" w:name="ver_30069352"/>
      <w:bookmarkEnd w:id="338"/>
    </w:p>
    <w:p w14:paraId="1F16E27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2.1.1.1.11.11. Remisión y referencias normativas. En lo no dispuesto en la presente sección dese cumplimiento a lo dispuesto en la sección 2.1.1.1.1 del presente decreto, en las normas del sector financiero del Decreto Único del Sector de Hacienda y Crédito Público y las demás normas concordantes, Todas las referencias que hagan las disposiciones legales vigentes </w:t>
      </w:r>
      <w:r w:rsidRPr="009342F9">
        <w:rPr>
          <w:rFonts w:ascii="Arial" w:eastAsia="Times New Roman" w:hAnsi="Arial" w:cs="Arial"/>
          <w:color w:val="000000"/>
          <w:lang w:eastAsia="es-CO"/>
        </w:rPr>
        <w:lastRenderedPageBreak/>
        <w:t>a la Bolsa de Ahorro Voluntario Contractual con Evaluación Crediticia Favorable, deben entenderse referidas a la Bolsa para Postulaciones de Ahorro Programado Contractual con Evaluación Crediticia Favorable, Leasing Habitacional y Arrendamiento con Opción de Compra. </w:t>
      </w:r>
    </w:p>
    <w:p w14:paraId="4B58AC56" w14:textId="5C09E47E" w:rsidR="005A1FCF"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339" w:name="ver_30069353"/>
      <w:bookmarkEnd w:id="339"/>
    </w:p>
    <w:p w14:paraId="75E9B6EC" w14:textId="24F0F7A1" w:rsidR="00FC79C1" w:rsidRPr="009342F9" w:rsidRDefault="00FC79C1" w:rsidP="005A1FCF">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SECCIÓN 12</w:t>
      </w:r>
    </w:p>
    <w:p w14:paraId="221B829C" w14:textId="77777777" w:rsidR="00FC79C1" w:rsidRPr="009342F9" w:rsidRDefault="00FC79C1" w:rsidP="005A1FCF">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TRANSFERENCIA DE RECURSOS DEL SUBSIDIO FAMILIAR DE VIVIENDA A CUENTAS DE AHORRO</w:t>
      </w:r>
    </w:p>
    <w:p w14:paraId="146E4C5A"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340" w:name="ver_30069354"/>
      <w:bookmarkEnd w:id="340"/>
    </w:p>
    <w:p w14:paraId="6673DC9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2.1.1.1.12.1. Transferencia del subsidio familiar de vivienda urbana a cuentas de ahorro. En los casos de subsidios familiares de vivienda urbana, asignados por el Fondo Nacional de Vivienda, FONVIVIENDA, en las modalidades de adquisición de vivienda nueva, usada, construcción en sitio propio y arrendamiento, definidas en la normatividad vigente, a los hogares beneficiarios a través de las bolsas de recuperadores de residuos reciclables, afectados por situación de desastre, calamidad pública o emergencia, damnificados por atentados terroristas, hogares que tengan como miembro a concejales que pertenezcan a municipios de categorías 4, 5 y 6, postulación de ahorro programado contractual con evaluación crediticia favorable y de los Concursos de Esfuerzo Territorial Nacional y Departamental, la entidad otorgante podrá abrir una cuenta de ahorro a nombre del beneficiario y transferir la totalidad del valor del subsidio familiar de vivienda urbana asignado. </w:t>
      </w:r>
    </w:p>
    <w:p w14:paraId="05E2095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B8CED7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Para efectos de la movilización de estos recursos de la cuenta de ahorro al oferente o al encargo fiduciario, el giro sólo se efectuará, previa autorización de la entidad otorgante, en los términos y condiciones establecidos en la subsección 5 de la sección 2.1.1.1.1 del presente decreto y las normas que lo modifiquen, adicionen o sustituyan. </w:t>
      </w:r>
    </w:p>
    <w:p w14:paraId="787F34D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31BF06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La transferencia de que trata esta sección se sujetará a la disponibilidad presupuestal de los recursos, la apertura de la cuenta de ahorro, la aprobación del programa Anual Mensualizado de Caja, PAC, y al situado de fondos por parte de la Dirección General de Crédito Público y Tesoro Nacional del Ministerio de Hacienda y Crédito Público. </w:t>
      </w:r>
    </w:p>
    <w:p w14:paraId="21E3866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0A7DA1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El Ministerio de Vivienda, Ciudad y Territorio deberá dar prioridad al pago de las obligaciones a que hace referencia la presente sección, con el cupo de –PAC– básico comunicado y asignado por el Ministerio de Hacienda y Crédito Público. </w:t>
      </w:r>
    </w:p>
    <w:p w14:paraId="39044CF3" w14:textId="069725D9" w:rsidR="005A1FCF"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341" w:name="ver_30069355"/>
      <w:bookmarkEnd w:id="341"/>
    </w:p>
    <w:p w14:paraId="6310C103" w14:textId="23D838B5" w:rsidR="00FC79C1" w:rsidRPr="009342F9" w:rsidRDefault="00FC79C1" w:rsidP="005A1FCF">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CAPÍTULO 2</w:t>
      </w:r>
    </w:p>
    <w:p w14:paraId="14C9770B" w14:textId="77777777" w:rsidR="00FC79C1" w:rsidRDefault="00FC79C1" w:rsidP="005A1FCF">
      <w:pPr>
        <w:spacing w:after="0" w:line="240" w:lineRule="auto"/>
        <w:jc w:val="center"/>
        <w:rPr>
          <w:rFonts w:ascii="Arial" w:eastAsia="Times New Roman" w:hAnsi="Arial" w:cs="Arial"/>
          <w:b/>
          <w:bCs/>
          <w:color w:val="000000"/>
          <w:lang w:eastAsia="es-CO"/>
        </w:rPr>
      </w:pPr>
      <w:r w:rsidRPr="231E957E">
        <w:rPr>
          <w:rFonts w:ascii="Arial" w:eastAsia="Times New Roman" w:hAnsi="Arial" w:cs="Arial"/>
          <w:b/>
          <w:color w:val="000000" w:themeColor="text1"/>
          <w:lang w:eastAsia="es-CO"/>
        </w:rPr>
        <w:t>SUBSIDIO FAMILIAR DE VIVIENDA EN ESPECIE</w:t>
      </w:r>
    </w:p>
    <w:p w14:paraId="789B1694" w14:textId="77777777" w:rsidR="007C7D44" w:rsidRPr="009342F9" w:rsidRDefault="007C7D44" w:rsidP="005A1FCF">
      <w:pPr>
        <w:spacing w:after="0" w:line="240" w:lineRule="auto"/>
        <w:jc w:val="center"/>
        <w:rPr>
          <w:rFonts w:ascii="Arial" w:eastAsia="Times New Roman" w:hAnsi="Arial" w:cs="Arial"/>
          <w:b/>
          <w:bCs/>
          <w:color w:val="000000"/>
          <w:lang w:eastAsia="es-CO"/>
        </w:rPr>
      </w:pPr>
    </w:p>
    <w:p w14:paraId="0FE8AA81" w14:textId="77777777" w:rsidR="00FC79C1" w:rsidRPr="009342F9" w:rsidRDefault="00FC79C1" w:rsidP="005A1FCF">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SECCIÓN 1</w:t>
      </w:r>
    </w:p>
    <w:p w14:paraId="6BE1D19B" w14:textId="77777777" w:rsidR="00FC79C1" w:rsidRDefault="00FC79C1" w:rsidP="005A1FCF">
      <w:pPr>
        <w:spacing w:after="0" w:line="240" w:lineRule="auto"/>
        <w:jc w:val="center"/>
        <w:rPr>
          <w:rFonts w:ascii="Arial" w:eastAsia="Times New Roman" w:hAnsi="Arial" w:cs="Arial"/>
          <w:b/>
          <w:bCs/>
          <w:color w:val="000000"/>
          <w:lang w:eastAsia="es-CO"/>
        </w:rPr>
      </w:pPr>
      <w:r w:rsidRPr="231E957E">
        <w:rPr>
          <w:rFonts w:ascii="Arial" w:eastAsia="Times New Roman" w:hAnsi="Arial" w:cs="Arial"/>
          <w:b/>
          <w:color w:val="000000" w:themeColor="text1"/>
          <w:lang w:eastAsia="es-CO"/>
        </w:rPr>
        <w:t>SUBSIDIO FAMILIAR DE VIVIENDA 100% EN ESPECIE</w:t>
      </w:r>
    </w:p>
    <w:p w14:paraId="486AB4B5" w14:textId="77777777" w:rsidR="007C7D44" w:rsidRPr="009342F9" w:rsidRDefault="007C7D44" w:rsidP="005A1FCF">
      <w:pPr>
        <w:spacing w:after="0" w:line="240" w:lineRule="auto"/>
        <w:jc w:val="center"/>
        <w:rPr>
          <w:rFonts w:ascii="Arial" w:eastAsia="Times New Roman" w:hAnsi="Arial" w:cs="Arial"/>
          <w:b/>
          <w:bCs/>
          <w:color w:val="000000"/>
          <w:lang w:eastAsia="es-CO"/>
        </w:rPr>
      </w:pPr>
    </w:p>
    <w:p w14:paraId="513310BB" w14:textId="77777777" w:rsidR="00FC79C1" w:rsidRPr="009342F9" w:rsidRDefault="00FC79C1" w:rsidP="005A1FCF">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SUBSECCIÓN 1</w:t>
      </w:r>
    </w:p>
    <w:p w14:paraId="2F15C5A7" w14:textId="77777777" w:rsidR="00FC79C1" w:rsidRPr="009342F9" w:rsidRDefault="00FC79C1" w:rsidP="005A1FCF">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GENERALIDADES DEL SUBSIDIO FAMILIAR DE VIVIENDA EN ESPECIE</w:t>
      </w:r>
    </w:p>
    <w:p w14:paraId="714C6AD6"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342" w:name="ver_30069356"/>
      <w:bookmarkEnd w:id="342"/>
    </w:p>
    <w:p w14:paraId="1BAB856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2.1.1.2.1.1.1. Objeto. La presente sección reglamenta la metodología para la focalización, identificación y selección de los hogares potencialmente beneficiarios del subsidio familiar de vivienda 100% en especie (SFVE), así como los criterios para la asignación y legalización del referido subsidio, en el marco del programa de vivienda gratuita dirigido a los hogares de que trata el artículo 12 de la Ley 1537 de 2012. </w:t>
      </w:r>
    </w:p>
    <w:p w14:paraId="2303D1E2" w14:textId="5781062A"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343" w:name="ver_30167086"/>
      <w:bookmarkStart w:id="344" w:name="ver_30069357"/>
      <w:bookmarkEnd w:id="343"/>
    </w:p>
    <w:p w14:paraId="64978FE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2.1.1.2.1.1.2. Definiciones. Para los efectos de la presente sección se adoptan las siguientes definiciones:  </w:t>
      </w:r>
    </w:p>
    <w:p w14:paraId="2577C79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w:t>
      </w:r>
    </w:p>
    <w:p w14:paraId="7F2FBFD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Subsidio Familiar 100% de Vivienda en Especie (SFVE): Para efectos de esta sección, este subsidio equivale a la transferencia de una vivienda de interés prioritario al beneficiario.  </w:t>
      </w:r>
    </w:p>
    <w:p w14:paraId="65DEB35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B9287D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Programa de Vivienda Gratuita: Es el programa que adelanta el Gobierno nacional con el propósito de entregar viviendas de interés prioritario, a título de subsidio en especie, a la población vulnerable referida en el artículo 12 de la Ley 1537 de 2012.  </w:t>
      </w:r>
    </w:p>
    <w:p w14:paraId="2F72134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65A724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Identificación de potenciales beneficiarios: Proceso mediante el cual el Departamento Administrativo para la Prosperidad Social, con fundamento en la información actualizada suministrada por las entidades correspondientes, determina los potenciales beneficiarios del SFVE teniendo en cuenta los porcentajes de composición poblacional del proyecto y atendiendo los criterios de priorización determinados en la presente sección.  </w:t>
      </w:r>
    </w:p>
    <w:p w14:paraId="16DE94F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406722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Potencial beneficiario: Miembro del hogar, mayor de edad, jefe del hogar, o persona que representa al hogar y que se encuentra individualmente en alguna de las fuentes de información primaria que defina el Departamento Administrativo para la Prosperidad Social mediante resolución, y con las cuales se conforman los listados de personas y familias potencialmente beneficiarias.  </w:t>
      </w:r>
    </w:p>
    <w:p w14:paraId="3656C7A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A36C24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Hogar: Una o más personas que integren el mismo grupo familiar, unidas o no por vínculos de parentesco, incluidos los cónyuges, las uniones maritales de hecho y las parejas del mismo sexo, que compartan un mismo espacio habitacional. Los hogares podrán estar conformados por menores de edad cuando sus padres hayan fallecido, estén desaparecidos o estén privados de la libertad, o hayan sido privados de la patria potestad. En este caso la postulación se realizará a través del tutor y/o curador en acompañamiento del defensor de familia.  </w:t>
      </w:r>
    </w:p>
    <w:p w14:paraId="61C767B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9E1EBF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Hogar potencial beneficiario: Es el hogar que cuenta con uno o varios miembros registrado(s) en alguna de las bases de identificación enumeradas en el artículo 2.1.1.2.1.2.1 de la presente sección y que resulte incluido en los listados que elabora el Departamento Administrativo para la Prosperidad Social, una vez aplicados los criterios de priorización definidos en el artículo 2.1.1.2.1.2.3.  </w:t>
      </w:r>
    </w:p>
    <w:p w14:paraId="2B25FD1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B6BCC3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Postulación: Es la solicitud individual realizada por el hogar potencialmente beneficiario, suscrita por todos los miembros mayores de edad, con el objeto de formar parte del proceso de selección y asignación del SFVE.  </w:t>
      </w:r>
    </w:p>
    <w:p w14:paraId="21878C1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8171EDB" w14:textId="77777777" w:rsidR="00FC79C1" w:rsidRDefault="00FC79C1" w:rsidP="00FC79C1">
      <w:pPr>
        <w:spacing w:after="0" w:line="240" w:lineRule="auto"/>
        <w:jc w:val="both"/>
        <w:rPr>
          <w:rFonts w:ascii="Arial" w:eastAsia="Times New Roman" w:hAnsi="Arial" w:cs="Arial"/>
          <w:color w:val="000000"/>
          <w:lang w:eastAsia="es-CO"/>
        </w:rPr>
      </w:pPr>
      <w:r w:rsidRPr="231E957E">
        <w:rPr>
          <w:rFonts w:ascii="Arial" w:eastAsia="Times New Roman" w:hAnsi="Arial" w:cs="Arial"/>
          <w:color w:val="000000" w:themeColor="text1"/>
          <w:lang w:eastAsia="es-CO"/>
        </w:rPr>
        <w:t>Hogar postulante: Es el hogar que realiza la postulación ante el Fondo Nacional de Vivienda (Fonvivienda) o el operador que este designe, para que este verifique si cumple con las condiciones y requisitos establecidos en esta sección para acceder al subsidio.  </w:t>
      </w:r>
    </w:p>
    <w:p w14:paraId="545078A7" w14:textId="77777777" w:rsidR="007C7D44" w:rsidRPr="009342F9" w:rsidRDefault="007C7D44" w:rsidP="00FC79C1">
      <w:pPr>
        <w:spacing w:after="0" w:line="240" w:lineRule="auto"/>
        <w:jc w:val="both"/>
        <w:rPr>
          <w:rFonts w:ascii="Arial" w:eastAsia="Times New Roman" w:hAnsi="Arial" w:cs="Arial"/>
          <w:color w:val="000000"/>
          <w:lang w:eastAsia="es-CO"/>
        </w:rPr>
      </w:pPr>
    </w:p>
    <w:p w14:paraId="5A07AE1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Grupo de población: Conjunto de individuos que cumple con alguna de las condiciones para ser beneficiario del SFVE, definidas en el inciso 2 del artículo 12 de la Ley 1537 de 2012. Cada condición será entendida como un “grupo de población” para efectos de lo establecido en la presente sección.  </w:t>
      </w:r>
    </w:p>
    <w:p w14:paraId="73AEB63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090701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Composición Poblacional: Es el resultado de la suma de todos los porcentajes por “grupo de población” establecidos para cada proyecto de vivienda que se desarrolle en el marco del programa de vivienda gratuita.  </w:t>
      </w:r>
    </w:p>
    <w:p w14:paraId="1028C04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664434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Asignación: Es el acto administrativo de Fonvivienda, en su condición de entidad otorgante, que define quiénes son los beneficiarios del SFVE, y que se emite como resultado del proceso de identificación, postulación y selección de los potenciales beneficiarios.  </w:t>
      </w:r>
    </w:p>
    <w:p w14:paraId="4F76919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2BC965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Proyectos indemnizados, en incumplimiento o paralizados: Situaciones administrativas de proyectos de vivienda desarrollados en programas o bolsas anteriores a la expedición de la Ley 1537 de 2012, definidas mediante acto administrativo de Fonvivienda”.  </w:t>
      </w:r>
    </w:p>
    <w:p w14:paraId="67E14A52" w14:textId="77777777" w:rsidR="00FC79C1" w:rsidRPr="009342F9" w:rsidRDefault="00FC79C1" w:rsidP="00FC79C1">
      <w:pPr>
        <w:spacing w:after="0" w:line="240" w:lineRule="auto"/>
        <w:jc w:val="both"/>
        <w:rPr>
          <w:rFonts w:ascii="Arial" w:eastAsia="Times New Roman" w:hAnsi="Arial" w:cs="Arial"/>
          <w:color w:val="000000"/>
          <w:lang w:eastAsia="es-CO"/>
        </w:rPr>
      </w:pPr>
    </w:p>
    <w:p w14:paraId="76A62CC2"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345" w:name="ver_30069358"/>
      <w:bookmarkEnd w:id="344"/>
      <w:bookmarkEnd w:id="345"/>
      <w:r w:rsidRPr="009342F9">
        <w:rPr>
          <w:rFonts w:ascii="Arial" w:eastAsia="Times New Roman" w:hAnsi="Arial" w:cs="Arial"/>
          <w:color w:val="000000"/>
          <w:lang w:eastAsia="es-CO"/>
        </w:rPr>
        <w:t>Artículo 2.1.1.2.1.1.3. Cobertura. El subsidio familiar de vivienda en especie de que trata esta sección tendrá cobertura nacional en suelo urbano y se aplica a todas las zonas definidas como suelo urbano en los Planes de Ordenamiento Territorial de cada municipio del país. </w:t>
      </w:r>
    </w:p>
    <w:p w14:paraId="0ADB00A5" w14:textId="62A49882"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346" w:name="ver_30069359"/>
      <w:bookmarkEnd w:id="346"/>
    </w:p>
    <w:p w14:paraId="0EB478C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2.1.1.2.1.1.4. Criterios de definición de composición poblacional. El Fondo Nacional de Vivienda, mediante acto administrativo establecerá los criterios que le permitan definir el porcentaje de población beneficiaria para cada grupo de población de que trata el artículo 12 de la Ley 1537 de 2012, con el fin de determinar la composición poblacional de cada proyecto de vivienda que se desarrolle en el marco del programa de vivienda gratuita. </w:t>
      </w:r>
    </w:p>
    <w:p w14:paraId="3DAF9583" w14:textId="6939A96C"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347" w:name="ver_30069360"/>
      <w:bookmarkEnd w:id="347"/>
    </w:p>
    <w:p w14:paraId="1407902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2.1.1.2.1.1.5. Información sobre los proyectos en que se desarrollan o desarrollarán las viviendas a ser asignadas a título de subsidio en especie. El Fondo Nacional de Vivienda (FONVIVIENDA) remitirá al Departamento Administrativo para la Prosperidad Social (DPS), la información de los proyectos seleccionados o que se desarrollen en el marco del programa de vivienda gratuita, indicando el departamento y municipio donde se desarrolla o desarrollará el proyecto, el número de viviendas a ser transferidas a título de subsidio en especie y los porcentajes de composición poblacional de acuerdo con los criterios señalados en el artículo 2.1.1.2.1.1.4 de esta sección, para que el DPS en el término de un (1) mes calendario contado a partir del momento de recibo de la información, entregue al Fondo Nacional de Vivienda la resolución con el listado de potenciales beneficiarios para cada uno de los proyectos. </w:t>
      </w:r>
    </w:p>
    <w:p w14:paraId="01318ED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541BF2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El tiempo de entrega del listado de potenciales beneficiarios podrá ser modificado conjuntamente por el Fondo Nacional de Vivienda y el DPS, mediante acta. </w:t>
      </w:r>
    </w:p>
    <w:p w14:paraId="6DD02FFE" w14:textId="0380908C" w:rsidR="005A1FCF"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348" w:name="ver_30069361"/>
      <w:bookmarkEnd w:id="348"/>
    </w:p>
    <w:p w14:paraId="60417E65" w14:textId="7508CDE8" w:rsidR="00FC79C1" w:rsidRPr="009342F9" w:rsidRDefault="00FC79C1" w:rsidP="005A1FCF">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SUBSECCIÓN 2</w:t>
      </w:r>
    </w:p>
    <w:p w14:paraId="4B9ADEEE" w14:textId="77777777" w:rsidR="00FC79C1" w:rsidRPr="009342F9" w:rsidRDefault="00FC79C1" w:rsidP="005A1FCF">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IDENTIFICACIÓN, SELECCIÓN Y POSTULACIÓN DE POTENCIALES BENEFICIARIOS</w:t>
      </w:r>
    </w:p>
    <w:p w14:paraId="0F671C11" w14:textId="77777777" w:rsidR="00FC79C1" w:rsidRPr="009342F9" w:rsidRDefault="00FC79C1" w:rsidP="005A1FCF">
      <w:pPr>
        <w:spacing w:after="0" w:line="240" w:lineRule="auto"/>
        <w:jc w:val="center"/>
        <w:rPr>
          <w:rFonts w:ascii="Arial" w:eastAsia="Times New Roman" w:hAnsi="Arial" w:cs="Arial"/>
          <w:b/>
          <w:bCs/>
          <w:color w:val="000000"/>
          <w:lang w:eastAsia="es-CO"/>
        </w:rPr>
      </w:pPr>
      <w:bookmarkStart w:id="349" w:name="ver_30069362"/>
      <w:bookmarkEnd w:id="349"/>
    </w:p>
    <w:p w14:paraId="01AC763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2.1.1.2.1.2.1. Identificación de potenciales beneficiarios. Para efectos de la aplicación de esta sección se hace uso exclusivo de los siguientes listados o bases de datos, proporcionados por las entidades competentes: </w:t>
      </w:r>
    </w:p>
    <w:p w14:paraId="5040051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310B09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Sistema de información de la Red para la Superación de la Pobreza Extrema Unidos (</w:t>
      </w:r>
      <w:proofErr w:type="spellStart"/>
      <w:r w:rsidRPr="009342F9">
        <w:rPr>
          <w:rFonts w:ascii="Arial" w:eastAsia="Times New Roman" w:hAnsi="Arial" w:cs="Arial"/>
          <w:color w:val="000000"/>
          <w:lang w:eastAsia="es-CO"/>
        </w:rPr>
        <w:t>Siunidos</w:t>
      </w:r>
      <w:proofErr w:type="spellEnd"/>
      <w:r w:rsidRPr="009342F9">
        <w:rPr>
          <w:rFonts w:ascii="Arial" w:eastAsia="Times New Roman" w:hAnsi="Arial" w:cs="Arial"/>
          <w:color w:val="000000"/>
          <w:lang w:eastAsia="es-CO"/>
        </w:rPr>
        <w:t>) o la que haga sus veces. </w:t>
      </w:r>
    </w:p>
    <w:p w14:paraId="7253117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7D17A5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Sistema de identificación para potenciales beneficiarios de los programas sociales -SISBÉN III o el que haga sus veces </w:t>
      </w:r>
    </w:p>
    <w:p w14:paraId="3A5018E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DD91F8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Registro Único de Población Desplazada (RUPD) o el que haga sus veces. </w:t>
      </w:r>
    </w:p>
    <w:p w14:paraId="7D9B594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BBDE85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Sistema de Información del Subsidio Familiar de Vivienda Administrado por FONVIVIENDA o el que haga sus veces con los hogares que hayan sido beneficiarios de un subsidio familiar de vivienda urbano que se encuentre sin aplicar u hogares que se encuentren en estado “Calificado”. </w:t>
      </w:r>
    </w:p>
    <w:p w14:paraId="4F86435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CD156B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5. Sistema de Información del Subsidio Familiar de Vivienda Administrado por FONVIVIENDA o el que haga sus veces con los hogares que hayan sido beneficiarios de un subsidio familiar de vivienda urbano asignado en la bolsa de desastres naturales que se encuentre sin aplicar. </w:t>
      </w:r>
    </w:p>
    <w:p w14:paraId="35F9621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B3590BB" w14:textId="66CE2712"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El DPS definirá mediante resolución cuál es el corte de información de las bases de datos antes mencionadas que utilizará en la identificación de los potenciales beneficiarios del SFVE. </w:t>
      </w:r>
    </w:p>
    <w:p w14:paraId="0DBDCADD" w14:textId="77777777" w:rsidR="005A1FCF" w:rsidRPr="009342F9" w:rsidRDefault="005A1FCF" w:rsidP="00FC79C1">
      <w:pPr>
        <w:spacing w:after="0" w:line="240" w:lineRule="auto"/>
        <w:jc w:val="both"/>
        <w:rPr>
          <w:rFonts w:ascii="Arial" w:eastAsia="Times New Roman" w:hAnsi="Arial" w:cs="Arial"/>
          <w:color w:val="000000"/>
          <w:lang w:eastAsia="es-CO"/>
        </w:rPr>
      </w:pPr>
    </w:p>
    <w:p w14:paraId="10FE377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el caso de los hogares damnificados por desastre natural, calamidad pública o emergencia, y aquellos hogares localizados en zonas de alto riesgo no mitigable, los listados a utilizar serán los siguientes: </w:t>
      </w:r>
    </w:p>
    <w:p w14:paraId="03A3A34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7BBD81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 Listado de hogares con subsidio familiar de vivienda urbana sin aplicar, asignado en la bolsa de desastres naturales remitido por FONVIVIENDA. </w:t>
      </w:r>
    </w:p>
    <w:p w14:paraId="3C5D1F5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B88A05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b) Censo de hogares damnificados de desastre natural, calamidad pública o emergencia, y de hogares localizados en zonas de alto riesgo, elaborados antes del 17 de septiembre de 2012, por los Consejos Municipales para la Gestión del Riesgo de Desastres (antes CLOPAD), avalados por los Consejos Departamentales para la Gestión del Riesgo de Desastres (antes CREPAD) y refrendados por la Unidad Nacional para la Gestión del Riesgo de Desastres (UNGRD). </w:t>
      </w:r>
    </w:p>
    <w:p w14:paraId="237C82A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AADE27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 Censo de hogares damnificados de desastre natural, calamidad pública o emergencia, y de hogares localizados en zonas de alto riesgo, elaborados a partir del 17 de septiembre de 2012 por los Consejos Municipales para la Gestión del Riesgo de Desastres (antes CLOPAD), avalados por los Consejos Departamentales para la Gestión del Riesgo de Desastres (antes CREPAD) y refrendados por la Unidad Nacional para la Gestión del Riesgo de Desastres (UNGRD). </w:t>
      </w:r>
    </w:p>
    <w:p w14:paraId="7BD6C5B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96C553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Los alcaldes municipales y distritales entregarán al DPS para su revisión e inclusión en los listados de hogares potenciales beneficiarios, los censos a los que hacen referencia los literales b y c del presente artículo. </w:t>
      </w:r>
    </w:p>
    <w:p w14:paraId="592E1E9C"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350" w:name="ver_30069363"/>
      <w:bookmarkEnd w:id="350"/>
    </w:p>
    <w:p w14:paraId="59592CA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2.1.1.2.1.2.2. Identificación de hogares potenciales beneficiarios. El DPS realizará la identificación de los potenciales beneficiarios del SFVE teniendo en cuenta los porcentajes de composición poblacional del proyecto y atendiendo los criterios de priorización que se determinen en la presente sección. </w:t>
      </w:r>
    </w:p>
    <w:p w14:paraId="4D12BE4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31BCD04" w14:textId="77777777" w:rsidR="00FC79C1" w:rsidRPr="009342F9" w:rsidRDefault="00FC79C1" w:rsidP="00FC79C1">
      <w:pPr>
        <w:spacing w:after="0" w:line="240" w:lineRule="auto"/>
        <w:jc w:val="both"/>
        <w:rPr>
          <w:rFonts w:ascii="Arial" w:eastAsia="Times New Roman" w:hAnsi="Arial" w:cs="Arial"/>
          <w:color w:val="000000"/>
          <w:lang w:eastAsia="es-CO"/>
        </w:rPr>
      </w:pPr>
      <w:proofErr w:type="gramStart"/>
      <w:r w:rsidRPr="009342F9">
        <w:rPr>
          <w:rFonts w:ascii="Arial" w:eastAsia="Times New Roman" w:hAnsi="Arial" w:cs="Arial"/>
          <w:color w:val="000000"/>
          <w:lang w:eastAsia="es-CO"/>
        </w:rPr>
        <w:t>En caso que</w:t>
      </w:r>
      <w:proofErr w:type="gramEnd"/>
      <w:r w:rsidRPr="009342F9">
        <w:rPr>
          <w:rFonts w:ascii="Arial" w:eastAsia="Times New Roman" w:hAnsi="Arial" w:cs="Arial"/>
          <w:color w:val="000000"/>
          <w:lang w:eastAsia="es-CO"/>
        </w:rPr>
        <w:t xml:space="preserve"> el número de viviendas a asignar para los grupos de población I y III exceda el número de hogares potenciales beneficiarios de la Red Unidos, en el respectivo orden de priorización, el DPS verificará en segundo lugar a los hogares que estén incluidos en la base SISBÉN III, de acuerdo a los puntos de corte que establezca el DPS por resolución. </w:t>
      </w:r>
    </w:p>
    <w:p w14:paraId="357F9920"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351" w:name="ver_30167070"/>
      <w:bookmarkStart w:id="352" w:name="ver_30069364"/>
      <w:bookmarkEnd w:id="351"/>
    </w:p>
    <w:p w14:paraId="7B223E0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2.1.1.2.1.2.3. Criterios de organización de los grupos poblacionales. El Ministerio de Vivienda, Ciudad y Territorio y el Departamento Administrativo para la Prosperidad Social expedirán una resolución conjunta en la que establecerán los órdenes de priorización de los hogares potenciales beneficiarios. Para conformar el listado de potenciales beneficiarios de cada uno de los grupos de población de un proyecto, el Departamento Administrativo para la Prosperidad Social expedirá un acto administrativo mediante el cual aplicará dichos órdenes de priorización, según sea el caso, teniendo en cuenta los grupos poblacionales establecidos en el artículo 12 de la Ley 1537 de 2012 y demás normas que lo desarrollen, modifiquen o adicionen. Para este efecto, el acto administrativo deberá tener en cuenta las siguientes condiciones de los hogares potenciales beneficiarios:  </w:t>
      </w:r>
    </w:p>
    <w:p w14:paraId="6BB3B2B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7DB2A3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a) Población víctima de desplazamiento forzado:  </w:t>
      </w:r>
    </w:p>
    <w:p w14:paraId="5DEF2179" w14:textId="77777777" w:rsidR="00FC79C1" w:rsidRPr="009342F9" w:rsidRDefault="00FC79C1" w:rsidP="00FC79C1">
      <w:pPr>
        <w:spacing w:after="0" w:line="240" w:lineRule="auto"/>
        <w:ind w:left="700"/>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9E40037" w14:textId="77777777" w:rsidR="00FC79C1" w:rsidRPr="009342F9" w:rsidRDefault="00FC79C1" w:rsidP="00FC79C1">
      <w:pPr>
        <w:spacing w:after="0" w:line="240" w:lineRule="auto"/>
        <w:ind w:left="700"/>
        <w:jc w:val="both"/>
        <w:rPr>
          <w:rFonts w:ascii="Arial" w:eastAsia="Times New Roman" w:hAnsi="Arial" w:cs="Arial"/>
          <w:color w:val="000000"/>
          <w:lang w:eastAsia="es-CO"/>
        </w:rPr>
      </w:pPr>
      <w:r w:rsidRPr="009342F9">
        <w:rPr>
          <w:rFonts w:ascii="Arial" w:eastAsia="Times New Roman" w:hAnsi="Arial" w:cs="Arial"/>
          <w:color w:val="000000"/>
          <w:lang w:eastAsia="es-CO"/>
        </w:rPr>
        <w:t>1. Hogares víctimas de desplazamiento forzado que hayan sido beneficiarios de un subsidio familiar de vivienda urbano asignado por Fonvivienda que se encontra</w:t>
      </w:r>
      <w:r w:rsidRPr="009342F9">
        <w:rPr>
          <w:rFonts w:ascii="Arial" w:eastAsia="Times New Roman" w:hAnsi="Arial" w:cs="Arial"/>
          <w:color w:val="000000"/>
          <w:lang w:eastAsia="es-CO"/>
        </w:rPr>
        <w:softHyphen/>
        <w:t>ban vinculados en proyectos indemnizados, en incumplimiento o paralizados, en programas o bolsas anteriores a la expedición de la Ley 1537 de 2012, cuya ejecución no pueda ser concluida.  </w:t>
      </w:r>
    </w:p>
    <w:p w14:paraId="7AE90EFA" w14:textId="77777777" w:rsidR="00FC79C1" w:rsidRPr="009342F9" w:rsidRDefault="00FC79C1" w:rsidP="00FC79C1">
      <w:pPr>
        <w:spacing w:after="0" w:line="240" w:lineRule="auto"/>
        <w:ind w:left="700"/>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9F07438" w14:textId="77777777" w:rsidR="00FC79C1" w:rsidRPr="009342F9" w:rsidRDefault="00FC79C1" w:rsidP="00FC79C1">
      <w:pPr>
        <w:spacing w:after="0" w:line="240" w:lineRule="auto"/>
        <w:ind w:left="700"/>
        <w:jc w:val="both"/>
        <w:rPr>
          <w:rFonts w:ascii="Arial" w:eastAsia="Times New Roman" w:hAnsi="Arial" w:cs="Arial"/>
          <w:color w:val="000000"/>
          <w:lang w:eastAsia="es-CO"/>
        </w:rPr>
      </w:pPr>
      <w:r w:rsidRPr="009342F9">
        <w:rPr>
          <w:rFonts w:ascii="Arial" w:eastAsia="Times New Roman" w:hAnsi="Arial" w:cs="Arial"/>
          <w:color w:val="000000"/>
          <w:lang w:eastAsia="es-CO"/>
        </w:rPr>
        <w:t>2. Hogares víctimas de desplazamiento forzado que hayan sido beneficiarios de un Subsidio familiar de vivienda urbano asignado por Fonvivienda que se encuentre sin aplicar.  </w:t>
      </w:r>
    </w:p>
    <w:p w14:paraId="78A77BA8" w14:textId="77777777" w:rsidR="00FC79C1" w:rsidRPr="009342F9" w:rsidRDefault="00FC79C1" w:rsidP="00FC79C1">
      <w:pPr>
        <w:spacing w:after="0" w:line="240" w:lineRule="auto"/>
        <w:ind w:left="700"/>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C3FCAC6" w14:textId="77777777" w:rsidR="00FC79C1" w:rsidRPr="009342F9" w:rsidRDefault="00FC79C1" w:rsidP="00FC79C1">
      <w:pPr>
        <w:spacing w:after="0" w:line="240" w:lineRule="auto"/>
        <w:ind w:left="700"/>
        <w:jc w:val="both"/>
        <w:rPr>
          <w:rFonts w:ascii="Arial" w:eastAsia="Times New Roman" w:hAnsi="Arial" w:cs="Arial"/>
          <w:color w:val="000000"/>
          <w:lang w:eastAsia="es-CO"/>
        </w:rPr>
      </w:pPr>
      <w:r w:rsidRPr="009342F9">
        <w:rPr>
          <w:rFonts w:ascii="Arial" w:eastAsia="Times New Roman" w:hAnsi="Arial" w:cs="Arial"/>
          <w:color w:val="000000"/>
          <w:lang w:eastAsia="es-CO"/>
        </w:rPr>
        <w:t>3. Hogares víctimas de desplazamiento forzado que se encuentren en estado “Cali</w:t>
      </w:r>
      <w:r w:rsidRPr="009342F9">
        <w:rPr>
          <w:rFonts w:ascii="Arial" w:eastAsia="Times New Roman" w:hAnsi="Arial" w:cs="Arial"/>
          <w:color w:val="000000"/>
          <w:lang w:eastAsia="es-CO"/>
        </w:rPr>
        <w:softHyphen/>
        <w:t>ficado” en el sistema de información del subsidio familiar de vivienda adminis</w:t>
      </w:r>
      <w:r w:rsidRPr="009342F9">
        <w:rPr>
          <w:rFonts w:ascii="Arial" w:eastAsia="Times New Roman" w:hAnsi="Arial" w:cs="Arial"/>
          <w:color w:val="000000"/>
          <w:lang w:eastAsia="es-CO"/>
        </w:rPr>
        <w:softHyphen/>
        <w:t>trado por Fonvivienda, que se hayan postulado en la convocatoria para población en situación de desplazamiento realizada en el año 2007.  </w:t>
      </w:r>
    </w:p>
    <w:p w14:paraId="4652F9C0" w14:textId="77777777" w:rsidR="00FC79C1" w:rsidRPr="009342F9" w:rsidRDefault="00FC79C1" w:rsidP="00FC79C1">
      <w:pPr>
        <w:spacing w:after="0" w:line="240" w:lineRule="auto"/>
        <w:ind w:left="700"/>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8442332" w14:textId="77777777" w:rsidR="00FC79C1" w:rsidRPr="009342F9" w:rsidRDefault="00FC79C1" w:rsidP="00FC79C1">
      <w:pPr>
        <w:spacing w:after="0" w:line="240" w:lineRule="auto"/>
        <w:ind w:left="700"/>
        <w:jc w:val="both"/>
        <w:rPr>
          <w:rFonts w:ascii="Arial" w:eastAsia="Times New Roman" w:hAnsi="Arial" w:cs="Arial"/>
          <w:color w:val="000000"/>
          <w:lang w:eastAsia="es-CO"/>
        </w:rPr>
      </w:pPr>
      <w:r w:rsidRPr="009342F9">
        <w:rPr>
          <w:rFonts w:ascii="Arial" w:eastAsia="Times New Roman" w:hAnsi="Arial" w:cs="Arial"/>
          <w:color w:val="000000"/>
          <w:lang w:eastAsia="es-CO"/>
        </w:rPr>
        <w:t>4. Hogares incorporados como víctimas de desplazamiento forzado en la base de datos del RUV.  </w:t>
      </w:r>
    </w:p>
    <w:p w14:paraId="69073D4E" w14:textId="77777777" w:rsidR="00FC79C1" w:rsidRPr="009342F9" w:rsidRDefault="00FC79C1" w:rsidP="00FC79C1">
      <w:pPr>
        <w:spacing w:after="0" w:line="240" w:lineRule="auto"/>
        <w:ind w:left="708"/>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5C7DB30" w14:textId="77777777" w:rsidR="00FC79C1" w:rsidRPr="009342F9" w:rsidRDefault="00FC79C1" w:rsidP="00FC79C1">
      <w:pPr>
        <w:spacing w:after="0" w:line="240" w:lineRule="auto"/>
        <w:ind w:left="708"/>
        <w:jc w:val="both"/>
        <w:rPr>
          <w:rFonts w:ascii="Arial" w:eastAsia="Times New Roman" w:hAnsi="Arial" w:cs="Arial"/>
          <w:color w:val="000000"/>
          <w:lang w:eastAsia="es-CO"/>
        </w:rPr>
      </w:pPr>
      <w:r w:rsidRPr="009342F9">
        <w:rPr>
          <w:rFonts w:ascii="Arial" w:eastAsia="Times New Roman" w:hAnsi="Arial" w:cs="Arial"/>
          <w:color w:val="000000"/>
          <w:lang w:eastAsia="es-CO"/>
        </w:rPr>
        <w:t>5. Hogares que cumplan con alguna de las condiciones anteriores y pertenezcan a la Red Unidos;  </w:t>
      </w:r>
    </w:p>
    <w:p w14:paraId="6F3091F5" w14:textId="77777777" w:rsidR="00FC79C1" w:rsidRPr="009342F9" w:rsidRDefault="00FC79C1" w:rsidP="00FC79C1">
      <w:pPr>
        <w:spacing w:after="0" w:line="240" w:lineRule="auto"/>
        <w:ind w:left="700"/>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55C55D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b) Población de la Red Unidos:  </w:t>
      </w:r>
    </w:p>
    <w:p w14:paraId="32552FD5" w14:textId="77777777" w:rsidR="00FC79C1" w:rsidRPr="009342F9" w:rsidRDefault="00FC79C1" w:rsidP="00FC79C1">
      <w:pPr>
        <w:spacing w:after="0" w:line="240" w:lineRule="auto"/>
        <w:ind w:left="700"/>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918D05B" w14:textId="77777777" w:rsidR="00FC79C1" w:rsidRPr="009342F9" w:rsidRDefault="00FC79C1" w:rsidP="00FC79C1">
      <w:pPr>
        <w:spacing w:after="0" w:line="240" w:lineRule="auto"/>
        <w:ind w:left="700"/>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1. Hogares que cumplan con alguna de las condiciones del literal a) del presente artículo </w:t>
      </w:r>
      <w:proofErr w:type="spellStart"/>
      <w:r w:rsidRPr="009342F9">
        <w:rPr>
          <w:rFonts w:ascii="Arial" w:eastAsia="Times New Roman" w:hAnsi="Arial" w:cs="Arial"/>
          <w:color w:val="000000"/>
          <w:lang w:eastAsia="es-CO"/>
        </w:rPr>
        <w:t>ypertenezcan</w:t>
      </w:r>
      <w:proofErr w:type="spellEnd"/>
      <w:r w:rsidRPr="009342F9">
        <w:rPr>
          <w:rFonts w:ascii="Arial" w:eastAsia="Times New Roman" w:hAnsi="Arial" w:cs="Arial"/>
          <w:color w:val="000000"/>
          <w:lang w:eastAsia="es-CO"/>
        </w:rPr>
        <w:t xml:space="preserve"> a la Red Unidos o que estén incluidos en la base del Sisbén III, </w:t>
      </w:r>
      <w:proofErr w:type="gramStart"/>
      <w:r w:rsidRPr="009342F9">
        <w:rPr>
          <w:rFonts w:ascii="Arial" w:eastAsia="Times New Roman" w:hAnsi="Arial" w:cs="Arial"/>
          <w:color w:val="000000"/>
          <w:lang w:eastAsia="es-CO"/>
        </w:rPr>
        <w:t>de acuerdo a</w:t>
      </w:r>
      <w:proofErr w:type="gramEnd"/>
      <w:r w:rsidRPr="009342F9">
        <w:rPr>
          <w:rFonts w:ascii="Arial" w:eastAsia="Times New Roman" w:hAnsi="Arial" w:cs="Arial"/>
          <w:color w:val="000000"/>
          <w:lang w:eastAsia="es-CO"/>
        </w:rPr>
        <w:t xml:space="preserve"> los puntos de corte que establezca el Departamento Administra</w:t>
      </w:r>
      <w:r w:rsidRPr="009342F9">
        <w:rPr>
          <w:rFonts w:ascii="Arial" w:eastAsia="Times New Roman" w:hAnsi="Arial" w:cs="Arial"/>
          <w:color w:val="000000"/>
          <w:lang w:eastAsia="es-CO"/>
        </w:rPr>
        <w:softHyphen/>
        <w:t>tivo para la Prosperidad Social por resolución.  </w:t>
      </w:r>
    </w:p>
    <w:p w14:paraId="17FDDB99" w14:textId="77777777" w:rsidR="00FC79C1" w:rsidRPr="009342F9" w:rsidRDefault="00FC79C1" w:rsidP="00FC79C1">
      <w:pPr>
        <w:spacing w:after="0" w:line="240" w:lineRule="auto"/>
        <w:ind w:left="700"/>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0DE3A54" w14:textId="77777777" w:rsidR="00FC79C1" w:rsidRPr="009342F9" w:rsidRDefault="00FC79C1" w:rsidP="00FC79C1">
      <w:pPr>
        <w:spacing w:after="0" w:line="240" w:lineRule="auto"/>
        <w:ind w:left="700"/>
        <w:jc w:val="both"/>
        <w:rPr>
          <w:rFonts w:ascii="Arial" w:eastAsia="Times New Roman" w:hAnsi="Arial" w:cs="Arial"/>
          <w:color w:val="000000"/>
          <w:lang w:eastAsia="es-CO"/>
        </w:rPr>
      </w:pPr>
      <w:r w:rsidRPr="009342F9">
        <w:rPr>
          <w:rFonts w:ascii="Arial" w:eastAsia="Times New Roman" w:hAnsi="Arial" w:cs="Arial"/>
          <w:color w:val="000000"/>
          <w:lang w:eastAsia="es-CO"/>
        </w:rPr>
        <w:t>2. Hogares indígenas, afrocolombianos, negros, raizales, palenqueros, Rom o gita</w:t>
      </w:r>
      <w:r w:rsidRPr="009342F9">
        <w:rPr>
          <w:rFonts w:ascii="Arial" w:eastAsia="Times New Roman" w:hAnsi="Arial" w:cs="Arial"/>
          <w:color w:val="000000"/>
          <w:lang w:eastAsia="es-CO"/>
        </w:rPr>
        <w:softHyphen/>
        <w:t>nos que hagan parte de la Red Unidos.  </w:t>
      </w:r>
    </w:p>
    <w:p w14:paraId="68704F67" w14:textId="77777777" w:rsidR="00FC79C1" w:rsidRPr="009342F9" w:rsidRDefault="00FC79C1" w:rsidP="00FC79C1">
      <w:pPr>
        <w:spacing w:after="0" w:line="240" w:lineRule="auto"/>
        <w:ind w:left="700"/>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7A306AD" w14:textId="77777777" w:rsidR="00FC79C1" w:rsidRPr="009342F9" w:rsidRDefault="00FC79C1" w:rsidP="00FC79C1">
      <w:pPr>
        <w:spacing w:after="0" w:line="240" w:lineRule="auto"/>
        <w:ind w:left="700"/>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3. Hogares que hagan parte de la Red Unidos o que estén incluidos en la base del Sisbén III, </w:t>
      </w:r>
      <w:proofErr w:type="gramStart"/>
      <w:r w:rsidRPr="009342F9">
        <w:rPr>
          <w:rFonts w:ascii="Arial" w:eastAsia="Times New Roman" w:hAnsi="Arial" w:cs="Arial"/>
          <w:color w:val="000000"/>
          <w:lang w:eastAsia="es-CO"/>
        </w:rPr>
        <w:t>de acuerdo a</w:t>
      </w:r>
      <w:proofErr w:type="gramEnd"/>
      <w:r w:rsidRPr="009342F9">
        <w:rPr>
          <w:rFonts w:ascii="Arial" w:eastAsia="Times New Roman" w:hAnsi="Arial" w:cs="Arial"/>
          <w:color w:val="000000"/>
          <w:lang w:eastAsia="es-CO"/>
        </w:rPr>
        <w:t xml:space="preserve"> los puntos de corte que establezca el Departamento Ad</w:t>
      </w:r>
      <w:r w:rsidRPr="009342F9">
        <w:rPr>
          <w:rFonts w:ascii="Arial" w:eastAsia="Times New Roman" w:hAnsi="Arial" w:cs="Arial"/>
          <w:color w:val="000000"/>
          <w:lang w:eastAsia="es-CO"/>
        </w:rPr>
        <w:softHyphen/>
        <w:t>ministrativo para la Prosperidad Social por resolución;  </w:t>
      </w:r>
    </w:p>
    <w:p w14:paraId="0443DB2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A3AA1B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 Hogares damnificados de desastre natural, calamidad pública o emergen</w:t>
      </w:r>
      <w:r w:rsidRPr="009342F9">
        <w:rPr>
          <w:rFonts w:ascii="Arial" w:eastAsia="Times New Roman" w:hAnsi="Arial" w:cs="Arial"/>
          <w:color w:val="000000"/>
          <w:lang w:eastAsia="es-CO"/>
        </w:rPr>
        <w:softHyphen/>
        <w:t>cia, o localizados en zonas de alto riesgo:  </w:t>
      </w:r>
    </w:p>
    <w:p w14:paraId="765A8E58" w14:textId="77777777" w:rsidR="00FC79C1" w:rsidRPr="009342F9" w:rsidRDefault="00FC79C1" w:rsidP="00FC79C1">
      <w:pPr>
        <w:spacing w:after="0" w:line="240" w:lineRule="auto"/>
        <w:ind w:left="700"/>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B13ADE6" w14:textId="77777777" w:rsidR="00FC79C1" w:rsidRPr="009342F9" w:rsidRDefault="00FC79C1" w:rsidP="00FC79C1">
      <w:pPr>
        <w:spacing w:after="0" w:line="240" w:lineRule="auto"/>
        <w:ind w:left="700"/>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1. Hogares que hayan sido beneficiarios de un subsidio familiar de vivienda urbano asignado en la bolsa de desastres naturales por Fonvivienda, que se encuentre sin aplicar, y que pertenezcan a la Red Unidos o que estén incluidos en la base del Sisbén III, </w:t>
      </w:r>
      <w:proofErr w:type="gramStart"/>
      <w:r w:rsidRPr="009342F9">
        <w:rPr>
          <w:rFonts w:ascii="Arial" w:eastAsia="Times New Roman" w:hAnsi="Arial" w:cs="Arial"/>
          <w:color w:val="000000"/>
          <w:lang w:eastAsia="es-CO"/>
        </w:rPr>
        <w:t>de acuerdo a</w:t>
      </w:r>
      <w:proofErr w:type="gramEnd"/>
      <w:r w:rsidRPr="009342F9">
        <w:rPr>
          <w:rFonts w:ascii="Arial" w:eastAsia="Times New Roman" w:hAnsi="Arial" w:cs="Arial"/>
          <w:color w:val="000000"/>
          <w:lang w:eastAsia="es-CO"/>
        </w:rPr>
        <w:t xml:space="preserve"> los puntos de corte que establezca el Departamento Administrativo para la Prosperidad Social por resolución.  </w:t>
      </w:r>
    </w:p>
    <w:p w14:paraId="0D0301A3" w14:textId="77777777" w:rsidR="00FC79C1" w:rsidRPr="009342F9" w:rsidRDefault="00FC79C1" w:rsidP="00FC79C1">
      <w:pPr>
        <w:spacing w:after="0" w:line="240" w:lineRule="auto"/>
        <w:ind w:left="700"/>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7627CB7" w14:textId="77777777" w:rsidR="00FC79C1" w:rsidRPr="009342F9" w:rsidRDefault="00FC79C1" w:rsidP="00FC79C1">
      <w:pPr>
        <w:spacing w:after="0" w:line="240" w:lineRule="auto"/>
        <w:ind w:left="700"/>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2. Hogares damnificados de desastre natural, calamidad pública o emergencia y hogares localizados en zonas de alto riesgo, que se encuentren incluidos en los censos ya elaborados por los Consejos Municipales para la Gestión del Riesgo de Desastres (antes </w:t>
      </w:r>
      <w:proofErr w:type="spellStart"/>
      <w:r w:rsidRPr="009342F9">
        <w:rPr>
          <w:rFonts w:ascii="Arial" w:eastAsia="Times New Roman" w:hAnsi="Arial" w:cs="Arial"/>
          <w:color w:val="000000"/>
          <w:lang w:eastAsia="es-CO"/>
        </w:rPr>
        <w:t>Clopad</w:t>
      </w:r>
      <w:proofErr w:type="spellEnd"/>
      <w:r w:rsidRPr="009342F9">
        <w:rPr>
          <w:rFonts w:ascii="Arial" w:eastAsia="Times New Roman" w:hAnsi="Arial" w:cs="Arial"/>
          <w:color w:val="000000"/>
          <w:lang w:eastAsia="es-CO"/>
        </w:rPr>
        <w:t xml:space="preserve">), avalados por los Consejos Departamentales para la Gestión del Riesgo de Desastres (antes Crepad) y refrendados por la Unidad Nacional para la Gestión del Riesgo </w:t>
      </w:r>
      <w:r w:rsidRPr="009342F9">
        <w:rPr>
          <w:rFonts w:ascii="Arial" w:eastAsia="Times New Roman" w:hAnsi="Arial" w:cs="Arial"/>
          <w:color w:val="000000"/>
          <w:lang w:eastAsia="es-CO"/>
        </w:rPr>
        <w:lastRenderedPageBreak/>
        <w:t>de Desastres (</w:t>
      </w:r>
      <w:proofErr w:type="spellStart"/>
      <w:r w:rsidRPr="009342F9">
        <w:rPr>
          <w:rFonts w:ascii="Arial" w:eastAsia="Times New Roman" w:hAnsi="Arial" w:cs="Arial"/>
          <w:color w:val="000000"/>
          <w:lang w:eastAsia="es-CO"/>
        </w:rPr>
        <w:t>Ungrd</w:t>
      </w:r>
      <w:proofErr w:type="spellEnd"/>
      <w:r w:rsidRPr="009342F9">
        <w:rPr>
          <w:rFonts w:ascii="Arial" w:eastAsia="Times New Roman" w:hAnsi="Arial" w:cs="Arial"/>
          <w:color w:val="000000"/>
          <w:lang w:eastAsia="es-CO"/>
        </w:rPr>
        <w:t>), al 29 de diciembre de 2014, y que pertenezcan a la Red Unidos o que estén incluidos en la base del Sisbén III, de acuerdo a los puntos de corte que establezca el Departamento Ad</w:t>
      </w:r>
      <w:r w:rsidRPr="009342F9">
        <w:rPr>
          <w:rFonts w:ascii="Arial" w:eastAsia="Times New Roman" w:hAnsi="Arial" w:cs="Arial"/>
          <w:color w:val="000000"/>
          <w:lang w:eastAsia="es-CO"/>
        </w:rPr>
        <w:softHyphen/>
        <w:t>ministrativo para la Prosperidad Social por resolución.  </w:t>
      </w:r>
    </w:p>
    <w:p w14:paraId="285762A8" w14:textId="77777777" w:rsidR="00FC79C1" w:rsidRPr="009342F9" w:rsidRDefault="00FC79C1" w:rsidP="00FC79C1">
      <w:pPr>
        <w:spacing w:after="0" w:line="240" w:lineRule="auto"/>
        <w:ind w:left="700"/>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B708945" w14:textId="77777777" w:rsidR="00FC79C1" w:rsidRPr="009342F9" w:rsidRDefault="00FC79C1" w:rsidP="00FC79C1">
      <w:pPr>
        <w:spacing w:after="0" w:line="240" w:lineRule="auto"/>
        <w:ind w:left="700"/>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3. Hogares damnificados de desastre natural, calamidad pública o emergencia y hogares localizados en zonas de alto riesgo, que se encuentren incluidos en los censos que se elaboren, avalen y refrenden, a partir del 29 de diciembre de 2014, y que pertenezcan a la Red Unidos o que estén incluidos en la base del Sisbén III, </w:t>
      </w:r>
      <w:proofErr w:type="gramStart"/>
      <w:r w:rsidRPr="009342F9">
        <w:rPr>
          <w:rFonts w:ascii="Arial" w:eastAsia="Times New Roman" w:hAnsi="Arial" w:cs="Arial"/>
          <w:color w:val="000000"/>
          <w:lang w:eastAsia="es-CO"/>
        </w:rPr>
        <w:t>de acuerdo a</w:t>
      </w:r>
      <w:proofErr w:type="gramEnd"/>
      <w:r w:rsidRPr="009342F9">
        <w:rPr>
          <w:rFonts w:ascii="Arial" w:eastAsia="Times New Roman" w:hAnsi="Arial" w:cs="Arial"/>
          <w:color w:val="000000"/>
          <w:lang w:eastAsia="es-CO"/>
        </w:rPr>
        <w:t xml:space="preserve"> los puntos de corte que establezca el Departamento Administrativo para la Prosperidad Social por resolución.  </w:t>
      </w:r>
    </w:p>
    <w:p w14:paraId="674EE56B" w14:textId="77777777" w:rsidR="00FC79C1" w:rsidRPr="009342F9" w:rsidRDefault="00FC79C1" w:rsidP="00FC79C1">
      <w:pPr>
        <w:spacing w:after="0" w:line="240" w:lineRule="auto"/>
        <w:ind w:left="700"/>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8C43367" w14:textId="77777777" w:rsidR="00FC79C1" w:rsidRPr="009342F9" w:rsidRDefault="00FC79C1" w:rsidP="00FC79C1">
      <w:pPr>
        <w:spacing w:after="0" w:line="240" w:lineRule="auto"/>
        <w:ind w:left="700"/>
        <w:jc w:val="both"/>
        <w:rPr>
          <w:rFonts w:ascii="Arial" w:eastAsia="Times New Roman" w:hAnsi="Arial" w:cs="Arial"/>
          <w:color w:val="000000"/>
          <w:lang w:eastAsia="es-CO"/>
        </w:rPr>
      </w:pPr>
      <w:r w:rsidRPr="009342F9">
        <w:rPr>
          <w:rFonts w:ascii="Arial" w:eastAsia="Times New Roman" w:hAnsi="Arial" w:cs="Arial"/>
          <w:color w:val="000000"/>
          <w:lang w:eastAsia="es-CO"/>
        </w:rPr>
        <w:t>4. Hogares localizados en zonas de riesgo por la ocurrencia de eventos físicos pe</w:t>
      </w:r>
      <w:r w:rsidRPr="009342F9">
        <w:rPr>
          <w:rFonts w:ascii="Arial" w:eastAsia="Times New Roman" w:hAnsi="Arial" w:cs="Arial"/>
          <w:color w:val="000000"/>
          <w:lang w:eastAsia="es-CO"/>
        </w:rPr>
        <w:softHyphen/>
        <w:t>ligrosos de origen tecnológico derivados de la ejecución u operación de obras de infraestructura o proyectos de interés nacional y estratégico desarrollados por el Gobierno nacional, así como hogares localizados en zonas de afectación, reserva o retiro, por el diseño, ejecución un operación de una obra de infraestructura o proyectos de interés nacional y estratégico desarrollados por el Gobierno nacio</w:t>
      </w:r>
      <w:r w:rsidRPr="009342F9">
        <w:rPr>
          <w:rFonts w:ascii="Arial" w:eastAsia="Times New Roman" w:hAnsi="Arial" w:cs="Arial"/>
          <w:color w:val="000000"/>
          <w:lang w:eastAsia="es-CO"/>
        </w:rPr>
        <w:softHyphen/>
        <w:t>nal, de conformidad con los análisis específicos de riesgos y planes de contin</w:t>
      </w:r>
      <w:r w:rsidRPr="009342F9">
        <w:rPr>
          <w:rFonts w:ascii="Arial" w:eastAsia="Times New Roman" w:hAnsi="Arial" w:cs="Arial"/>
          <w:color w:val="000000"/>
          <w:lang w:eastAsia="es-CO"/>
        </w:rPr>
        <w:softHyphen/>
        <w:t>gencia de que trata el artículo 42 de la Ley 1523 de 2012. En ambos eventos, los hogares deberán estar identificados por la entidad encargada del diseño, ejecu</w:t>
      </w:r>
      <w:r w:rsidRPr="009342F9">
        <w:rPr>
          <w:rFonts w:ascii="Arial" w:eastAsia="Times New Roman" w:hAnsi="Arial" w:cs="Arial"/>
          <w:color w:val="000000"/>
          <w:lang w:eastAsia="es-CO"/>
        </w:rPr>
        <w:softHyphen/>
        <w:t xml:space="preserve">ción u operación de la obra, incluidos en los censos elaborados por los Consejos Municipales para la Gestión del Riesgo de Desastres (antes </w:t>
      </w:r>
      <w:proofErr w:type="spellStart"/>
      <w:r w:rsidRPr="009342F9">
        <w:rPr>
          <w:rFonts w:ascii="Arial" w:eastAsia="Times New Roman" w:hAnsi="Arial" w:cs="Arial"/>
          <w:color w:val="000000"/>
          <w:lang w:eastAsia="es-CO"/>
        </w:rPr>
        <w:t>Clopad</w:t>
      </w:r>
      <w:proofErr w:type="spellEnd"/>
      <w:r w:rsidRPr="009342F9">
        <w:rPr>
          <w:rFonts w:ascii="Arial" w:eastAsia="Times New Roman" w:hAnsi="Arial" w:cs="Arial"/>
          <w:color w:val="000000"/>
          <w:lang w:eastAsia="es-CO"/>
        </w:rPr>
        <w:t>), avalados por los Consejos Departamentales para la Gestión del Riesgo de Desastres (an</w:t>
      </w:r>
      <w:r w:rsidRPr="009342F9">
        <w:rPr>
          <w:rFonts w:ascii="Arial" w:eastAsia="Times New Roman" w:hAnsi="Arial" w:cs="Arial"/>
          <w:color w:val="000000"/>
          <w:lang w:eastAsia="es-CO"/>
        </w:rPr>
        <w:softHyphen/>
        <w:t>tes Crepad), refrendados por la Unidad Nacional para la Gestión del Riesgo de Desastres (</w:t>
      </w:r>
      <w:proofErr w:type="spellStart"/>
      <w:r w:rsidRPr="009342F9">
        <w:rPr>
          <w:rFonts w:ascii="Arial" w:eastAsia="Times New Roman" w:hAnsi="Arial" w:cs="Arial"/>
          <w:color w:val="000000"/>
          <w:lang w:eastAsia="es-CO"/>
        </w:rPr>
        <w:t>Ungrd</w:t>
      </w:r>
      <w:proofErr w:type="spellEnd"/>
      <w:r w:rsidRPr="009342F9">
        <w:rPr>
          <w:rFonts w:ascii="Arial" w:eastAsia="Times New Roman" w:hAnsi="Arial" w:cs="Arial"/>
          <w:color w:val="000000"/>
          <w:lang w:eastAsia="es-CO"/>
        </w:rPr>
        <w:t>), y que pertenezcan a la Red Unidos o que estén incluidos en la base del Sisbén III, de acuerdo a los puntos de corte que establezca el Depar</w:t>
      </w:r>
      <w:r w:rsidRPr="009342F9">
        <w:rPr>
          <w:rFonts w:ascii="Arial" w:eastAsia="Times New Roman" w:hAnsi="Arial" w:cs="Arial"/>
          <w:color w:val="000000"/>
          <w:lang w:eastAsia="es-CO"/>
        </w:rPr>
        <w:softHyphen/>
        <w:t>tamento Administrativo para la Prosperidad Social por resolución.  </w:t>
      </w:r>
    </w:p>
    <w:p w14:paraId="79F4E81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3785C8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1°. El Departamento Administrativo para la Prosperidad Social clasificará y evaluará de manera consolidada los grupos poblacionales, de forma tal que se beneficie a quienes se encuentren en las condiciones establecidas en el inciso segundo del artículo 12 de la Ley 1537 de 2012.  </w:t>
      </w:r>
    </w:p>
    <w:p w14:paraId="7B8253E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1DA7D5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2°. Los hogares deberán residir en el municipio en que se ejecute el proyecto en el cual se desarrollarán las viviendas a ser transferidas a título de SFVE, de acuerdo con los registros de las bases de datos a las que se refiere la presente sección. La información de residencia actualizada referente a los hogares en condición de desplazamiento deberá ser remitida por la Unidad para la Atención y Reparación Integral a las Víctimas (</w:t>
      </w:r>
      <w:proofErr w:type="spellStart"/>
      <w:r w:rsidRPr="009342F9">
        <w:rPr>
          <w:rFonts w:ascii="Arial" w:eastAsia="Times New Roman" w:hAnsi="Arial" w:cs="Arial"/>
          <w:color w:val="000000"/>
          <w:lang w:eastAsia="es-CO"/>
        </w:rPr>
        <w:t>Uariv</w:t>
      </w:r>
      <w:proofErr w:type="spellEnd"/>
      <w:r w:rsidRPr="009342F9">
        <w:rPr>
          <w:rFonts w:ascii="Arial" w:eastAsia="Times New Roman" w:hAnsi="Arial" w:cs="Arial"/>
          <w:color w:val="000000"/>
          <w:lang w:eastAsia="es-CO"/>
        </w:rPr>
        <w:t>) al Departamento Administrativo para la Prosperidad Social, en los términos del parágrafo 1° del artículo 2.1.1.2.1.2.7.  </w:t>
      </w:r>
    </w:p>
    <w:p w14:paraId="46086A1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BDA161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3°. La clasificación de los hogares en condición de desplazamiento que hayan sido beneficiarios de un subsidio familiar de vivienda urbano asignado por Fonvivienda que se encontraban vinculados en proyectos indemnizados, en incumplimiento o paralizados, cuya ejecución no pueda ser concluida; de los hogares en condición de desplazamiento que hayan sido beneficiarios de un subsidio familiar de vivienda urbano asignado por Fonvivienda que se encuentre sin aplicar, de los hogares desplazados que se encuentren en estado “Calificado” en el sistema de información del subsidio familiar de vivienda administrado por Fonvivienda; y de los hogares beneficiarios de un subsidio familiar de vivienda urbano asignado en la bolsa de desastres naturales que se encuentre sin aplicar, se realizará con base en la información oficial remitida al Departamento Administrativo para la Prosperidad Social por Fonvivienda. </w:t>
      </w:r>
    </w:p>
    <w:p w14:paraId="40DD6C2B"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353" w:name="ver_30069365"/>
      <w:bookmarkEnd w:id="352"/>
      <w:bookmarkEnd w:id="353"/>
    </w:p>
    <w:p w14:paraId="098B8FA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Artículo 2.1.1.2.1.2.4. Listados de hogares potenciales beneficiarios. El DPS comunicará a FONVIVIENDA, la resolución que contenga la relación de los hogares potencialmente beneficiarios para cada proyecto de vivienda propendiendo para que en cada proyecto haya al menos el 150% de población potencial beneficiaria de cada grupo de población. </w:t>
      </w:r>
    </w:p>
    <w:p w14:paraId="4A11DD7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A691C9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Cuando para completar el porcentaje mínimo requerido, el DPS deba acudir a un nuevo orden, este será incluido en su totalidad en el listado de hogares potenciales beneficiarios remitido a FONVIVIENDA. </w:t>
      </w:r>
    </w:p>
    <w:p w14:paraId="1D7B370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AFA134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1°. Si en el procedimiento de identificación de potenciales beneficiarios no se cumpliere con el porcentaje establecido en el presente artículo, el DPS informará al Fondo Nacional de Vivienda antes de la expedición del acto administrativo que contiene el listado de potenciales beneficiarios, quien podrá modificar la composición poblacional, atendiendo criterios de participación y equidad en los restantes grupos poblacionales. FONVIVIENDA informará las modificaciones al DPS, para que este proceda a la elaboración del listado. </w:t>
      </w:r>
    </w:p>
    <w:p w14:paraId="06C1820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8A6F39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2°. Si una vez realizados 2 procedimientos de convocatoria y postulación de que tratan los artículos 2.1.1.2.1.2.5 y 2.1.1.2.1.2.6 de la presente sección, alguno de los grupos de población no completa el cupo del número de viviendas, el Fondo Nacional de Vivienda podrá modificar la composición poblacional en alguno de los otros grupos poblacionales, que cuenten con hogares habilitados, y siempre con criterios de participación o podrá como último recurso, solicitar al DPS la elaboración de un nuevo listado de potenciales beneficiarios que incluya el siguiente orden de priorización de acuerdo al artículo 2.1.1.2.1.2.3 de la presente sección. </w:t>
      </w:r>
    </w:p>
    <w:p w14:paraId="24D5991D"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354" w:name="ver_30167075"/>
      <w:bookmarkStart w:id="355" w:name="ver_30069366"/>
      <w:bookmarkEnd w:id="354"/>
    </w:p>
    <w:p w14:paraId="315FC1E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2.1.1.2.1.2.5. Convocatoria. FONVIVIENDA, mediante acto administrativo, dará apertura a la convocatoria a los hogares potencialmente beneficiarios de acuerdo con los listados contenidos en la resolución emitida por el DPS, para su postulación ante FONVIVIENDA o el operador que este designe, y durante el término establecido por FONVIVIENDA mediante resolución. </w:t>
      </w:r>
    </w:p>
    <w:p w14:paraId="419EA8F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EC5C53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Cuando transcurra un término superior a 6 meses contados a partir de la expedición del listado de potenciales beneficiarios respectivo, por parte del DPS, sin que se haya dado apertura a la convocatoria, se deberá surtir nuevamente el proceso descrito en la presente sección a cabalidad. </w:t>
      </w:r>
    </w:p>
    <w:p w14:paraId="30E04A36" w14:textId="5B50F337" w:rsidR="00FC79C1" w:rsidRPr="009342F9" w:rsidRDefault="00FC79C1" w:rsidP="009342F9">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59C8FEB"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356" w:name="ver_30069367"/>
      <w:bookmarkEnd w:id="355"/>
      <w:bookmarkEnd w:id="356"/>
      <w:r w:rsidRPr="009342F9">
        <w:rPr>
          <w:rFonts w:ascii="Arial" w:eastAsia="Times New Roman" w:hAnsi="Arial" w:cs="Arial"/>
          <w:color w:val="000000"/>
          <w:lang w:eastAsia="es-CO"/>
        </w:rPr>
        <w:t xml:space="preserve">Artículo 2.1.1.2.1.2.6. Postulación. Los hogares potencialmente beneficiarios definidos por el DPS mediante </w:t>
      </w:r>
      <w:proofErr w:type="gramStart"/>
      <w:r w:rsidRPr="009342F9">
        <w:rPr>
          <w:rFonts w:ascii="Arial" w:eastAsia="Times New Roman" w:hAnsi="Arial" w:cs="Arial"/>
          <w:color w:val="000000"/>
          <w:lang w:eastAsia="es-CO"/>
        </w:rPr>
        <w:t>resolución,</w:t>
      </w:r>
      <w:proofErr w:type="gramEnd"/>
      <w:r w:rsidRPr="009342F9">
        <w:rPr>
          <w:rFonts w:ascii="Arial" w:eastAsia="Times New Roman" w:hAnsi="Arial" w:cs="Arial"/>
          <w:color w:val="000000"/>
          <w:lang w:eastAsia="es-CO"/>
        </w:rPr>
        <w:t xml:space="preserve"> deberán suministrar la información de postulación al operador designado, y entregar los documentos que se señalan a continuación: </w:t>
      </w:r>
    </w:p>
    <w:p w14:paraId="724A00F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C14C2D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1. Formulario debidamente diligenciado con los datos de los miembros que conforman el hogar, con indicación de su información socioeconómica, jefe del hogar postulante, la condición de discapacidad, de mujer u hombre cabeza de hogar, indígena, </w:t>
      </w:r>
      <w:proofErr w:type="gramStart"/>
      <w:r w:rsidRPr="009342F9">
        <w:rPr>
          <w:rFonts w:ascii="Arial" w:eastAsia="Times New Roman" w:hAnsi="Arial" w:cs="Arial"/>
          <w:color w:val="000000"/>
          <w:lang w:eastAsia="es-CO"/>
        </w:rPr>
        <w:t>afro descendiente</w:t>
      </w:r>
      <w:proofErr w:type="gramEnd"/>
      <w:r w:rsidRPr="009342F9">
        <w:rPr>
          <w:rFonts w:ascii="Arial" w:eastAsia="Times New Roman" w:hAnsi="Arial" w:cs="Arial"/>
          <w:color w:val="000000"/>
          <w:lang w:eastAsia="es-CO"/>
        </w:rPr>
        <w:t>, Rom o gitano, y señalando de forma clara la dirección o referencia del lugar en que se encuentra habitando al momento de la postulación. </w:t>
      </w:r>
    </w:p>
    <w:p w14:paraId="6383F00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79CE7C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Registro civil de matrimonio o prueba de unión marital de hecho de conformidad con la Ley 979 de 2005, cuando fuere el caso. </w:t>
      </w:r>
    </w:p>
    <w:p w14:paraId="3975B5C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3CC963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Fotocopia de la cédula de ciudadanía de los mayores de 18 años y registro civil de nacimiento de los demás miembros del hogar que se postula. </w:t>
      </w:r>
    </w:p>
    <w:p w14:paraId="0AABE24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F13671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Se incluirá en el formulario la declaración jurada de los miembros del hogar postulante mayores de edad, que se entenderá surtida con la firma del mismo, en la que manifiestan que cumplen en forma conjunta con las condiciones para ser beneficiarios del subsidio familiar de vivienda en especie, que no están incursos en las inhabilidades para solicitarlo y que los datos suministrados son ciertos, así como la autorización para verificar la información suministrada y aceptación para ser excluido de manera automática del proceso de selección en caso de verificarse que la información aportada no corresponda a la verdad. </w:t>
      </w:r>
    </w:p>
    <w:p w14:paraId="2668011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EFF318F" w14:textId="77777777" w:rsidR="00FC79C1" w:rsidRDefault="00FC79C1" w:rsidP="00FC79C1">
      <w:pPr>
        <w:spacing w:after="0" w:line="240" w:lineRule="auto"/>
        <w:jc w:val="both"/>
        <w:rPr>
          <w:rFonts w:ascii="Arial" w:eastAsia="Times New Roman" w:hAnsi="Arial" w:cs="Arial"/>
          <w:color w:val="000000"/>
          <w:lang w:eastAsia="es-CO"/>
        </w:rPr>
      </w:pPr>
      <w:r w:rsidRPr="231E957E">
        <w:rPr>
          <w:rFonts w:ascii="Arial" w:eastAsia="Times New Roman" w:hAnsi="Arial" w:cs="Arial"/>
          <w:color w:val="000000" w:themeColor="text1"/>
          <w:lang w:eastAsia="es-CO"/>
        </w:rPr>
        <w:t>Parágrafo. El formulario de postulación será impreso por parte del operador que se designe para tal efecto, una vez culmine y cargue la captura en línea de la información suministrada por el hogar, para su revisión y firmas. </w:t>
      </w:r>
    </w:p>
    <w:p w14:paraId="3A4DABE2" w14:textId="77777777" w:rsidR="007C7D44" w:rsidRPr="009342F9" w:rsidRDefault="007C7D44" w:rsidP="00FC79C1">
      <w:pPr>
        <w:spacing w:after="0" w:line="240" w:lineRule="auto"/>
        <w:jc w:val="both"/>
        <w:rPr>
          <w:rFonts w:ascii="Arial" w:eastAsia="Times New Roman" w:hAnsi="Arial" w:cs="Arial"/>
          <w:color w:val="000000"/>
          <w:lang w:eastAsia="es-CO"/>
        </w:rPr>
      </w:pPr>
    </w:p>
    <w:p w14:paraId="2F9785DF" w14:textId="5610FB90"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357" w:name="ver_30167076"/>
      <w:bookmarkStart w:id="358" w:name="ver_30069368"/>
      <w:bookmarkEnd w:id="357"/>
      <w:r w:rsidRPr="009342F9">
        <w:rPr>
          <w:rFonts w:ascii="Arial" w:eastAsia="Times New Roman" w:hAnsi="Arial" w:cs="Arial"/>
          <w:color w:val="000000"/>
          <w:lang w:eastAsia="es-CO"/>
        </w:rPr>
        <w:t>Artículo 2.1.1.2.1.2.7. Verificación de la información. Antes de concluir el proceso de asignación del SFVE, el Fondo Nacional de Vivienda -FONVIVIENDA- tendrá la facultad de revisar en cualquier momento la consistencia y/o veracidad de la información suministrada por el postulante. Si se determina que existe imprecisión o falta de veracidad en los datos suministrados en el formulario de postulación y/o en los documentos que lo acompañan, o en las condiciones o requisitos del hogar, se solicitará al postulante emitir las aclaraciones del caso, para lo cual se otorgará un término por parte de la entidad que realice el proceso de verificación. Si dentro del plazo establecido no se subsanan las imprecisiones o se aclaran las presuntas irregularidades que se presenten, se rechazarán las postulaciones presentadas. </w:t>
      </w:r>
    </w:p>
    <w:p w14:paraId="62F79A6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FEBF5F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Parágrafo. La información actualizada de residencia de los hogares en condición de desplazamiento que hayan sido beneficiarios de un subsidio familiar de vivienda urbano asignado por Fonvivienda que se encontraban vinculados en proyectos indemnizados, en incumplimiento o paralizados, cuya ejecución no pueda ser concluida; los hogares potencialmente beneficiarios en condición de desplazamiento que hayan sido beneficiarios de un subsidio familiar de vivienda urbano asignado por Fonvivienda que se encuentre sin aplicar; y los hogares desplazados que se encuentren en estado “Calificado” en el sistema de información del subsidio familiar de vivienda administrado por Fonvivienda, deberá ser remitida por la </w:t>
      </w:r>
      <w:proofErr w:type="spellStart"/>
      <w:r w:rsidRPr="009342F9">
        <w:rPr>
          <w:rFonts w:ascii="Arial" w:eastAsia="Times New Roman" w:hAnsi="Arial" w:cs="Arial"/>
          <w:color w:val="000000"/>
          <w:lang w:eastAsia="es-CO"/>
        </w:rPr>
        <w:t>Uariv</w:t>
      </w:r>
      <w:proofErr w:type="spellEnd"/>
      <w:r w:rsidRPr="009342F9">
        <w:rPr>
          <w:rFonts w:ascii="Arial" w:eastAsia="Times New Roman" w:hAnsi="Arial" w:cs="Arial"/>
          <w:color w:val="000000"/>
          <w:lang w:eastAsia="es-CO"/>
        </w:rPr>
        <w:t xml:space="preserve"> al Departamento Administrativo para la Prosperidad Social, como entidad encargada de la conformación del listado de hogares postulantes que cumplen requisito para ser beneficiarios del SFVE, con fundamento en la información actualizada en el RUV, con anterioridad a la selección de hogares beneficiarios del SFVE </w:t>
      </w:r>
    </w:p>
    <w:p w14:paraId="660EB09B" w14:textId="77777777" w:rsidR="005A1FCF" w:rsidRPr="009342F9" w:rsidRDefault="005A1FCF" w:rsidP="00FC79C1">
      <w:pPr>
        <w:spacing w:after="0" w:line="240" w:lineRule="auto"/>
        <w:jc w:val="both"/>
        <w:rPr>
          <w:rFonts w:ascii="Arial" w:eastAsia="Times New Roman" w:hAnsi="Arial" w:cs="Arial"/>
          <w:color w:val="000000"/>
          <w:lang w:eastAsia="es-CO"/>
        </w:rPr>
      </w:pPr>
      <w:bookmarkStart w:id="359" w:name="ver_30069369"/>
      <w:bookmarkEnd w:id="358"/>
      <w:bookmarkEnd w:id="359"/>
    </w:p>
    <w:p w14:paraId="5F1CB431" w14:textId="451C3449"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2.1.1.2.1.2.8. Efectos de la falsedad o imprecisión en la información. Si se advierte la presencia de presunta falsedad o imprecisión en la documentación o información presentada para acreditar los requisitos para ser beneficiario del subsidio familiar de vivienda en especie se solicitará al beneficiario emitir las aclaraciones del caso, para lo cual se otorgará un término por parte de la entidad otorgante. Si dentro del plazo establecido no se aclaran las imprecisiones o se controvierte la presunta falsedad, habrá lugar a la restitución del subsidio familiar de vivienda otorgado, de acuerdo con lo establecido en el inciso segundo del artículo 8° de la Ley 3a de 1991, modificado por el artículo 21 de la Ley 1537 de 2012. </w:t>
      </w:r>
    </w:p>
    <w:p w14:paraId="6B39A91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E19E4A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Si se comprueba la falsedad o la existencia de imprecisiones, de acuerdo con lo establecido en el presente artículo, o la condena de los beneficiarios por delitos cometidos en contra de menores de edad, con posterioridad a la asignación del SFVE, pero previa transferencia de la vivienda respectiva, se revocará la asignación y no procederá la transferencia. En el caso en que la vivienda otorgada a título de SFVE ya haya sido transferida, se revocará la asignación del subsidio y como consecuencia el hogar beneficiario deberá restituir la propiedad al patrimonio autónomo respectivo o a FONVIVIENDA, de acuerdo con las instrucciones de este último. </w:t>
      </w:r>
    </w:p>
    <w:p w14:paraId="6264AA5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w:t>
      </w:r>
    </w:p>
    <w:p w14:paraId="4AE87C4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cualquiera de los casos señalados en este artículo, ninguno de los miembros mayores de edad del hogar postulante podrá solicitar de nuevo un subsidio familiar de vivienda durante un término de diez (10) años, de conformidad con lo estipulado en el artículo 30 de la Ley 3a de 1991. Adicionalmente, cuando se presenten los eventos señalados en el parágrafo 2° del artículo 8° de la Ley 3ª de 1991 modificado por el artículo 21 de la Ley 1537 de 2012, la entidad otorgante del subsidio familiar de vivienda deberá dar traslado de las actuaciones realizadas a la Fiscalía General de la Nación, para que se inicien las investigaciones a que haya lugar. </w:t>
      </w:r>
    </w:p>
    <w:p w14:paraId="2E2405AC" w14:textId="77777777" w:rsidR="009342F9" w:rsidRDefault="009342F9" w:rsidP="00FC79C1">
      <w:pPr>
        <w:spacing w:after="0" w:line="240" w:lineRule="auto"/>
        <w:jc w:val="both"/>
        <w:rPr>
          <w:rFonts w:ascii="Arial" w:eastAsia="Times New Roman" w:hAnsi="Arial" w:cs="Arial"/>
          <w:color w:val="000000"/>
          <w:lang w:eastAsia="es-CO"/>
        </w:rPr>
      </w:pPr>
      <w:bookmarkStart w:id="360" w:name="ver_30110584"/>
      <w:bookmarkStart w:id="361" w:name="ver_30110583"/>
      <w:bookmarkEnd w:id="360"/>
    </w:p>
    <w:p w14:paraId="4D8F35AE" w14:textId="571079F8"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2.1.1.2.1.2.9. Rechazo de la postulación. Fonvivienda rechazará las postulaciones de los hogares que presenten alguna de las siguientes condiciones:  </w:t>
      </w:r>
    </w:p>
    <w:p w14:paraId="0A0B245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87CCB3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 Que el postulante comparta el mismo hogar potencial beneficiario con otro postulante.  </w:t>
      </w:r>
    </w:p>
    <w:p w14:paraId="168C884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8558F7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este caso se aceptará la primera postulación y se rechazarán las posteriores;  </w:t>
      </w:r>
    </w:p>
    <w:p w14:paraId="756EC45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56F293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b) Que alguno de los miembros del hogar sea propietario de una o más viviendas, salvo que esta i) haya sido abandonada o despojada en el marco del conflicto armado interno, o ii) se encuentre en zonas de riesgo por la ocurrencia de eventos físicos peligrosos de origen tecnológico o en zonas de afectación por el diseño, ejecución u operación de obras de infraestructura o proyectos de interés nacional y/o estratégicos desarrollados por el Gobierno nacional, de conformidad con los análisis específicos de riesgos y los planes de emergencia y contingencia de que trata el artículo 42 de la Ley 1523 de 2012 o las normas que lo modifiquen, adicionen o sustituyan;  </w:t>
      </w:r>
    </w:p>
    <w:p w14:paraId="048C837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D9B277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 Que alguno de los miembros del hogar postulante haya sido beneficiario de un subsidio familiar de vivienda que haya sido efectivamente aplicado, salvo quienes hayan perdido la vivienda por imposibilidad de pago, de acuerdo con lo establecido en el artículo 33 de la Ley 546 de 1999 o cuando la vivienda en la cual se haya aplicado el subsidio haya resultado totalmente destruida o quedado inhabitable como consecuencia de desastres naturales, calamidades públicas, emergencias, o atentados terroristas, o haya sido abandonada o despojada en el marco del conflicto armado interno, o se encuentre en zonas de riesgo o afectación a que se refiere el literal b) del presente artículo;  </w:t>
      </w:r>
    </w:p>
    <w:p w14:paraId="644600E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C9CB33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d) Que alguno de los miembros del hogar haya sido sancionado conforme a lo dispuesto por el artículo 30 de la Ley 3a de 1991 o las normas que la modifiquen, adicionen o sustituyan.  </w:t>
      </w:r>
    </w:p>
    <w:p w14:paraId="5294525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F28D71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La acreditación de que la vivienda se encuentra en algunas de las situaciones a que se refiere el numeral ii) del literal b) del presente artículo, se realizará mediante certificación emitida por la entidad encargada del diseño, ejecución u operación de la obra e inclusión de los hogares en los censos elaborados por los Consejos Municipales para la Gestión del Riesgo de Desastres, avalados por los Consejos Departamentales para la Gestión del Riesgo de Desastres, refrendados por la Unidad Nacional para la Gestión del Riesgo de Desastres.  </w:t>
      </w:r>
    </w:p>
    <w:p w14:paraId="7CCF3E6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599DB1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este caso, para la asignación del subsidio familiar de vivienda de que trata el artículo 2.1.1.2.1.4.1 el hogar o el oferente del proyecto deberán acreditar la transferencia del derecho de dominio del inmueble desalojado a la entidad que corresponda de acuerdo con las normas vigentes, mediante la presentación del certificado de libertad y tradición respectivo o con certificación emitida por la entidad adquirente”.  </w:t>
      </w:r>
    </w:p>
    <w:p w14:paraId="1CF9C7D5" w14:textId="77777777" w:rsidR="005A1FCF" w:rsidRPr="009342F9" w:rsidRDefault="005A1FCF" w:rsidP="00FC79C1">
      <w:pPr>
        <w:spacing w:after="0" w:line="240" w:lineRule="auto"/>
        <w:jc w:val="both"/>
        <w:rPr>
          <w:rFonts w:ascii="Arial" w:eastAsia="Times New Roman" w:hAnsi="Arial" w:cs="Arial"/>
          <w:color w:val="000000"/>
          <w:lang w:eastAsia="es-CO"/>
        </w:rPr>
      </w:pPr>
      <w:bookmarkStart w:id="362" w:name="ver_30069371"/>
      <w:bookmarkEnd w:id="361"/>
      <w:bookmarkEnd w:id="362"/>
    </w:p>
    <w:p w14:paraId="53060AC3" w14:textId="5C9A0D36" w:rsidR="00FC79C1" w:rsidRPr="009342F9" w:rsidRDefault="00FC79C1" w:rsidP="005A1FCF">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SUBSECCIÓN 3</w:t>
      </w:r>
    </w:p>
    <w:p w14:paraId="29D7BFEB" w14:textId="77777777" w:rsidR="00FC79C1" w:rsidRPr="009342F9" w:rsidRDefault="00FC79C1" w:rsidP="005A1FCF">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SELECCIÓN DE HOGARES BENEFICIARIOS</w:t>
      </w:r>
    </w:p>
    <w:p w14:paraId="54EA757C" w14:textId="77777777" w:rsidR="00FC79C1" w:rsidRPr="009342F9" w:rsidRDefault="00FC79C1" w:rsidP="005A1FCF">
      <w:pPr>
        <w:spacing w:after="0" w:line="240" w:lineRule="auto"/>
        <w:jc w:val="center"/>
        <w:rPr>
          <w:rFonts w:ascii="Arial" w:eastAsia="Times New Roman" w:hAnsi="Arial" w:cs="Arial"/>
          <w:b/>
          <w:bCs/>
          <w:color w:val="000000"/>
          <w:lang w:eastAsia="es-CO"/>
        </w:rPr>
      </w:pPr>
      <w:bookmarkStart w:id="363" w:name="ver_30167077"/>
      <w:bookmarkStart w:id="364" w:name="ver_30110585"/>
      <w:bookmarkStart w:id="365" w:name="ver_30110586"/>
      <w:bookmarkEnd w:id="363"/>
    </w:p>
    <w:p w14:paraId="41A9EB1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2.1.1.2.1.3.1. Proceso de selección de hogares beneficiarios del SFVE. El Ministerio de Vivienda, Ciudad y Territorio y el Departamento Administrativo para la Prosperidad Social expedirán una resolución conjunta en la que establecerán los órdenes de selección de los hogares beneficiarios. Una vez surtidos los procesos establecidos en los artículos 2.1.1.2.1.2.7 y 2.1.1.2.1.2.9 de la presente sección, Fonvivienda remitirá al Departamento Administrativo para la Prosperidad Social el listado de hogares postulantes que cumplen requisito para ser beneficiarios del SFVE, por cada grupo de población. Con base en la resolución y en dichos listados, el Departamento Administrativo para la Prosperidad Social, dentro de los veinte (20) días siguientes al recibo del listado por parte de Fonvivienda, seleccionará a los hogares beneficiarios, con fundamento en los grupos poblacionales establecidos en el artículo 12 de la Ley 1537 de 2012 y demás normas que lo desarrollen, modifiquen o adicionen.  </w:t>
      </w:r>
    </w:p>
    <w:p w14:paraId="2EACB16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21F041A" w14:textId="36FA6483" w:rsidR="00FC79C1"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Cuando el proyecto se ejecute en un corregimiento urbano de la jurisdicción de un municipio, se priorizarán en todos los criterios a los cuales se refiere esta sección, los hogares que luego del proceso de postulación reporten que se encuentren ubicados en los respectivos corregimientos, para lo cual Fonvivienda podrá solicitar la información respectiva a los alcaldes municipales o distritales.  </w:t>
      </w:r>
    </w:p>
    <w:p w14:paraId="3EEEC4F0" w14:textId="77777777" w:rsidR="009342F9" w:rsidRPr="009342F9" w:rsidRDefault="009342F9" w:rsidP="00FC79C1">
      <w:pPr>
        <w:spacing w:after="0" w:line="240" w:lineRule="auto"/>
        <w:jc w:val="both"/>
        <w:rPr>
          <w:rFonts w:ascii="Arial" w:eastAsia="Times New Roman" w:hAnsi="Arial" w:cs="Arial"/>
          <w:color w:val="000000"/>
          <w:lang w:eastAsia="es-CO"/>
        </w:rPr>
      </w:pPr>
    </w:p>
    <w:p w14:paraId="6AED360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Para este efecto, la resolución conjunta a la que hace referencia este artículo deberá tener en cuenta las siguientes condiciones de los hogares beneficiarios:  </w:t>
      </w:r>
    </w:p>
    <w:p w14:paraId="293FA46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993043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 Población víctima de desplazamiento forzado:  </w:t>
      </w:r>
    </w:p>
    <w:p w14:paraId="6815BB66" w14:textId="77777777" w:rsidR="00FC79C1" w:rsidRPr="009342F9" w:rsidRDefault="00FC79C1" w:rsidP="00FC79C1">
      <w:pPr>
        <w:spacing w:after="0" w:line="240" w:lineRule="auto"/>
        <w:ind w:left="700"/>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4C316D7" w14:textId="77777777" w:rsidR="00FC79C1" w:rsidRPr="009342F9" w:rsidRDefault="00FC79C1" w:rsidP="00FC79C1">
      <w:pPr>
        <w:spacing w:after="0" w:line="240" w:lineRule="auto"/>
        <w:ind w:left="700"/>
        <w:jc w:val="both"/>
        <w:rPr>
          <w:rFonts w:ascii="Arial" w:eastAsia="Times New Roman" w:hAnsi="Arial" w:cs="Arial"/>
          <w:color w:val="000000"/>
          <w:lang w:eastAsia="es-CO"/>
        </w:rPr>
      </w:pPr>
      <w:r w:rsidRPr="009342F9">
        <w:rPr>
          <w:rFonts w:ascii="Arial" w:eastAsia="Times New Roman" w:hAnsi="Arial" w:cs="Arial"/>
          <w:color w:val="000000"/>
          <w:lang w:eastAsia="es-CO"/>
        </w:rPr>
        <w:t>1. Hogares víctimas de desplazamiento forzado que hayan sido beneficiarios de un subsidio familiar de vivienda urbano asignado por Fonvivienda que se encontra</w:t>
      </w:r>
      <w:r w:rsidRPr="009342F9">
        <w:rPr>
          <w:rFonts w:ascii="Arial" w:eastAsia="Times New Roman" w:hAnsi="Arial" w:cs="Arial"/>
          <w:color w:val="000000"/>
          <w:lang w:eastAsia="es-CO"/>
        </w:rPr>
        <w:softHyphen/>
        <w:t>ban vinculados en proyectos indemnizados, en incumplimiento o paralizados, en programas o bolsas anteriores a la expedición de la Ley 1537 de 2012, cuya ejecución no pueda ser concluida.  </w:t>
      </w:r>
    </w:p>
    <w:p w14:paraId="6B500753" w14:textId="77777777" w:rsidR="00FC79C1" w:rsidRPr="009342F9" w:rsidRDefault="00FC79C1" w:rsidP="00FC79C1">
      <w:pPr>
        <w:spacing w:after="0" w:line="240" w:lineRule="auto"/>
        <w:ind w:left="700"/>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835F775" w14:textId="77777777" w:rsidR="00FC79C1" w:rsidRPr="009342F9" w:rsidRDefault="00FC79C1" w:rsidP="00FC79C1">
      <w:pPr>
        <w:spacing w:after="0" w:line="240" w:lineRule="auto"/>
        <w:ind w:left="700"/>
        <w:jc w:val="both"/>
        <w:rPr>
          <w:rFonts w:ascii="Arial" w:eastAsia="Times New Roman" w:hAnsi="Arial" w:cs="Arial"/>
          <w:color w:val="000000"/>
          <w:lang w:eastAsia="es-CO"/>
        </w:rPr>
      </w:pPr>
      <w:r w:rsidRPr="009342F9">
        <w:rPr>
          <w:rFonts w:ascii="Arial" w:eastAsia="Times New Roman" w:hAnsi="Arial" w:cs="Arial"/>
          <w:color w:val="000000"/>
          <w:lang w:eastAsia="es-CO"/>
        </w:rPr>
        <w:t>2. Hogares víctimas de desplazamiento forzado que hayan sido beneficiarios de un subsidio familiar de vivienda urbano asignado por Fonvivienda que se encuentre sin aplicar.  </w:t>
      </w:r>
    </w:p>
    <w:p w14:paraId="49632A88" w14:textId="77777777" w:rsidR="00FC79C1" w:rsidRPr="009342F9" w:rsidRDefault="00FC79C1" w:rsidP="00FC79C1">
      <w:pPr>
        <w:spacing w:after="0" w:line="240" w:lineRule="auto"/>
        <w:ind w:left="700"/>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C6373F3" w14:textId="77777777" w:rsidR="00FC79C1" w:rsidRPr="009342F9" w:rsidRDefault="00FC79C1" w:rsidP="00FC79C1">
      <w:pPr>
        <w:spacing w:after="0" w:line="240" w:lineRule="auto"/>
        <w:ind w:left="700"/>
        <w:jc w:val="both"/>
        <w:rPr>
          <w:rFonts w:ascii="Arial" w:eastAsia="Times New Roman" w:hAnsi="Arial" w:cs="Arial"/>
          <w:color w:val="000000"/>
          <w:lang w:eastAsia="es-CO"/>
        </w:rPr>
      </w:pPr>
      <w:r w:rsidRPr="009342F9">
        <w:rPr>
          <w:rFonts w:ascii="Arial" w:eastAsia="Times New Roman" w:hAnsi="Arial" w:cs="Arial"/>
          <w:color w:val="000000"/>
          <w:lang w:eastAsia="es-CO"/>
        </w:rPr>
        <w:t>3. Hogares víctimas de desplazamiento forzado que se encuentren en estado “Cali</w:t>
      </w:r>
      <w:r w:rsidRPr="009342F9">
        <w:rPr>
          <w:rFonts w:ascii="Arial" w:eastAsia="Times New Roman" w:hAnsi="Arial" w:cs="Arial"/>
          <w:color w:val="000000"/>
          <w:lang w:eastAsia="es-CO"/>
        </w:rPr>
        <w:softHyphen/>
        <w:t>ficado” en el sistema de información del subsidio familiar de vivienda adminis</w:t>
      </w:r>
      <w:r w:rsidRPr="009342F9">
        <w:rPr>
          <w:rFonts w:ascii="Arial" w:eastAsia="Times New Roman" w:hAnsi="Arial" w:cs="Arial"/>
          <w:color w:val="000000"/>
          <w:lang w:eastAsia="es-CO"/>
        </w:rPr>
        <w:softHyphen/>
        <w:t>trado por Fonvivienda, que se hayan postulado en la convocatoria para población en situación de desplazamiento realizada en el año 2007.  </w:t>
      </w:r>
    </w:p>
    <w:p w14:paraId="0E643B99" w14:textId="77777777" w:rsidR="00FC79C1" w:rsidRPr="009342F9" w:rsidRDefault="00FC79C1" w:rsidP="00FC79C1">
      <w:pPr>
        <w:spacing w:after="0" w:line="240" w:lineRule="auto"/>
        <w:ind w:left="700"/>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64F1C0C" w14:textId="77777777" w:rsidR="00FC79C1" w:rsidRPr="009342F9" w:rsidRDefault="00FC79C1" w:rsidP="00FC79C1">
      <w:pPr>
        <w:spacing w:after="0" w:line="240" w:lineRule="auto"/>
        <w:ind w:left="700"/>
        <w:jc w:val="both"/>
        <w:rPr>
          <w:rFonts w:ascii="Arial" w:eastAsia="Times New Roman" w:hAnsi="Arial" w:cs="Arial"/>
          <w:color w:val="000000"/>
          <w:lang w:eastAsia="es-CO"/>
        </w:rPr>
      </w:pPr>
      <w:r w:rsidRPr="009342F9">
        <w:rPr>
          <w:rFonts w:ascii="Arial" w:eastAsia="Times New Roman" w:hAnsi="Arial" w:cs="Arial"/>
          <w:color w:val="000000"/>
          <w:lang w:eastAsia="es-CO"/>
        </w:rPr>
        <w:t>4. Hogares incorporados como víctimas de desplazamiento forzado en la base de datos del RUV.  </w:t>
      </w:r>
    </w:p>
    <w:p w14:paraId="13F3CC6F" w14:textId="77777777" w:rsidR="00FC79C1" w:rsidRPr="009342F9" w:rsidRDefault="00FC79C1" w:rsidP="00FC79C1">
      <w:pPr>
        <w:spacing w:after="0" w:line="240" w:lineRule="auto"/>
        <w:ind w:left="700"/>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AF66A29" w14:textId="77777777" w:rsidR="00FC79C1" w:rsidRPr="009342F9" w:rsidRDefault="00FC79C1" w:rsidP="00FC79C1">
      <w:pPr>
        <w:spacing w:after="0" w:line="240" w:lineRule="auto"/>
        <w:ind w:left="700"/>
        <w:jc w:val="both"/>
        <w:rPr>
          <w:rFonts w:ascii="Arial" w:eastAsia="Times New Roman" w:hAnsi="Arial" w:cs="Arial"/>
          <w:color w:val="000000"/>
          <w:lang w:eastAsia="es-CO"/>
        </w:rPr>
      </w:pPr>
      <w:r w:rsidRPr="009342F9">
        <w:rPr>
          <w:rFonts w:ascii="Arial" w:eastAsia="Times New Roman" w:hAnsi="Arial" w:cs="Arial"/>
          <w:color w:val="000000"/>
          <w:lang w:eastAsia="es-CO"/>
        </w:rPr>
        <w:t>5. Hogares que cumplan con alguna de las condiciones anteriores y pertenezcan a la Red Unidos;  </w:t>
      </w:r>
    </w:p>
    <w:p w14:paraId="2A53645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C3D0EF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b) Población de la Red Unidos:  </w:t>
      </w:r>
    </w:p>
    <w:p w14:paraId="2D74A7EC" w14:textId="77777777" w:rsidR="00FC79C1" w:rsidRPr="009342F9" w:rsidRDefault="00FC79C1" w:rsidP="00FC79C1">
      <w:pPr>
        <w:spacing w:after="0" w:line="240" w:lineRule="auto"/>
        <w:ind w:left="700"/>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F5AE26C" w14:textId="77777777" w:rsidR="00FC79C1" w:rsidRPr="009342F9" w:rsidRDefault="00FC79C1" w:rsidP="00FC79C1">
      <w:pPr>
        <w:spacing w:after="0" w:line="240" w:lineRule="auto"/>
        <w:ind w:left="700"/>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1. Hogares que cumplan con alguna de las condiciones del literal a) del presente artículo y pertenezcan a la Red Unidos o que estén incluidos en la base del Sisbén III, </w:t>
      </w:r>
      <w:proofErr w:type="gramStart"/>
      <w:r w:rsidRPr="009342F9">
        <w:rPr>
          <w:rFonts w:ascii="Arial" w:eastAsia="Times New Roman" w:hAnsi="Arial" w:cs="Arial"/>
          <w:color w:val="000000"/>
          <w:lang w:eastAsia="es-CO"/>
        </w:rPr>
        <w:t>de acuerdo a</w:t>
      </w:r>
      <w:proofErr w:type="gramEnd"/>
      <w:r w:rsidRPr="009342F9">
        <w:rPr>
          <w:rFonts w:ascii="Arial" w:eastAsia="Times New Roman" w:hAnsi="Arial" w:cs="Arial"/>
          <w:color w:val="000000"/>
          <w:lang w:eastAsia="es-CO"/>
        </w:rPr>
        <w:t xml:space="preserve"> los puntos de corte que establezca el Departamento Administra</w:t>
      </w:r>
      <w:r w:rsidRPr="009342F9">
        <w:rPr>
          <w:rFonts w:ascii="Arial" w:eastAsia="Times New Roman" w:hAnsi="Arial" w:cs="Arial"/>
          <w:color w:val="000000"/>
          <w:lang w:eastAsia="es-CO"/>
        </w:rPr>
        <w:softHyphen/>
        <w:t>tivo para la Prosperidad Social por resolución.  </w:t>
      </w:r>
    </w:p>
    <w:p w14:paraId="0CAD3356" w14:textId="77777777" w:rsidR="00FC79C1" w:rsidRPr="009342F9" w:rsidRDefault="00FC79C1" w:rsidP="00FC79C1">
      <w:pPr>
        <w:spacing w:after="0" w:line="240" w:lineRule="auto"/>
        <w:ind w:left="700"/>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w:t>
      </w:r>
    </w:p>
    <w:p w14:paraId="6B972582" w14:textId="77777777" w:rsidR="00FC79C1" w:rsidRPr="009342F9" w:rsidRDefault="00FC79C1" w:rsidP="00FC79C1">
      <w:pPr>
        <w:spacing w:after="0" w:line="240" w:lineRule="auto"/>
        <w:ind w:left="700"/>
        <w:jc w:val="both"/>
        <w:rPr>
          <w:rFonts w:ascii="Arial" w:eastAsia="Times New Roman" w:hAnsi="Arial" w:cs="Arial"/>
          <w:color w:val="000000"/>
          <w:lang w:eastAsia="es-CO"/>
        </w:rPr>
      </w:pPr>
      <w:r w:rsidRPr="009342F9">
        <w:rPr>
          <w:rFonts w:ascii="Arial" w:eastAsia="Times New Roman" w:hAnsi="Arial" w:cs="Arial"/>
          <w:color w:val="000000"/>
          <w:lang w:eastAsia="es-CO"/>
        </w:rPr>
        <w:t>2. Hogares indígenas, afrocolombianos, negros, raizales, palenqueros, Rom o gita</w:t>
      </w:r>
      <w:r w:rsidRPr="009342F9">
        <w:rPr>
          <w:rFonts w:ascii="Arial" w:eastAsia="Times New Roman" w:hAnsi="Arial" w:cs="Arial"/>
          <w:color w:val="000000"/>
          <w:lang w:eastAsia="es-CO"/>
        </w:rPr>
        <w:softHyphen/>
        <w:t>nos que hagan parte de la Red Unidos.  </w:t>
      </w:r>
    </w:p>
    <w:p w14:paraId="2086E011" w14:textId="77777777" w:rsidR="00FC79C1" w:rsidRPr="009342F9" w:rsidRDefault="00FC79C1" w:rsidP="00FC79C1">
      <w:pPr>
        <w:spacing w:after="0" w:line="240" w:lineRule="auto"/>
        <w:ind w:left="700"/>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14EBF1E" w14:textId="77777777" w:rsidR="00FC79C1" w:rsidRPr="009342F9" w:rsidRDefault="00FC79C1" w:rsidP="00FC79C1">
      <w:pPr>
        <w:spacing w:after="0" w:line="240" w:lineRule="auto"/>
        <w:ind w:left="700"/>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3. Hogares que hagan parte de la Red Unidos o que estén incluidos en la base del Sisbén III, </w:t>
      </w:r>
      <w:proofErr w:type="gramStart"/>
      <w:r w:rsidRPr="009342F9">
        <w:rPr>
          <w:rFonts w:ascii="Arial" w:eastAsia="Times New Roman" w:hAnsi="Arial" w:cs="Arial"/>
          <w:color w:val="000000"/>
          <w:lang w:eastAsia="es-CO"/>
        </w:rPr>
        <w:t>de acuerdo a</w:t>
      </w:r>
      <w:proofErr w:type="gramEnd"/>
      <w:r w:rsidRPr="009342F9">
        <w:rPr>
          <w:rFonts w:ascii="Arial" w:eastAsia="Times New Roman" w:hAnsi="Arial" w:cs="Arial"/>
          <w:color w:val="000000"/>
          <w:lang w:eastAsia="es-CO"/>
        </w:rPr>
        <w:t xml:space="preserve"> los puntos de corte que establezca el Departamento Ad</w:t>
      </w:r>
      <w:r w:rsidRPr="009342F9">
        <w:rPr>
          <w:rFonts w:ascii="Arial" w:eastAsia="Times New Roman" w:hAnsi="Arial" w:cs="Arial"/>
          <w:color w:val="000000"/>
          <w:lang w:eastAsia="es-CO"/>
        </w:rPr>
        <w:softHyphen/>
        <w:t>ministrativo para la Prosperidad Social por resolución.  </w:t>
      </w:r>
    </w:p>
    <w:p w14:paraId="7506E50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48CEC3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 Hogares damnificados de desastre natural, calamidad pública o emergencia, o localizados en zonas de alto riesgo:  </w:t>
      </w:r>
    </w:p>
    <w:p w14:paraId="4D4F26D7" w14:textId="77777777" w:rsidR="00FC79C1" w:rsidRPr="009342F9" w:rsidRDefault="00FC79C1" w:rsidP="00FC79C1">
      <w:pPr>
        <w:spacing w:after="0" w:line="240" w:lineRule="auto"/>
        <w:ind w:left="700"/>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091E1AA" w14:textId="77777777" w:rsidR="00FC79C1" w:rsidRPr="009342F9" w:rsidRDefault="00FC79C1" w:rsidP="00FC79C1">
      <w:pPr>
        <w:spacing w:after="0" w:line="240" w:lineRule="auto"/>
        <w:ind w:left="700"/>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1. Hogares que hayan sido beneficiarios de un subsidio familiar de vivienda urbano asignado en la bolsa de desastres naturales por Fonvivienda, que se encuentre sin aplicar, y que pertenezcan a la Red Unidos o que estén incluidos en la base del Sisbén III, </w:t>
      </w:r>
      <w:proofErr w:type="gramStart"/>
      <w:r w:rsidRPr="009342F9">
        <w:rPr>
          <w:rFonts w:ascii="Arial" w:eastAsia="Times New Roman" w:hAnsi="Arial" w:cs="Arial"/>
          <w:color w:val="000000"/>
          <w:lang w:eastAsia="es-CO"/>
        </w:rPr>
        <w:t>de acuerdo a</w:t>
      </w:r>
      <w:proofErr w:type="gramEnd"/>
      <w:r w:rsidRPr="009342F9">
        <w:rPr>
          <w:rFonts w:ascii="Arial" w:eastAsia="Times New Roman" w:hAnsi="Arial" w:cs="Arial"/>
          <w:color w:val="000000"/>
          <w:lang w:eastAsia="es-CO"/>
        </w:rPr>
        <w:t xml:space="preserve"> los puntos de corte que establezca el Departamento Administrativo para la Prosperidad Social por resolución.  </w:t>
      </w:r>
    </w:p>
    <w:p w14:paraId="278B359D" w14:textId="77777777" w:rsidR="00FC79C1" w:rsidRPr="009342F9" w:rsidRDefault="00FC79C1" w:rsidP="00FC79C1">
      <w:pPr>
        <w:spacing w:after="0" w:line="240" w:lineRule="auto"/>
        <w:ind w:left="700"/>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2948F72" w14:textId="77777777" w:rsidR="00FC79C1" w:rsidRPr="009342F9" w:rsidRDefault="00FC79C1" w:rsidP="00FC79C1">
      <w:pPr>
        <w:spacing w:after="0" w:line="240" w:lineRule="auto"/>
        <w:ind w:left="700"/>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2. Hogares damnificados de desastre natural, calamidad pública o emergencia y hogares localizados en zonas de alto riesgo, que se encuentren incluidos en los censos ya elaborados por los Consejos Municipales para la Gestión del Riesgo de Desastres (antes </w:t>
      </w:r>
      <w:proofErr w:type="spellStart"/>
      <w:r w:rsidRPr="009342F9">
        <w:rPr>
          <w:rFonts w:ascii="Arial" w:eastAsia="Times New Roman" w:hAnsi="Arial" w:cs="Arial"/>
          <w:color w:val="000000"/>
          <w:lang w:eastAsia="es-CO"/>
        </w:rPr>
        <w:t>Clopad</w:t>
      </w:r>
      <w:proofErr w:type="spellEnd"/>
      <w:r w:rsidRPr="009342F9">
        <w:rPr>
          <w:rFonts w:ascii="Arial" w:eastAsia="Times New Roman" w:hAnsi="Arial" w:cs="Arial"/>
          <w:color w:val="000000"/>
          <w:lang w:eastAsia="es-CO"/>
        </w:rPr>
        <w:t>), avalados por los Consejos Departamentales para la Gestión del Riesgo de Desastres (antes Crepad) y refrendados por la Unidad Nacional para la Gestión del Riesgo de Desastres (UNGRD), al 29 de diciembre de 2014, y que pertenezcan a la Red Unidos o que estén incluidos en la base del Sisbén III, de acuerdo a los puntos de corte que establezca el Departamento Ad</w:t>
      </w:r>
      <w:r w:rsidRPr="009342F9">
        <w:rPr>
          <w:rFonts w:ascii="Arial" w:eastAsia="Times New Roman" w:hAnsi="Arial" w:cs="Arial"/>
          <w:color w:val="000000"/>
          <w:lang w:eastAsia="es-CO"/>
        </w:rPr>
        <w:softHyphen/>
        <w:t>ministrativo para la Prosperidad Social por resolución.  </w:t>
      </w:r>
    </w:p>
    <w:p w14:paraId="384FBFDD" w14:textId="77777777" w:rsidR="00FC79C1" w:rsidRPr="009342F9" w:rsidRDefault="00FC79C1" w:rsidP="00FC79C1">
      <w:pPr>
        <w:spacing w:after="0" w:line="240" w:lineRule="auto"/>
        <w:ind w:left="700"/>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68044A5" w14:textId="77777777" w:rsidR="00FC79C1" w:rsidRPr="009342F9" w:rsidRDefault="00FC79C1" w:rsidP="00FC79C1">
      <w:pPr>
        <w:spacing w:after="0" w:line="240" w:lineRule="auto"/>
        <w:ind w:left="700"/>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3. Hogares damnificados de desastre natural, calamidad pública o emergencia y hogares localizados en zonas de alto riesgo, que se encuentren incluidos en los censos que se elaboren, avalen y refrenden, a partir del 29 de diciembre de 2014, y que pertenezcan a la Red Unidos o que estén incluidos en la base del Sisbén III, </w:t>
      </w:r>
      <w:proofErr w:type="gramStart"/>
      <w:r w:rsidRPr="009342F9">
        <w:rPr>
          <w:rFonts w:ascii="Arial" w:eastAsia="Times New Roman" w:hAnsi="Arial" w:cs="Arial"/>
          <w:color w:val="000000"/>
          <w:lang w:eastAsia="es-CO"/>
        </w:rPr>
        <w:t>de acuerdo a</w:t>
      </w:r>
      <w:proofErr w:type="gramEnd"/>
      <w:r w:rsidRPr="009342F9">
        <w:rPr>
          <w:rFonts w:ascii="Arial" w:eastAsia="Times New Roman" w:hAnsi="Arial" w:cs="Arial"/>
          <w:color w:val="000000"/>
          <w:lang w:eastAsia="es-CO"/>
        </w:rPr>
        <w:t xml:space="preserve"> los puntos de corte que establezca el Departamento Administrativo para la Prosperidad Social por resolución.  </w:t>
      </w:r>
    </w:p>
    <w:p w14:paraId="61D65318" w14:textId="77777777" w:rsidR="00FC79C1" w:rsidRPr="009342F9" w:rsidRDefault="00FC79C1" w:rsidP="00FC79C1">
      <w:pPr>
        <w:spacing w:after="0" w:line="240" w:lineRule="auto"/>
        <w:ind w:left="700"/>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63EA1CC" w14:textId="690612BC" w:rsidR="00FC79C1" w:rsidRDefault="00FC79C1" w:rsidP="00FC79C1">
      <w:pPr>
        <w:spacing w:after="0" w:line="240" w:lineRule="auto"/>
        <w:ind w:left="700"/>
        <w:jc w:val="both"/>
        <w:rPr>
          <w:rFonts w:ascii="Arial" w:eastAsia="Times New Roman" w:hAnsi="Arial" w:cs="Arial"/>
          <w:color w:val="000000"/>
          <w:lang w:eastAsia="es-CO"/>
        </w:rPr>
      </w:pPr>
      <w:r w:rsidRPr="009342F9">
        <w:rPr>
          <w:rFonts w:ascii="Arial" w:eastAsia="Times New Roman" w:hAnsi="Arial" w:cs="Arial"/>
          <w:color w:val="000000"/>
          <w:lang w:eastAsia="es-CO"/>
        </w:rPr>
        <w:t>4. Hogares localizados en zonas de riesgo por la ocurrencia de eventos físicos peligrosos de origen tecnológico derivados de la ejecución u operación de obras de infraestructura o proyectos de interés nacional y estratégico desa</w:t>
      </w:r>
      <w:r w:rsidRPr="009342F9">
        <w:rPr>
          <w:rFonts w:ascii="Arial" w:eastAsia="Times New Roman" w:hAnsi="Arial" w:cs="Arial"/>
          <w:color w:val="000000"/>
          <w:lang w:eastAsia="es-CO"/>
        </w:rPr>
        <w:softHyphen/>
        <w:t>rrollados por el Gobierno nacional, así como hogares localizados en zonas de afectación, reserva o retiro, por el diseño, ejecución un operación de una obra de infraestructura o proyectos de interés nacional y estratégico desarro</w:t>
      </w:r>
      <w:r w:rsidRPr="009342F9">
        <w:rPr>
          <w:rFonts w:ascii="Arial" w:eastAsia="Times New Roman" w:hAnsi="Arial" w:cs="Arial"/>
          <w:color w:val="000000"/>
          <w:lang w:eastAsia="es-CO"/>
        </w:rPr>
        <w:softHyphen/>
        <w:t>llados por el Gobierno nacional, de conformidad con los análisis específicos de riesgos y planes de contingencia de que trata el artículo 42 de la Ley 1523 de 2012. En ambos eventos, los hogares deberán estar identificados por la en</w:t>
      </w:r>
      <w:r w:rsidRPr="009342F9">
        <w:rPr>
          <w:rFonts w:ascii="Arial" w:eastAsia="Times New Roman" w:hAnsi="Arial" w:cs="Arial"/>
          <w:color w:val="000000"/>
          <w:lang w:eastAsia="es-CO"/>
        </w:rPr>
        <w:softHyphen/>
        <w:t xml:space="preserve">tidad encargada del diseño, ejecución u operación de la obra, incluidos en los censos elaborados por los Consejos Municipales para la Gestión del Riesgo de Desastres (antes </w:t>
      </w:r>
      <w:proofErr w:type="spellStart"/>
      <w:r w:rsidRPr="009342F9">
        <w:rPr>
          <w:rFonts w:ascii="Arial" w:eastAsia="Times New Roman" w:hAnsi="Arial" w:cs="Arial"/>
          <w:color w:val="000000"/>
          <w:lang w:eastAsia="es-CO"/>
        </w:rPr>
        <w:t>Clopad</w:t>
      </w:r>
      <w:proofErr w:type="spellEnd"/>
      <w:r w:rsidRPr="009342F9">
        <w:rPr>
          <w:rFonts w:ascii="Arial" w:eastAsia="Times New Roman" w:hAnsi="Arial" w:cs="Arial"/>
          <w:color w:val="000000"/>
          <w:lang w:eastAsia="es-CO"/>
        </w:rPr>
        <w:t>), avalados por los Consejos Departamentales para la Gestión del Riesgo de Desastres (antes Crepad), refrendados por la Unidad Nacional para la Gestión del Riesgo de Desastres (UNGRD), y que pertenez</w:t>
      </w:r>
      <w:r w:rsidRPr="009342F9">
        <w:rPr>
          <w:rFonts w:ascii="Arial" w:eastAsia="Times New Roman" w:hAnsi="Arial" w:cs="Arial"/>
          <w:color w:val="000000"/>
          <w:lang w:eastAsia="es-CO"/>
        </w:rPr>
        <w:softHyphen/>
        <w:t>can a la Red Unidos o que estén incluidos en la base del Sisbén III, de acuerdo a los puntos de corte que establezca el Departamento Administrativo para la Prosperidad Social por resolución.  </w:t>
      </w:r>
    </w:p>
    <w:p w14:paraId="2909B78D" w14:textId="77777777" w:rsidR="009342F9" w:rsidRPr="009342F9" w:rsidRDefault="009342F9" w:rsidP="00FC79C1">
      <w:pPr>
        <w:spacing w:after="0" w:line="240" w:lineRule="auto"/>
        <w:ind w:left="700"/>
        <w:jc w:val="both"/>
        <w:rPr>
          <w:rFonts w:ascii="Arial" w:eastAsia="Times New Roman" w:hAnsi="Arial" w:cs="Arial"/>
          <w:color w:val="000000"/>
          <w:lang w:eastAsia="es-CO"/>
        </w:rPr>
      </w:pPr>
    </w:p>
    <w:p w14:paraId="5BD2066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Los criterios antes mencionados se aplicarán </w:t>
      </w:r>
      <w:proofErr w:type="gramStart"/>
      <w:r w:rsidRPr="009342F9">
        <w:rPr>
          <w:rFonts w:ascii="Arial" w:eastAsia="Times New Roman" w:hAnsi="Arial" w:cs="Arial"/>
          <w:color w:val="000000"/>
          <w:lang w:eastAsia="es-CO"/>
        </w:rPr>
        <w:t>de acuerdo a</w:t>
      </w:r>
      <w:proofErr w:type="gramEnd"/>
      <w:r w:rsidRPr="009342F9">
        <w:rPr>
          <w:rFonts w:ascii="Arial" w:eastAsia="Times New Roman" w:hAnsi="Arial" w:cs="Arial"/>
          <w:color w:val="000000"/>
          <w:lang w:eastAsia="es-CO"/>
        </w:rPr>
        <w:t xml:space="preserve"> la metodología que se expone a continuación:  </w:t>
      </w:r>
    </w:p>
    <w:p w14:paraId="234C312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w:t>
      </w:r>
    </w:p>
    <w:p w14:paraId="3D0569B3" w14:textId="77777777" w:rsidR="00FC79C1" w:rsidRPr="009342F9" w:rsidRDefault="00FC79C1" w:rsidP="00FC79C1">
      <w:pPr>
        <w:spacing w:after="0" w:line="240" w:lineRule="auto"/>
        <w:ind w:left="700"/>
        <w:jc w:val="both"/>
        <w:rPr>
          <w:rFonts w:ascii="Arial" w:eastAsia="Times New Roman" w:hAnsi="Arial" w:cs="Arial"/>
          <w:color w:val="000000"/>
          <w:lang w:eastAsia="es-CO"/>
        </w:rPr>
      </w:pPr>
      <w:r w:rsidRPr="009342F9">
        <w:rPr>
          <w:rFonts w:ascii="Arial" w:eastAsia="Times New Roman" w:hAnsi="Arial" w:cs="Arial"/>
          <w:color w:val="000000"/>
          <w:lang w:eastAsia="es-CO"/>
        </w:rPr>
        <w:t>a) Si los hogares que conforman el primer criterio de priorización exceden el núme</w:t>
      </w:r>
      <w:r w:rsidRPr="009342F9">
        <w:rPr>
          <w:rFonts w:ascii="Arial" w:eastAsia="Times New Roman" w:hAnsi="Arial" w:cs="Arial"/>
          <w:color w:val="000000"/>
          <w:lang w:eastAsia="es-CO"/>
        </w:rPr>
        <w:softHyphen/>
        <w:t>ro de viviendas a transferir a un grupo de población en el proyecto, se realizará un sorteo entre los hogares del respectivo criterio de priorización, en las condiciones establecidas en la presente sección y se tendrán como beneficiarios del SFVE aquellos que resulten seleccionados en el sorteo.  </w:t>
      </w:r>
    </w:p>
    <w:p w14:paraId="13B4C00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837E21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Si el número de viviendas a transferir a un grupo de población en el proyecto excede el número de hogares del primer criterio de priorización, la selección de estos hogares se hará en forma directa por el Departamento Administrativo para la Prosperidad Social y los demás hogares se seleccionarán a partir del segundo criterio de priorización.  </w:t>
      </w:r>
    </w:p>
    <w:p w14:paraId="32E9C834" w14:textId="77777777" w:rsidR="00FC79C1" w:rsidRPr="009342F9" w:rsidRDefault="00FC79C1" w:rsidP="00FC79C1">
      <w:pPr>
        <w:spacing w:after="0" w:line="240" w:lineRule="auto"/>
        <w:ind w:left="700"/>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DB234AD" w14:textId="77777777" w:rsidR="00FC79C1" w:rsidRPr="009342F9" w:rsidRDefault="00FC79C1" w:rsidP="00FC79C1">
      <w:pPr>
        <w:spacing w:after="0" w:line="240" w:lineRule="auto"/>
        <w:ind w:left="700"/>
        <w:jc w:val="both"/>
        <w:rPr>
          <w:rFonts w:ascii="Arial" w:eastAsia="Times New Roman" w:hAnsi="Arial" w:cs="Arial"/>
          <w:color w:val="000000"/>
          <w:lang w:eastAsia="es-CO"/>
        </w:rPr>
      </w:pPr>
      <w:r w:rsidRPr="009342F9">
        <w:rPr>
          <w:rFonts w:ascii="Arial" w:eastAsia="Times New Roman" w:hAnsi="Arial" w:cs="Arial"/>
          <w:color w:val="000000"/>
          <w:lang w:eastAsia="es-CO"/>
        </w:rPr>
        <w:t>b) Si los hogares que conforman el segundo criterio de priorización exceden el número de viviendas restantes a transferir para su grupo de población en el pro</w:t>
      </w:r>
      <w:r w:rsidRPr="009342F9">
        <w:rPr>
          <w:rFonts w:ascii="Arial" w:eastAsia="Times New Roman" w:hAnsi="Arial" w:cs="Arial"/>
          <w:color w:val="000000"/>
          <w:lang w:eastAsia="es-CO"/>
        </w:rPr>
        <w:softHyphen/>
        <w:t>yecto, se realizará un sorteo entre los hogares del respectivo criterio de prioriza</w:t>
      </w:r>
      <w:r w:rsidRPr="009342F9">
        <w:rPr>
          <w:rFonts w:ascii="Arial" w:eastAsia="Times New Roman" w:hAnsi="Arial" w:cs="Arial"/>
          <w:color w:val="000000"/>
          <w:lang w:eastAsia="es-CO"/>
        </w:rPr>
        <w:softHyphen/>
        <w:t>ción, en las condiciones establecidas en la presente sección y se tendrán como beneficiarios del SFVE aquellos que resulten seleccionados en el sorteo.  </w:t>
      </w:r>
    </w:p>
    <w:p w14:paraId="489BBD1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9B313C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Si el número de viviendas a transferir a un grupo de población en el proyecto excede el número de hogares del segundo criterio de priorización, la selección de estos hogares se hará en forma directa por el Departamento Administrativo para la Prosperidad Social y los demás hogares se seleccionarán a partir del tercer criterio de priorización;  </w:t>
      </w:r>
    </w:p>
    <w:p w14:paraId="060B422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8F622EA" w14:textId="77777777" w:rsidR="00FC79C1" w:rsidRPr="009342F9" w:rsidRDefault="00FC79C1" w:rsidP="00FC79C1">
      <w:pPr>
        <w:spacing w:after="0" w:line="240" w:lineRule="auto"/>
        <w:ind w:left="708"/>
        <w:jc w:val="both"/>
        <w:rPr>
          <w:rFonts w:ascii="Arial" w:eastAsia="Times New Roman" w:hAnsi="Arial" w:cs="Arial"/>
          <w:color w:val="000000"/>
          <w:lang w:eastAsia="es-CO"/>
        </w:rPr>
      </w:pPr>
      <w:r w:rsidRPr="009342F9">
        <w:rPr>
          <w:rFonts w:ascii="Arial" w:eastAsia="Times New Roman" w:hAnsi="Arial" w:cs="Arial"/>
          <w:color w:val="000000"/>
          <w:lang w:eastAsia="es-CO"/>
        </w:rPr>
        <w:t>c) Si los hogares que conforman el tercer criterio de priorización exceden el número de viviendas restantes a transferir para su grupo de población en el proyecto, se realizará un sorteo entre los hogares del respectivo criterio de priorización, en las condiciones establecidas en la presente sección y se tendrán como beneficiarios del SFVE aquellos que resulten seleccionados en el sorteo.  </w:t>
      </w:r>
    </w:p>
    <w:p w14:paraId="15A66D2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CB6850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Si el número de viviendas a transferir a un grupo de población en el proyecto excede el número de hogares del tercer criterio de priorización, la selección de estos hogares se hará por el Departamento Administrativo para la Prosperidad Social en forma directa y los demás hogares se seleccionarán a partir del cuarto criterio de priorización, cuando este esté previsto para el respectivo grupo de población;  </w:t>
      </w:r>
    </w:p>
    <w:p w14:paraId="7119394C" w14:textId="77777777" w:rsidR="00FC79C1" w:rsidRPr="009342F9" w:rsidRDefault="00FC79C1" w:rsidP="00FC79C1">
      <w:pPr>
        <w:spacing w:after="0" w:line="240" w:lineRule="auto"/>
        <w:ind w:left="700"/>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FB812D1" w14:textId="77777777" w:rsidR="00FC79C1" w:rsidRPr="009342F9" w:rsidRDefault="00FC79C1" w:rsidP="00FC79C1">
      <w:pPr>
        <w:spacing w:after="0" w:line="240" w:lineRule="auto"/>
        <w:ind w:left="700"/>
        <w:jc w:val="both"/>
        <w:rPr>
          <w:rFonts w:ascii="Arial" w:eastAsia="Times New Roman" w:hAnsi="Arial" w:cs="Arial"/>
          <w:color w:val="000000"/>
          <w:lang w:eastAsia="es-CO"/>
        </w:rPr>
      </w:pPr>
      <w:r w:rsidRPr="009342F9">
        <w:rPr>
          <w:rFonts w:ascii="Arial" w:eastAsia="Times New Roman" w:hAnsi="Arial" w:cs="Arial"/>
          <w:color w:val="000000"/>
          <w:lang w:eastAsia="es-CO"/>
        </w:rPr>
        <w:t>d) Se continuará con el procedimiento de los literales a), b) y c) del presente artí</w:t>
      </w:r>
      <w:r w:rsidRPr="009342F9">
        <w:rPr>
          <w:rFonts w:ascii="Arial" w:eastAsia="Times New Roman" w:hAnsi="Arial" w:cs="Arial"/>
          <w:color w:val="000000"/>
          <w:lang w:eastAsia="es-CO"/>
        </w:rPr>
        <w:softHyphen/>
        <w:t>culo hasta llegar al último criterio de priorización para cada uno de los grupos de población en el proyecto.  </w:t>
      </w:r>
    </w:p>
    <w:p w14:paraId="03B6BFA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4E360E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Si para las órdenes de priorización que utilizan Sisbén III, el número de hogares postulantes que cumplen requisitos excede el número de viviendas a transferir, los cupos restantes se seleccionarán en estricto orden ascendente según el puntaje Sisbén III de postulante, cuando aplique, teniendo en cuenta para ello la clasificación geográfica establecida por el mismo Sisbén. El número de viviendas asignadas a cada área geográfica (según clasificación Sisbén) será proporcional al número de postulantes en cada una de ellas. En todos los casos los hogares postulantes deberán tener un puntaje Sisbén III inferior al máximo que defina el Departamento Administrativo para la Prosperidad Social por Resolución.  </w:t>
      </w:r>
    </w:p>
    <w:p w14:paraId="7208713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8EBAD1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Con el objeto de observar los lineamientos previstos en el inciso segundo del artículo 12 de la Ley 1537 de 2012 respecto de la población vulnerable que allí se señala, en caso de empate al </w:t>
      </w:r>
      <w:r w:rsidRPr="009342F9">
        <w:rPr>
          <w:rFonts w:ascii="Arial" w:eastAsia="Times New Roman" w:hAnsi="Arial" w:cs="Arial"/>
          <w:color w:val="000000"/>
          <w:lang w:eastAsia="es-CO"/>
        </w:rPr>
        <w:lastRenderedPageBreak/>
        <w:t>segundo decimal en el puntaje Sisbén III correspondiente a una misma área geográfica, se tendrá el siguiente orden de prioridad:  </w:t>
      </w:r>
    </w:p>
    <w:p w14:paraId="145BECB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BBBC1D6" w14:textId="77777777" w:rsidR="00524495" w:rsidRDefault="00FC79C1" w:rsidP="00FC79C1">
      <w:pPr>
        <w:spacing w:after="0" w:line="240" w:lineRule="auto"/>
        <w:ind w:left="700"/>
        <w:jc w:val="both"/>
        <w:rPr>
          <w:rFonts w:ascii="Arial" w:eastAsia="Times New Roman" w:hAnsi="Arial" w:cs="Arial"/>
          <w:color w:val="000000"/>
          <w:lang w:eastAsia="es-CO"/>
        </w:rPr>
      </w:pPr>
      <w:r w:rsidRPr="009342F9">
        <w:rPr>
          <w:rFonts w:ascii="Arial" w:eastAsia="Times New Roman" w:hAnsi="Arial" w:cs="Arial"/>
          <w:color w:val="000000"/>
          <w:lang w:eastAsia="es-CO"/>
        </w:rPr>
        <w:t>i) Hogares con hombres o mujeres cabeza de hogar </w:t>
      </w:r>
    </w:p>
    <w:p w14:paraId="25946259" w14:textId="3EACF18F" w:rsidR="00FC79C1" w:rsidRPr="009342F9" w:rsidRDefault="00FC79C1" w:rsidP="00FC79C1">
      <w:pPr>
        <w:spacing w:after="0" w:line="240" w:lineRule="auto"/>
        <w:ind w:left="700"/>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88DC992" w14:textId="77777777" w:rsidR="00FC79C1" w:rsidRPr="009342F9" w:rsidRDefault="00FC79C1" w:rsidP="00FC79C1">
      <w:pPr>
        <w:spacing w:after="0" w:line="240" w:lineRule="auto"/>
        <w:ind w:left="700"/>
        <w:jc w:val="both"/>
        <w:rPr>
          <w:rFonts w:ascii="Arial" w:eastAsia="Times New Roman" w:hAnsi="Arial" w:cs="Arial"/>
          <w:color w:val="000000"/>
          <w:lang w:eastAsia="es-CO"/>
        </w:rPr>
      </w:pPr>
      <w:r w:rsidRPr="009342F9">
        <w:rPr>
          <w:rFonts w:ascii="Arial" w:eastAsia="Times New Roman" w:hAnsi="Arial" w:cs="Arial"/>
          <w:color w:val="000000"/>
          <w:lang w:eastAsia="es-CO"/>
        </w:rPr>
        <w:t>ii) Hogares con personas en situación de discapacidad  </w:t>
      </w:r>
    </w:p>
    <w:p w14:paraId="027ACCB2" w14:textId="77777777" w:rsidR="00FC79C1" w:rsidRPr="009342F9" w:rsidRDefault="00FC79C1" w:rsidP="00FC79C1">
      <w:pPr>
        <w:spacing w:after="0" w:line="240" w:lineRule="auto"/>
        <w:ind w:left="700"/>
        <w:jc w:val="both"/>
        <w:rPr>
          <w:rFonts w:ascii="Arial" w:eastAsia="Times New Roman" w:hAnsi="Arial" w:cs="Arial"/>
          <w:color w:val="000000"/>
          <w:lang w:eastAsia="es-CO"/>
        </w:rPr>
      </w:pPr>
      <w:r w:rsidRPr="009342F9">
        <w:rPr>
          <w:rFonts w:ascii="Arial" w:eastAsia="Times New Roman" w:hAnsi="Arial" w:cs="Arial"/>
          <w:color w:val="000000"/>
          <w:lang w:eastAsia="es-CO"/>
        </w:rPr>
        <w:t>iii) Hogares con adultos mayores.  </w:t>
      </w:r>
    </w:p>
    <w:p w14:paraId="3C0B764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EC60CD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caso de persistir el empate, se realizará un sorteo de los hogares que presenten esta situación.  </w:t>
      </w:r>
    </w:p>
    <w:p w14:paraId="2EE76CA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F40D0C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1°. En aquellos casos en donde aplique la realización del sorteo, el Departamento Administrativo para la Prosperidad Social podrá sortear, en los términos del artículo 2.1.1.2.1.3.2 de la presente sección, un porcentaje adicional del 5% al número de viviendas disponibles para cada orden de priorización, para conformar una lista de espera. Esta lista será empleada en el evento en que un hogar ganador del sorteo resulte rechazado en su postulación por alguna de las causales establecidas en el artículo 2.1.1.2.1.2.9 de la presente sección. Los hogares incluidos en la lista de espera no tendrán derecho a la asignación del subsidio familiar de vivienda en especie, hasta tanto no se les notifique por parte de Fonvivienda, a través de un acto administrativo, su inclusión como beneficiarios del programa.  </w:t>
      </w:r>
    </w:p>
    <w:p w14:paraId="749681B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CFC1DE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aquellos casos en donde el porcentaje del 5% no corresponda a un número entero, se aproximará a la unidad siguiente al número resultante de la operación matemática.  </w:t>
      </w:r>
    </w:p>
    <w:p w14:paraId="7F13221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C0EE48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El orden en que los hogares que componen el listado de espera pueden ser beneficiarios del subsidio familiar de vivienda en especie, será siguiendo la secuencia numérica, iniciando por el primero que, realizando el sorteo, resulte incluido en esta lista y continuando en orden descendente por el segundo, tercero y así sucesivamente, hasta completar el número de viviendas disponibles. Este listado, con su orden, se dejará establecido por escrito en el acta del sorteo.  </w:t>
      </w:r>
    </w:p>
    <w:p w14:paraId="02610C4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021748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aquellos casos que, después de utilizar estos listados de espera, quedaren viviendas sin transferir, se acudirá a la realización de un nuevo sorteo, si existen hogares habilitados disponibles, o a la realización de un nuevo proceso de convocatoria.  </w:t>
      </w:r>
    </w:p>
    <w:p w14:paraId="7E7F823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CB31A1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2°. De acuerdo con la Ley 1145 de 2007, los hogares con personas en situación de discapacidad serán identificados con base en el instrumento idóneo que proporcione el Ministerio de Salud y Protección Social para este fin.  </w:t>
      </w:r>
    </w:p>
    <w:p w14:paraId="7DFC174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B14F60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3°. Siempre que se presente una contradicción entre lo indicado en el formulario de postulación para los escalones donde se apliquen las bases de datos de Sisbén III o lo reportado por la Unidad para la Atención y Reparación Integral a las Víctimas (</w:t>
      </w:r>
      <w:proofErr w:type="spellStart"/>
      <w:r w:rsidRPr="009342F9">
        <w:rPr>
          <w:rFonts w:ascii="Arial" w:eastAsia="Times New Roman" w:hAnsi="Arial" w:cs="Arial"/>
          <w:color w:val="000000"/>
          <w:lang w:eastAsia="es-CO"/>
        </w:rPr>
        <w:t>Uariv</w:t>
      </w:r>
      <w:proofErr w:type="spellEnd"/>
      <w:r w:rsidRPr="009342F9">
        <w:rPr>
          <w:rFonts w:ascii="Arial" w:eastAsia="Times New Roman" w:hAnsi="Arial" w:cs="Arial"/>
          <w:color w:val="000000"/>
          <w:lang w:eastAsia="es-CO"/>
        </w:rPr>
        <w:t>) en el marco de la Ruta de Atención, Asistencia y Reparación Integral o la información actualizada remitida por la Unidad para la Atención y Reparación Integral a las Víctimas (</w:t>
      </w:r>
      <w:proofErr w:type="spellStart"/>
      <w:r w:rsidRPr="009342F9">
        <w:rPr>
          <w:rFonts w:ascii="Arial" w:eastAsia="Times New Roman" w:hAnsi="Arial" w:cs="Arial"/>
          <w:color w:val="000000"/>
          <w:lang w:eastAsia="es-CO"/>
        </w:rPr>
        <w:t>Uariv</w:t>
      </w:r>
      <w:proofErr w:type="spellEnd"/>
      <w:r w:rsidRPr="009342F9">
        <w:rPr>
          <w:rFonts w:ascii="Arial" w:eastAsia="Times New Roman" w:hAnsi="Arial" w:cs="Arial"/>
          <w:color w:val="000000"/>
          <w:lang w:eastAsia="es-CO"/>
        </w:rPr>
        <w:t>) en el proceso de selección a que se refiere la presente sección, en relación con la clase de suelo (urbano o rural) en que se encuentre ubicado el hogar potencialmente beneficiario del SFVE, los criterios de selección se aplicarán teniendo en consideración la información contenida en las bases de datos del Gobierno Nacional.  </w:t>
      </w:r>
    </w:p>
    <w:p w14:paraId="7E3017A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609489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En todo caso, antes de la entrega del listado de hogares que cumplen requisitos de postulación por parte de Fonvivienda, esta entidad podrá solicitar al alcalde del municipio o distrito en que se </w:t>
      </w:r>
      <w:r w:rsidRPr="009342F9">
        <w:rPr>
          <w:rFonts w:ascii="Arial" w:eastAsia="Times New Roman" w:hAnsi="Arial" w:cs="Arial"/>
          <w:color w:val="000000"/>
          <w:lang w:eastAsia="es-CO"/>
        </w:rPr>
        <w:lastRenderedPageBreak/>
        <w:t>ejecute el proyecto de vivienda que, con fundamento en los instrumentos o bases de información que considere pertinentes, verifique si los hogares potencialmente beneficiarios están habitando en suelo urbano o rural del municipio.  </w:t>
      </w:r>
    </w:p>
    <w:p w14:paraId="7D320BA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3F55D1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Si el alcalde municipal no se pronuncia respecto de la solicitud a que se refiere el inciso anterior de este parágrafo, dentro de los diez (10) días siguientes al recibo de </w:t>
      </w:r>
      <w:proofErr w:type="gramStart"/>
      <w:r w:rsidRPr="009342F9">
        <w:rPr>
          <w:rFonts w:ascii="Arial" w:eastAsia="Times New Roman" w:hAnsi="Arial" w:cs="Arial"/>
          <w:color w:val="000000"/>
          <w:lang w:eastAsia="es-CO"/>
        </w:rPr>
        <w:t>la misma</w:t>
      </w:r>
      <w:proofErr w:type="gramEnd"/>
      <w:r w:rsidRPr="009342F9">
        <w:rPr>
          <w:rFonts w:ascii="Arial" w:eastAsia="Times New Roman" w:hAnsi="Arial" w:cs="Arial"/>
          <w:color w:val="000000"/>
          <w:lang w:eastAsia="es-CO"/>
        </w:rPr>
        <w:t>, se aplicarán los criterios establecidos en la presente sección y se continuará con el proceso”.  </w:t>
      </w:r>
    </w:p>
    <w:p w14:paraId="163FD541" w14:textId="3AD0E8E1"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366" w:name="ver_30110588"/>
      <w:bookmarkStart w:id="367" w:name="ver_30110587"/>
      <w:bookmarkEnd w:id="364"/>
      <w:bookmarkEnd w:id="365"/>
      <w:bookmarkEnd w:id="366"/>
    </w:p>
    <w:p w14:paraId="29E4CCF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2.1.1.2.1.3.2. Condiciones para el sorteo. En los casos en los que deba realizarse el sorteo, el DPS a través de resolución establecerá los mecanismos para surtir dicho procedimiento, el cual se llevará a cabo en presencia de por lo menos tres (3) de los siguientes testigos: </w:t>
      </w:r>
    </w:p>
    <w:p w14:paraId="499916D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10D5B5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El gobernador o quien este designe. </w:t>
      </w:r>
    </w:p>
    <w:p w14:paraId="4877004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851DF6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El alcalde o quien este designe. </w:t>
      </w:r>
    </w:p>
    <w:p w14:paraId="17F392A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64E31F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El director del DPS o quien este designe. </w:t>
      </w:r>
    </w:p>
    <w:p w14:paraId="30E0938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28842A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El director ejecutivo del Fondo Nacional de Vivienda o quien este designe. </w:t>
      </w:r>
    </w:p>
    <w:p w14:paraId="3071419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3EDA6D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 El personero municipal o quien este designe. </w:t>
      </w:r>
    </w:p>
    <w:p w14:paraId="4F26DC1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0D6A24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 más tardar el día hábil anterior a la fecha de realización del sorteo, se deberá publicar en cualquier lugar visible del municipio el listado de hogares potencialmente beneficiarios del subsidio. </w:t>
      </w:r>
    </w:p>
    <w:p w14:paraId="651CF0B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24B4B5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el evento en que se convoque la diligencia de sorteo dos (2) veces y no sea posible realizarla por falta de quórum, la tercera vez que se convoque podrá realizarse solamente con la presencia del director del DPS o quien este designe, y el director ejecutivo del Fondo Nacional de Vivienda o quien este designe. En este caso, se invitará un delegado de la Procuraduría General de la Nación, para que acompañe el sorteo. </w:t>
      </w:r>
    </w:p>
    <w:p w14:paraId="3D9503B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8BB900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1°. El DPS levantará un acta del resultado del sorteo, la cual será firmada por los testigos asistentes. </w:t>
      </w:r>
    </w:p>
    <w:p w14:paraId="6E90C6D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327FFD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2°. El DPS podrá invitar a un delegado del Programa Presidencial de Modernización, Eficiencia, Transparencia y Lucha contra la Corrupción, para que acompañe el sorteo, en aquellos casos, que lo considere necesario. </w:t>
      </w:r>
    </w:p>
    <w:p w14:paraId="708EB2B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D6A3D7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3°. El listado definitivo de beneficiarios será determinado mediante resolución del DPS, la cual será comunicada al Fondo Nacional de Vivienda, dentro del término establecido en el artículo 2.1.1.2.1.3.1 de la presente sección”. </w:t>
      </w:r>
    </w:p>
    <w:p w14:paraId="0EA56F91" w14:textId="77777777" w:rsidR="00FC79C1" w:rsidRPr="009342F9" w:rsidRDefault="00FC79C1" w:rsidP="00FC79C1">
      <w:pPr>
        <w:spacing w:after="0" w:line="240" w:lineRule="auto"/>
        <w:jc w:val="both"/>
        <w:rPr>
          <w:rFonts w:ascii="Arial" w:eastAsia="Times New Roman" w:hAnsi="Arial" w:cs="Arial"/>
          <w:color w:val="000000"/>
          <w:lang w:eastAsia="es-CO"/>
        </w:rPr>
      </w:pPr>
    </w:p>
    <w:p w14:paraId="7BB5D2AE" w14:textId="77777777" w:rsidR="00FC79C1" w:rsidRPr="009342F9" w:rsidRDefault="00FC79C1" w:rsidP="005A1FCF">
      <w:pPr>
        <w:spacing w:after="0" w:line="240" w:lineRule="auto"/>
        <w:jc w:val="center"/>
        <w:rPr>
          <w:rFonts w:ascii="Arial" w:eastAsia="Times New Roman" w:hAnsi="Arial" w:cs="Arial"/>
          <w:b/>
          <w:bCs/>
          <w:color w:val="000000"/>
          <w:lang w:eastAsia="es-CO"/>
        </w:rPr>
      </w:pPr>
      <w:bookmarkStart w:id="368" w:name="ver_30069374"/>
      <w:bookmarkEnd w:id="367"/>
      <w:bookmarkEnd w:id="368"/>
      <w:r w:rsidRPr="009342F9">
        <w:rPr>
          <w:rFonts w:ascii="Arial" w:eastAsia="Times New Roman" w:hAnsi="Arial" w:cs="Arial"/>
          <w:b/>
          <w:bCs/>
          <w:color w:val="000000"/>
          <w:lang w:eastAsia="es-CO"/>
        </w:rPr>
        <w:t>SUBSECCIÓN 4</w:t>
      </w:r>
    </w:p>
    <w:p w14:paraId="09606895" w14:textId="77777777" w:rsidR="00FC79C1" w:rsidRPr="009342F9" w:rsidRDefault="00FC79C1" w:rsidP="005A1FCF">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ASIGNACIÓN DE SUBSIDIOS FAMILIARES DE VIVIENDA EN ESPECIE</w:t>
      </w:r>
    </w:p>
    <w:p w14:paraId="5298C9E9"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369" w:name="ver_30069375"/>
      <w:bookmarkEnd w:id="369"/>
    </w:p>
    <w:p w14:paraId="4A86C8C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2.1.1.2.1.4.1. Asignación. FONVIVIENDA expedirá el acto administrativo de asignación del subsidio familiar de vivienda en especie a los beneficiarios señalados en la resolución emitida por el DPS. La resolución de asignación por parte del Fondo Nacional de Vivienda será publicada en el Diario Oficial. </w:t>
      </w:r>
    </w:p>
    <w:p w14:paraId="2FD28CE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w:t>
      </w:r>
    </w:p>
    <w:p w14:paraId="3B73923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El Fondo Nacional de Vivienda comunicará a los hogares beneficiarios, a través del operador designado, el resultado del proceso de asignación, mediante una carta para cada hogar, en donde se le informará su condición de hogar beneficiario y el procedimiento mediante el cual podrá hacer efectivo el subsidio. </w:t>
      </w:r>
    </w:p>
    <w:p w14:paraId="5BBD393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5481E9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Ni la entidad otorgante ni el DPS asumirán compromiso alguno con los postulantes que no queden incorporados en los listados de beneficiarios contenidos en la resolución de asignación. </w:t>
      </w:r>
    </w:p>
    <w:p w14:paraId="059EE446" w14:textId="0F431728"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370" w:name="ver_30110590"/>
      <w:bookmarkStart w:id="371" w:name="ver_30110589"/>
      <w:bookmarkEnd w:id="370"/>
    </w:p>
    <w:p w14:paraId="3BA8073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2.1.1.2.1.4.2. Determinación de la vivienda a ser transferida a título de subsidio en especie. Una vez finalizada la comunicación de la resolución de asignación a cada uno de los beneficiarios, se realizará un sorteo, al cual podrán asistir los beneficiarios, el cual tendrá por objeto asignar una vivienda específica, dentro del proyecto respectivo, a cada uno de los beneficiarios. </w:t>
      </w:r>
    </w:p>
    <w:p w14:paraId="382A25F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3FE81A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El sorteo al que hace referencia el presente artículo se llevará a cabo en presencia de los siguientes testigos: </w:t>
      </w:r>
    </w:p>
    <w:p w14:paraId="0CF3BC8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El alcalde o quien este designe. </w:t>
      </w:r>
    </w:p>
    <w:p w14:paraId="7D94F9E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74347B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El director ejecutivo de Fonvivienda o quien este designe. </w:t>
      </w:r>
    </w:p>
    <w:p w14:paraId="4B221D0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6C16E0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El personero municipal o quien este designe. </w:t>
      </w:r>
    </w:p>
    <w:p w14:paraId="75A83CB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22D4D4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el evento en que se convoque la diligencia de sorteo dos (2) veces y no sea posible realizarla por falta de quórum, la tercera vez que se convoque podrá realizarse solamente con la presencia del director ejecutivo del Fondo Nacional de Vivienda o quien este designe. En este caso, se invitará un delegado de la Procuraduría General de la Nación, para que acompañe el sorteo. </w:t>
      </w:r>
    </w:p>
    <w:p w14:paraId="2EF9B9A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D547CA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Fonvivienda definirá el procedimiento para la realización del sorteo de la vivienda a ser entregada a cada beneficiario, teniendo en cuenta en todo caso, que los hogares que cuenten con miembros en situación de discapacidad, de acuerdo con la información del proceso de postulación, tendrán prioridad en la asignación de los primeros pisos, cuando se trate de vivienda multifamiliar. </w:t>
      </w:r>
    </w:p>
    <w:p w14:paraId="6D401BD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F77FD6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Del sorteo que se realice, Fonvivienda levantará un acta que será firmada por todos los testigos, la cual será publicada en la página web del Ministerio de Vivienda, Ciudad y Territorio y en la del programa de vivienda gratuita, para conocimiento de todos los interesados. </w:t>
      </w:r>
    </w:p>
    <w:p w14:paraId="49409E8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F0D5EA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Para el proceso de transferencia, entrega y legalización de los subsidios se tendrá en cuenta la vivienda que haya correspondido a cada uno de los hogares, de acuerdo con el sorteo realizado”. </w:t>
      </w:r>
    </w:p>
    <w:p w14:paraId="7B86C885" w14:textId="77777777" w:rsidR="005A1FCF"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372" w:name="ver_30069377"/>
      <w:bookmarkEnd w:id="371"/>
      <w:bookmarkEnd w:id="372"/>
    </w:p>
    <w:p w14:paraId="4DCAE69D" w14:textId="69EE718B"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2.1.1.2.1.4.3. Asignaciones parciales. El Fondo Nacional de Vivienda podrá efectuar asignaciones del SFVE, en un número inferior al total de viviendas a transferir en un determinado proyecto y hasta completar la totalidad de </w:t>
      </w:r>
      <w:proofErr w:type="gramStart"/>
      <w:r w:rsidRPr="009342F9">
        <w:rPr>
          <w:rFonts w:ascii="Arial" w:eastAsia="Times New Roman" w:hAnsi="Arial" w:cs="Arial"/>
          <w:color w:val="000000"/>
          <w:lang w:eastAsia="es-CO"/>
        </w:rPr>
        <w:t>las mismas</w:t>
      </w:r>
      <w:proofErr w:type="gramEnd"/>
      <w:r w:rsidRPr="009342F9">
        <w:rPr>
          <w:rFonts w:ascii="Arial" w:eastAsia="Times New Roman" w:hAnsi="Arial" w:cs="Arial"/>
          <w:color w:val="000000"/>
          <w:lang w:eastAsia="es-CO"/>
        </w:rPr>
        <w:t>, de acuerdo al procedimiento que defina el Fondo Nacional de Vivienda para tal fin. </w:t>
      </w:r>
    </w:p>
    <w:p w14:paraId="2AE4E147" w14:textId="6177D554"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373" w:name="ver_30069378"/>
      <w:bookmarkEnd w:id="373"/>
    </w:p>
    <w:p w14:paraId="29A3379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2.1.1.2.1.4.4. Reclamaciones. Los hogares postulantes que no resulten beneficiarios del SFVE, podrán interponer en los términos y condiciones establecidos por la ley, los recursos a los que haya lugar contra el acto administrativo de asignación correspondiente. </w:t>
      </w:r>
    </w:p>
    <w:p w14:paraId="10ABDCD4" w14:textId="45FE82C4"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374" w:name="ver_30069379"/>
      <w:bookmarkEnd w:id="374"/>
    </w:p>
    <w:p w14:paraId="2C437DD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Artículo 2.1.1.2.1.4.5. Condiciones de transferencia de las viviendas. Las condiciones de transferencia, entrega y/o legalización de los subsidios familiares de vivienda en especie asignados a los beneficiarios serán definidas por el Ministerio de Vivienda, Ciudad y Territorio. </w:t>
      </w:r>
    </w:p>
    <w:p w14:paraId="709C8698" w14:textId="41AB8FE2"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375" w:name="ver_30210167"/>
      <w:bookmarkStart w:id="376" w:name="ver_30069380"/>
      <w:bookmarkEnd w:id="375"/>
    </w:p>
    <w:p w14:paraId="3FE46649" w14:textId="0E7EEE4F"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2.1.1.2.1.4.6. Valor del subsidio familiar de vivienda en especie. El Subsidio familiar de vivienda en especie que se asigne mediante el procedimiento establecido en la presente sección, será hasta de noventa (90) Salarios Mínimos Legales Mensuales Vigentes en cualquier parte del territorio nacional.  </w:t>
      </w:r>
    </w:p>
    <w:p w14:paraId="3688F7C9" w14:textId="77777777" w:rsidR="005A1FCF" w:rsidRPr="009342F9" w:rsidRDefault="005A1FCF" w:rsidP="00FC79C1">
      <w:pPr>
        <w:spacing w:after="0" w:line="240" w:lineRule="auto"/>
        <w:jc w:val="both"/>
        <w:rPr>
          <w:rFonts w:ascii="Arial" w:eastAsia="Times New Roman" w:hAnsi="Arial" w:cs="Arial"/>
          <w:color w:val="000000"/>
          <w:lang w:eastAsia="es-CO"/>
        </w:rPr>
      </w:pPr>
    </w:p>
    <w:p w14:paraId="3834DC1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Parágrafo. En los departamentos de Amazonas, Guainía, San Andrés, Providencia y Santa Catalina, Putumayo, Chocó, Vaupés y Vichada, el Subsidio Familiar de Vivienda en Especie podrá superar el valor de noventa (90) Salarios Mínimos Legales Mensuales Vigentes, de acuerdo con las condiciones que para el efecto defina el Ministerio de Vivienda, Ciudad y Territorio y previa aprobación </w:t>
      </w:r>
      <w:proofErr w:type="gramStart"/>
      <w:r w:rsidRPr="009342F9">
        <w:rPr>
          <w:rFonts w:ascii="Arial" w:eastAsia="Times New Roman" w:hAnsi="Arial" w:cs="Arial"/>
          <w:color w:val="000000"/>
          <w:lang w:eastAsia="es-CO"/>
        </w:rPr>
        <w:t>del mismo</w:t>
      </w:r>
      <w:proofErr w:type="gramEnd"/>
      <w:r w:rsidRPr="009342F9">
        <w:rPr>
          <w:rFonts w:ascii="Arial" w:eastAsia="Times New Roman" w:hAnsi="Arial" w:cs="Arial"/>
          <w:color w:val="000000"/>
          <w:lang w:eastAsia="es-CO"/>
        </w:rPr>
        <w:t>.  </w:t>
      </w:r>
    </w:p>
    <w:p w14:paraId="5EECCCA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9D4C331"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377" w:name="ver_30069381"/>
      <w:bookmarkEnd w:id="376"/>
      <w:bookmarkEnd w:id="377"/>
      <w:r w:rsidRPr="009342F9">
        <w:rPr>
          <w:rFonts w:ascii="Arial" w:eastAsia="Times New Roman" w:hAnsi="Arial" w:cs="Arial"/>
          <w:color w:val="000000"/>
          <w:lang w:eastAsia="es-CO"/>
        </w:rPr>
        <w:t>Artículo 2.1.1.2.1.4.7. Vigencia del subsidio familiar de vivienda en especie. La vigencia de los subsidios familiares de vivienda de que trata esta sección será de seis (6) meses contados desde el primer día del mes siguiente a la fecha de publicación de la resolución de asignación en el Diario Oficial y podrán ser prorrogados mediante resolución del Fondo Nacional de Vivienda. </w:t>
      </w:r>
    </w:p>
    <w:p w14:paraId="73184DB3" w14:textId="64EA51F0"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378" w:name="ver_30069382"/>
      <w:bookmarkEnd w:id="378"/>
    </w:p>
    <w:p w14:paraId="0669CE1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2.1.1.2.1.4.8. Sustitución de hogares de subsidio familiar de vivienda. En aquellos casos en que el beneficiario no cumpla, dentro de los términos o en las fechas establecidas, las condiciones que se definan en el marco del programa de vivienda gratuita para hacer efectivo el subsidio, o cuando mediante cualquier acto manifieste no tener interés en convertirse en propietario de la vivienda que le ha sido asignada, FONVIVIENDA podrá sustituir al hogar beneficiario por un hogar postulante que haya cumplido con los criterios establecidos en la presente sección y no haya sido beneficiario del subsidio familiar de vivienda en especie. </w:t>
      </w:r>
    </w:p>
    <w:p w14:paraId="2414A1E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692CD7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Para definir los hogares sustitutos, se recurrirá a los hogares que se encuentran incluidos en los listados de espera, </w:t>
      </w:r>
      <w:proofErr w:type="gramStart"/>
      <w:r w:rsidRPr="009342F9">
        <w:rPr>
          <w:rFonts w:ascii="Arial" w:eastAsia="Times New Roman" w:hAnsi="Arial" w:cs="Arial"/>
          <w:color w:val="000000"/>
          <w:lang w:eastAsia="es-CO"/>
        </w:rPr>
        <w:t>de acuerdo a</w:t>
      </w:r>
      <w:proofErr w:type="gramEnd"/>
      <w:r w:rsidRPr="009342F9">
        <w:rPr>
          <w:rFonts w:ascii="Arial" w:eastAsia="Times New Roman" w:hAnsi="Arial" w:cs="Arial"/>
          <w:color w:val="000000"/>
          <w:lang w:eastAsia="es-CO"/>
        </w:rPr>
        <w:t xml:space="preserve"> lo establecido en el parágrafo 1° del artículo 2.1.1.2.1.3.1 de la presente sección. En caso de que el número de hogares a sustituir sea superior al número de hogares que conforman la lista de espera, se realizará un sorteo en las condiciones establecidas en el artículo 2.1.1.2.1.3.2 de la presente sección, entre los hogares postulantes que habiendo cumplido con los requisitos establecidos en la presente sección no fueron beneficiarios del subsidio familiar de vivienda en especie, por exceder el cupo de viviendas a transferir. </w:t>
      </w:r>
    </w:p>
    <w:p w14:paraId="08E125D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074D01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Parágrafo. Si después de recurrir a los listados de espera y al sorteo, en los términos señalados en el presente artículo no es posible obtener la totalidad de los hogares que deban ser sustituidos, el proceso de selección de beneficiarios del SFVE se retrotraerá hasta la fase de convocatoria y postulación establecida en </w:t>
      </w:r>
      <w:proofErr w:type="gramStart"/>
      <w:r w:rsidRPr="009342F9">
        <w:rPr>
          <w:rFonts w:ascii="Arial" w:eastAsia="Times New Roman" w:hAnsi="Arial" w:cs="Arial"/>
          <w:color w:val="000000"/>
          <w:lang w:eastAsia="es-CO"/>
        </w:rPr>
        <w:t>los artículo</w:t>
      </w:r>
      <w:proofErr w:type="gramEnd"/>
      <w:r w:rsidRPr="009342F9">
        <w:rPr>
          <w:rFonts w:ascii="Arial" w:eastAsia="Times New Roman" w:hAnsi="Arial" w:cs="Arial"/>
          <w:color w:val="000000"/>
          <w:lang w:eastAsia="es-CO"/>
        </w:rPr>
        <w:t xml:space="preserve"> 2.1.1.2.1.2.5 y 2.1.1.2.1.2.6 de la presente sección. </w:t>
      </w:r>
    </w:p>
    <w:p w14:paraId="6BAC0652" w14:textId="064DD5F0"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379" w:name="ver_30069383"/>
      <w:bookmarkEnd w:id="379"/>
    </w:p>
    <w:p w14:paraId="417B6E7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2.1.1.2.1.4.9. Aplicación de subsidios familiares de vivienda asignados antes de la expedición de la ley 1537 de 2012. Los hogares que resulten beneficiarios del SFVE de acuerdo con lo establecido en la presente sección, que adicionalmente hayan sido beneficiarios de Subsidios Familiares de Vivienda por parte del Fondo Nacional de Vivienda antes de la entrada en vigencia de la Ley 1537 de 2012 y que no hubieren realizado el proceso de cobro del subsidio y por ende no se hubiere aplicado y legalizado antes de su postulación de conformidad con lo establecido en esta sección, deberá aportar el subsidio asignado en dinero al patrimonio autónomo que le indique la entidad otorgante, para adquirir una vivienda a través del Subsidio Familiar de Vivienda en Especie en los proyectos de vivienda urbana de interés prioritaria nueva que se desarrollen en el marco del programa de vivienda gratuita. Una vez realizada la </w:t>
      </w:r>
      <w:r w:rsidRPr="009342F9">
        <w:rPr>
          <w:rFonts w:ascii="Arial" w:eastAsia="Times New Roman" w:hAnsi="Arial" w:cs="Arial"/>
          <w:color w:val="000000"/>
          <w:lang w:eastAsia="es-CO"/>
        </w:rPr>
        <w:lastRenderedPageBreak/>
        <w:t>postulación, el hogar postulante que se encuentre en las condiciones señaladas en este artículo, no podrá aplicar ni legalizar el subsidio familiar de vivienda asignado en dinero, ni negarse a aportarlo para la adquisición del SFVE, so pena de la revocatoria de este último. </w:t>
      </w:r>
    </w:p>
    <w:p w14:paraId="374A0D5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EEFC13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Para lograr el traslado de los recursos del subsidio asignado en dinero, el hogar autorizará en el momento de la postulación, mediante comunicación escrita al Fondo Nacional de Vivienda, la movilización de los recursos de la cuenta CAP al patrimonio autónomo que defina la entidad otorgante. El Fondo Nacional de Vivienda autorizará y hará efectiva la movilización únicamente </w:t>
      </w:r>
      <w:proofErr w:type="gramStart"/>
      <w:r w:rsidRPr="009342F9">
        <w:rPr>
          <w:rFonts w:ascii="Arial" w:eastAsia="Times New Roman" w:hAnsi="Arial" w:cs="Arial"/>
          <w:color w:val="000000"/>
          <w:lang w:eastAsia="es-CO"/>
        </w:rPr>
        <w:t>en caso que</w:t>
      </w:r>
      <w:proofErr w:type="gramEnd"/>
      <w:r w:rsidRPr="009342F9">
        <w:rPr>
          <w:rFonts w:ascii="Arial" w:eastAsia="Times New Roman" w:hAnsi="Arial" w:cs="Arial"/>
          <w:color w:val="000000"/>
          <w:lang w:eastAsia="es-CO"/>
        </w:rPr>
        <w:t xml:space="preserve"> el hogar resulte beneficiario del SFVE del programa de vivienda gratuita. </w:t>
      </w:r>
    </w:p>
    <w:p w14:paraId="4AB16209" w14:textId="0E6D93EE"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380" w:name="ver_30069384"/>
      <w:bookmarkEnd w:id="380"/>
    </w:p>
    <w:p w14:paraId="120ACC7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2.1.1.2.1.4.10. Sustitución de hogares de subsidio familiar de vivienda en dinero. Para el caso de los subsidios familiares de vivienda en dinero que cumplan con las condiciones establecidas en el artículo 24 de la Ley 1537 de 2012, las entidades otorgantes podrán efectuar la sustitución mediante acto administrativo a hogares postulados que cumplan con los requisitos establecidos en cada convocatoria, teniendo en cuenta el resultado del respectivo proceso. </w:t>
      </w:r>
    </w:p>
    <w:p w14:paraId="0FEAA6CC" w14:textId="77777777" w:rsid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381" w:name="ver_30069387"/>
      <w:bookmarkEnd w:id="381"/>
    </w:p>
    <w:p w14:paraId="796C0DC4" w14:textId="14B8C858"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2.1.1.2.1.4.11. Transitorio. Los artículos 2.1.1.2.1.2.3, 2.1.1.2.1.2.6, 2.1.1.2.1.3.1 y 2.1.1.2.1.3.2 regirán para los procesos de convocatoria que se realicen con posterioridad al 29 de diciembre de 2014. Los procesos de convocatoria realizados con anterioridad al 29 de diciembre de 2014 continuarán rigiéndose por lo regulado en los extintos decretos1921 de 2012 y 2164 de 2013. </w:t>
      </w:r>
    </w:p>
    <w:p w14:paraId="001DA8A6" w14:textId="77777777" w:rsidR="009342F9" w:rsidRDefault="009342F9" w:rsidP="00FC79C1">
      <w:pPr>
        <w:spacing w:after="0" w:line="240" w:lineRule="auto"/>
        <w:jc w:val="both"/>
        <w:rPr>
          <w:rFonts w:ascii="Arial" w:eastAsia="Times New Roman" w:hAnsi="Arial" w:cs="Arial"/>
          <w:color w:val="000000"/>
          <w:lang w:eastAsia="es-CO"/>
        </w:rPr>
      </w:pPr>
      <w:bookmarkStart w:id="382" w:name="ver_30069392"/>
      <w:bookmarkEnd w:id="382"/>
    </w:p>
    <w:p w14:paraId="3B5D4EDB" w14:textId="4B330A44" w:rsidR="00FC79C1" w:rsidRPr="009342F9" w:rsidRDefault="00FC79C1" w:rsidP="009342F9">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SECCIÓN 2</w:t>
      </w:r>
    </w:p>
    <w:p w14:paraId="05A6EB13" w14:textId="77777777" w:rsidR="00FC79C1" w:rsidRPr="009342F9" w:rsidRDefault="00FC79C1" w:rsidP="009342F9">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VALOR VIVIENDA DE INTERÉS PRIORITARIO EN DEPARTAMENTOS ESPECIALES</w:t>
      </w:r>
    </w:p>
    <w:p w14:paraId="6F94DE43"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383" w:name="ver_30069393"/>
      <w:bookmarkEnd w:id="383"/>
    </w:p>
    <w:p w14:paraId="3D1FB08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2.1.1.2.2.1. Objeto. La presente sección define el valor máximo que de manera diferencial podrán tener las viviendas de interés prioritario que se desarrollen en los departamentos de Amazonas, Guainía, San Andrés, Providencia y Santa Catalina, Putumayo, Chocó, Vaupés y Vichada. </w:t>
      </w:r>
    </w:p>
    <w:p w14:paraId="2967AD62" w14:textId="3261FEFC"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384" w:name="ver_30210168"/>
      <w:bookmarkStart w:id="385" w:name="ver_30069395"/>
      <w:bookmarkEnd w:id="384"/>
    </w:p>
    <w:p w14:paraId="0973511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2.1.1.2.2.2. Departamentos y valor de la vivienda de interés prioritario. Los departamentos en los que el valor máximo de la vivienda de interés prioritario será de cien (100) salarios mínimos legales mensuales vigentes, son los siguientes:  </w:t>
      </w:r>
    </w:p>
    <w:p w14:paraId="27F978B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San Andrés, Providencia y Santa Catalina, Amazonas, Chocó, Putumayo, Vichada, Vaupés y Guainía.  </w:t>
      </w:r>
    </w:p>
    <w:p w14:paraId="28994DF7" w14:textId="77777777" w:rsidR="00FC79C1" w:rsidRPr="009342F9" w:rsidRDefault="00FC79C1" w:rsidP="00FC79C1">
      <w:pPr>
        <w:spacing w:after="0" w:line="240" w:lineRule="auto"/>
        <w:jc w:val="both"/>
        <w:rPr>
          <w:rFonts w:ascii="Arial" w:eastAsia="Times New Roman" w:hAnsi="Arial" w:cs="Arial"/>
          <w:color w:val="000000"/>
          <w:lang w:eastAsia="es-CO"/>
        </w:rPr>
      </w:pPr>
    </w:p>
    <w:p w14:paraId="7DFA5171" w14:textId="77777777" w:rsidR="00FC79C1" w:rsidRPr="009342F9" w:rsidRDefault="00FC79C1" w:rsidP="005A1FCF">
      <w:pPr>
        <w:spacing w:after="0" w:line="240" w:lineRule="auto"/>
        <w:jc w:val="center"/>
        <w:rPr>
          <w:rFonts w:ascii="Arial" w:eastAsia="Times New Roman" w:hAnsi="Arial" w:cs="Arial"/>
          <w:b/>
          <w:bCs/>
          <w:color w:val="000000"/>
          <w:lang w:eastAsia="es-CO"/>
        </w:rPr>
      </w:pPr>
      <w:bookmarkStart w:id="386" w:name="ver_30069396"/>
      <w:bookmarkEnd w:id="385"/>
      <w:bookmarkEnd w:id="386"/>
      <w:r w:rsidRPr="009342F9">
        <w:rPr>
          <w:rFonts w:ascii="Arial" w:eastAsia="Times New Roman" w:hAnsi="Arial" w:cs="Arial"/>
          <w:b/>
          <w:bCs/>
          <w:color w:val="000000"/>
          <w:lang w:eastAsia="es-CO"/>
        </w:rPr>
        <w:t>SECCIÓN 3</w:t>
      </w:r>
    </w:p>
    <w:p w14:paraId="07136985" w14:textId="77777777" w:rsidR="00FC79C1" w:rsidRPr="009342F9" w:rsidRDefault="00FC79C1" w:rsidP="005A1FCF">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CONDICIONES DEL OFERENTE</w:t>
      </w:r>
    </w:p>
    <w:p w14:paraId="0EC3C466" w14:textId="77777777" w:rsidR="00FC79C1" w:rsidRPr="009342F9" w:rsidRDefault="00FC79C1" w:rsidP="005A1FCF">
      <w:pPr>
        <w:spacing w:after="0" w:line="240" w:lineRule="auto"/>
        <w:jc w:val="center"/>
        <w:rPr>
          <w:rFonts w:ascii="Arial" w:eastAsia="Times New Roman" w:hAnsi="Arial" w:cs="Arial"/>
          <w:b/>
          <w:bCs/>
          <w:color w:val="000000"/>
          <w:lang w:eastAsia="es-CO"/>
        </w:rPr>
      </w:pPr>
      <w:bookmarkStart w:id="387" w:name="ver_30069397"/>
      <w:bookmarkEnd w:id="387"/>
    </w:p>
    <w:p w14:paraId="07522F8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2.1.1.2.3.1. Inhabilidades generales y especiales de los constructores u oferentes de proyectos de vivienda de interés prioritario. En todo proceso que se adelante por parte de los patrimonios autónomos a los que hace referencia el artículo 6° de la Ley 1537 de 2012, con el fin de seleccionar interesados en desarrollar proyectos de vivienda o para adquirir proyectos de vivienda de interés prioritario, se exigirá que los proponentes no se encuentren incursos en causales de inhabilidad para contratar con el Estado de conformidad con las normas que regulan la contratación estatal ni hayan sido sancionados por incumplimientos contractuales relacionados con la construcción en los términos del numeral 2 del artículo 6° de la Ley 1537 de 2012, los cuales se verificarán de acuerdo con lo establecido en la presente sección. </w:t>
      </w:r>
    </w:p>
    <w:p w14:paraId="6AC9B5EE" w14:textId="75196186"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388" w:name="ver_30069399"/>
      <w:bookmarkEnd w:id="388"/>
    </w:p>
    <w:p w14:paraId="57555D2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2.1.1.2.3.2. Inhabilidades generales para participar y celebrar contratos en las convocatorias a que se refiere la Ley 1537 de 2012. En los procesos de convocatoria y selección </w:t>
      </w:r>
      <w:r w:rsidRPr="009342F9">
        <w:rPr>
          <w:rFonts w:ascii="Arial" w:eastAsia="Times New Roman" w:hAnsi="Arial" w:cs="Arial"/>
          <w:color w:val="000000"/>
          <w:lang w:eastAsia="es-CO"/>
        </w:rPr>
        <w:lastRenderedPageBreak/>
        <w:t>de los interesados en desarrollar proyectos de vivienda y/o para la adquisición de proyectos de vivienda de interés prioritario no podrán participar las personas naturales o jurídicas que se encuentren incursas en causales de inhabilidad para celebrar contratos con el Estado previstas en la Constitución Política y la ley, en especial en el artículo 8° de la Ley 80 de 1993 y el artículo 90 de la Ley 1474 de 2011. Dichas inhabilidades se verificarán con la información contenida en el Registro Único de Proponentes a cargo de las Cámaras de Comercio. </w:t>
      </w:r>
    </w:p>
    <w:p w14:paraId="6A84C879" w14:textId="16D5AC5F"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389" w:name="ver_30069400"/>
      <w:bookmarkEnd w:id="389"/>
    </w:p>
    <w:p w14:paraId="030BC09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2.1.1.2.3.3. Inhabilidades especiales por incumplimientos contractuales relacionados con la construcción. Para los electos de lo previsto en el numeral 2 del artículo 6° de la Ley 1537 de 2012 solo se entenderá que una persona natural o jurídica ha sido sancionada por incumplimientos contractuales relacionados con la construcción en los últimos cinco (5) años, cuando de acuerdo con la información contenida en el Registro Único de Proponentes a cargo de las Cámaras de Comercio se advierta que ha sido objeto de al menos una declaratoria de caducidad o una declaratoria de incumplimiento relacionada con contratos de construcción en los cinco (5) años anteriores a la fecha prevista para la presentación de propuestas en el respectivo proceso de selección. Para los efectos de lo previsto en el inciso primero de este artículo, si la sanción es la imposición de multas en el período antes señalado, solo se tendrán en cuenta si se configuran los supuestos del artículo 90 de la Ley 1474 de 2011. </w:t>
      </w:r>
    </w:p>
    <w:p w14:paraId="74E8D90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3DA5F1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Se entenderá que el proponente incurrió en un “incumplimiento contractual relacionado con la construcción” cuando haya sido objeto de declaratorias de incumplimiento en los términos previstos en este artículo, en desarrollo de contratos de obra civil y/o interventoría de contratos de obra civil. </w:t>
      </w:r>
    </w:p>
    <w:p w14:paraId="552AE524" w14:textId="7E53D2F6" w:rsidR="005A1FCF"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390" w:name="ver_30069401"/>
      <w:bookmarkEnd w:id="390"/>
    </w:p>
    <w:p w14:paraId="54CC7723" w14:textId="3301551C" w:rsidR="00FC79C1" w:rsidRPr="009342F9" w:rsidRDefault="00FC79C1" w:rsidP="005A1FCF">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SECCIÓN 4</w:t>
      </w:r>
    </w:p>
    <w:p w14:paraId="43036F5B" w14:textId="77777777" w:rsidR="00FC79C1" w:rsidRPr="009342F9" w:rsidRDefault="00FC79C1" w:rsidP="005A1FCF">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CONDICIONES PARA REALIZAR APORTES A LOS PATRIMONIOS AUTÓNOMOS</w:t>
      </w:r>
    </w:p>
    <w:p w14:paraId="75D3BBBD"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391" w:name="ver_30069402"/>
      <w:bookmarkEnd w:id="391"/>
    </w:p>
    <w:p w14:paraId="56D63F0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2.1.1.2.4.1. Definición de grupos poblacionales por los aportantes del orden nacional a los fideicomisos. Cuando, en ejercicio de la facultad otorgada por el artículo 8° de la Ley 1537 de 2012, cualquier entidad pública del orden nacional entregue bienes o transfiera directamente recursos a los patrimonios autónomos constituidos de conformidad con la misma norma, la entidad aportante de los bienes o recursos podrá definir los grupos de población beneficiaria de los proyectos de vivienda que se ejecuten con los recursos aportados, siempre y cuando se trate de población objeto de priorización y focalización, de conformidad con lo establecido en la ley. </w:t>
      </w:r>
    </w:p>
    <w:p w14:paraId="743C51F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920946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 entidad pública del orden nacional, aportante de los bienes y recursos de acuerdo con lo señalado en este artículo, también podrá definir si los recursos se destinan a proyectos de vivienda de interés social urbana o rural, siempre que su naturaleza y funciones le permitan invertir en una y/u otra clase de suelo, sin embargo, la asignación de los subsidios familiares de vivienda deberá realizarla la entidad otorgante que tenga la competencia para el efecto, de acuerdo con sus funciones. </w:t>
      </w:r>
    </w:p>
    <w:p w14:paraId="42BE2387" w14:textId="1C898873"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392" w:name="ver_30069403"/>
      <w:bookmarkEnd w:id="392"/>
    </w:p>
    <w:p w14:paraId="1365DAD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2.1.1.2.4.2. Vinculación de otorgantes del subsidio familiar de vivienda rural a los fideicomisos. En desarrollo de la facultad otorgada por el artículo 31 de la Ley 1537 de 2012, las entidades otorgantes de subsidios de vivienda de interés social rural podrán vincularse como fideicomitentes y/o aportantes de los patrimonios autónomos o esquemas fiduciarios que se constituyan por cualquiera de las entidades facultadas por el artículo 6° de la misma ley, de acuerdo con lo establecido en el artículo 2.1.1.2.4.1 de esta sección. </w:t>
      </w:r>
    </w:p>
    <w:p w14:paraId="458A54E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6E8357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La vinculación a los referidos patrimonios autónomos, y la ejecución y liquidación de los proyectos, se regirá por las normas del Derecho Privado, de conformidad con lo establecido en el artículo 6° de la Ley 1537 de 2012. </w:t>
      </w:r>
    </w:p>
    <w:p w14:paraId="75576F9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65FF20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ejercicio de sus funciones como fideicomitentes, las entidades a que hace referencia esta sección podrán actuar como otorgantes de los subsidios familiares de vivienda a que haya lugar, en el marco de sus funciones. </w:t>
      </w:r>
    </w:p>
    <w:p w14:paraId="0EDF6CB7" w14:textId="2BB1C3DE" w:rsidR="005A1FCF"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393" w:name="ver_30069404"/>
      <w:bookmarkEnd w:id="393"/>
    </w:p>
    <w:p w14:paraId="10BA2776" w14:textId="69A58B57" w:rsidR="00FC79C1" w:rsidRPr="009342F9" w:rsidRDefault="00FC79C1" w:rsidP="005A1FCF">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SECCIÓN 5</w:t>
      </w:r>
    </w:p>
    <w:p w14:paraId="50888566" w14:textId="77777777" w:rsidR="00FC79C1" w:rsidRPr="009342F9" w:rsidRDefault="00FC79C1" w:rsidP="005A1FCF">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DISPOSICIONES PARA NOTARIOS Y REGISTRADORES</w:t>
      </w:r>
    </w:p>
    <w:p w14:paraId="2072885A"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394" w:name="ver_30069406"/>
      <w:bookmarkEnd w:id="394"/>
    </w:p>
    <w:p w14:paraId="64E5A68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2.1.1.2.5.1. Obligaciones de los notarios. Las escrituras públicas mediante las cuales se transfiera el derecho de dominio a quienes resulten beneficiarios del Subsidio Familiar de Vivienda en Especie (SFVE) de acuerdo con la sección 2.1.1.2.1 del presente decreto o las normas que lo modifiquen, adicionen o sustituyan, deberán indicar que la vivienda se ejecutó en el marco del Programa de Vivienda Gratuita. </w:t>
      </w:r>
    </w:p>
    <w:p w14:paraId="593388D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914EE6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Los Notarios de todos los círculos notariales del país, deberán velar porque en las referidas escrituras públicas siempre se establezca la prohibición de transferir cualquier derecho real sobre el inmueble por el término establecido en esta sección, se señale el derecho de preferencia de que trata el artículo 8° de la Ley 3ª de 1991, modificado por el artículo 21 de la Ley 1537 de 2012, y se constituya el patrimonio familiar inembargable, por parte del hogar beneficiario o de su apoderado. </w:t>
      </w:r>
    </w:p>
    <w:p w14:paraId="230BBB6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420C57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Los Notarios deberán verificar que en las escrituras públicas a las que hace referencia el presente artículo se incluya la obligación clara, expresa y exigible por parte del beneficiario del SFVE de restituir la titularidad de la vivienda en el caso en que se revoque el subsidio Familiar de Vivienda. Se podrá incluir, según sea el caso, la condición resolutoria de la transferencia del derecho de dominio de la vivienda transferida a título de SFVE, por la misma causa. </w:t>
      </w:r>
    </w:p>
    <w:p w14:paraId="484453C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04EC23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Los Notarios deberán abstenerse de autorizar cualquier acto de disposición total o parcial de cualquier derecho real, que el propietario de las viviendas a las que hace referencia la presente </w:t>
      </w:r>
      <w:proofErr w:type="gramStart"/>
      <w:r w:rsidRPr="009342F9">
        <w:rPr>
          <w:rFonts w:ascii="Arial" w:eastAsia="Times New Roman" w:hAnsi="Arial" w:cs="Arial"/>
          <w:color w:val="000000"/>
          <w:lang w:eastAsia="es-CO"/>
        </w:rPr>
        <w:t>sección,</w:t>
      </w:r>
      <w:proofErr w:type="gramEnd"/>
      <w:r w:rsidRPr="009342F9">
        <w:rPr>
          <w:rFonts w:ascii="Arial" w:eastAsia="Times New Roman" w:hAnsi="Arial" w:cs="Arial"/>
          <w:color w:val="000000"/>
          <w:lang w:eastAsia="es-CO"/>
        </w:rPr>
        <w:t xml:space="preserve"> pretenda realizar dentro de los diez (10) años siguientes a la fecha de transferencia de la vivienda, salvo que se adjunte autorización para la enajenación de la vivienda emitida por la entidad otorgante del SFVE. </w:t>
      </w:r>
    </w:p>
    <w:p w14:paraId="687CEE4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BCCF14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Los Notarios deberán abstenerse de autorizar cualquier acto de disposición total o parcial de cualquier derecho real que el propietario de las viviendas a las que hace referencia la presente </w:t>
      </w:r>
      <w:proofErr w:type="gramStart"/>
      <w:r w:rsidRPr="009342F9">
        <w:rPr>
          <w:rFonts w:ascii="Arial" w:eastAsia="Times New Roman" w:hAnsi="Arial" w:cs="Arial"/>
          <w:color w:val="000000"/>
          <w:lang w:eastAsia="es-CO"/>
        </w:rPr>
        <w:t>sección,</w:t>
      </w:r>
      <w:proofErr w:type="gramEnd"/>
      <w:r w:rsidRPr="009342F9">
        <w:rPr>
          <w:rFonts w:ascii="Arial" w:eastAsia="Times New Roman" w:hAnsi="Arial" w:cs="Arial"/>
          <w:color w:val="000000"/>
          <w:lang w:eastAsia="es-CO"/>
        </w:rPr>
        <w:t xml:space="preserve"> pretenda realizar después de transcurridos los diez (10) años siguientes a la fecha de transferencia de la vivienda, desconociendo el derecho de preferencia de que trata el artículo 21 de la Ley 1537 de 2012. </w:t>
      </w:r>
    </w:p>
    <w:p w14:paraId="7706BDA1" w14:textId="2EFEFB09"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395" w:name="ver_30069408"/>
      <w:bookmarkEnd w:id="395"/>
    </w:p>
    <w:p w14:paraId="58A5CA9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2.1.1.2.5.2. Obligaciones de las oficinas de registro de instrumentos públicos. Los Registradores de las Oficinas de Registro de Instrumentos Públicos, al momento de registrar las escrituras públicas mediante las cuales se transfiera el derecho de dominio a quienes resulten beneficiarios del SFVE de acuerdo con la sección 2.1.1.2.1 del presente decreto o las normas que lo modifiquen, adicionen o sustituyan, deberán incluir las anotaciones correspondientes a la constitución del patrimonio familiar inembargable. </w:t>
      </w:r>
    </w:p>
    <w:p w14:paraId="6B59DB7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1466C6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Adicionalmente, los registradores de las Oficinas de Registro de Instrumentos Públicos, al momento de registrar las escrituras públicas de transferencia a las que hace referencia el </w:t>
      </w:r>
      <w:r w:rsidRPr="009342F9">
        <w:rPr>
          <w:rFonts w:ascii="Arial" w:eastAsia="Times New Roman" w:hAnsi="Arial" w:cs="Arial"/>
          <w:color w:val="000000"/>
          <w:lang w:eastAsia="es-CO"/>
        </w:rPr>
        <w:lastRenderedPageBreak/>
        <w:t>presente artículo incluirán la anotación relativa a la prohibición de enajenación de cualquier derecho real sobre el inmueble por el término de 10 años contados a partir de la fecha de la transferencia del inmueble, y el derecho de preferencia de que trata el artículo 8° de la Ley 3ª de 1991, modificado por el artículo 21 de la Ley 1537 de 2012. </w:t>
      </w:r>
    </w:p>
    <w:p w14:paraId="35B9A08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D5057A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el caso en que se haya pactado la condición resolutoria de la transferencia del derecho de dominio de la vivienda transferida a título de SFVE, esta deberá inscribirse en los folios de matrícula inmobiliaria respectivos. </w:t>
      </w:r>
    </w:p>
    <w:p w14:paraId="7E3F57C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F16D99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Los Registradores de las Oficinas de Registro de Instrumentos Públicos deberán abstenerse de inscribir cualquier acto de disposición total o parcial de cualquier derecho real que el propietario de las viviendas a las que hace referencia la presente </w:t>
      </w:r>
      <w:proofErr w:type="gramStart"/>
      <w:r w:rsidRPr="009342F9">
        <w:rPr>
          <w:rFonts w:ascii="Arial" w:eastAsia="Times New Roman" w:hAnsi="Arial" w:cs="Arial"/>
          <w:color w:val="000000"/>
          <w:lang w:eastAsia="es-CO"/>
        </w:rPr>
        <w:t>sección,</w:t>
      </w:r>
      <w:proofErr w:type="gramEnd"/>
      <w:r w:rsidRPr="009342F9">
        <w:rPr>
          <w:rFonts w:ascii="Arial" w:eastAsia="Times New Roman" w:hAnsi="Arial" w:cs="Arial"/>
          <w:color w:val="000000"/>
          <w:lang w:eastAsia="es-CO"/>
        </w:rPr>
        <w:t xml:space="preserve"> pretenda realizar dentro de los diez (10) años siguientes a la fecha de transferencia de la vivienda, salvo que se adjunte autorización para la enajenación de la vivienda emitida por la entidad otorgante del SFVE. </w:t>
      </w:r>
    </w:p>
    <w:p w14:paraId="0AA6322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4DFA44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Los Registradores de las Oficinas de Registro de Instrumentos públicos deberán abstenerse de inscribir cualquier acto de disposición total o parcial de cualquier derecho real que el propietario de las viviendas a las que hace referencia la presente </w:t>
      </w:r>
      <w:proofErr w:type="gramStart"/>
      <w:r w:rsidRPr="009342F9">
        <w:rPr>
          <w:rFonts w:ascii="Arial" w:eastAsia="Times New Roman" w:hAnsi="Arial" w:cs="Arial"/>
          <w:color w:val="000000"/>
          <w:lang w:eastAsia="es-CO"/>
        </w:rPr>
        <w:t>sección,</w:t>
      </w:r>
      <w:proofErr w:type="gramEnd"/>
      <w:r w:rsidRPr="009342F9">
        <w:rPr>
          <w:rFonts w:ascii="Arial" w:eastAsia="Times New Roman" w:hAnsi="Arial" w:cs="Arial"/>
          <w:color w:val="000000"/>
          <w:lang w:eastAsia="es-CO"/>
        </w:rPr>
        <w:t xml:space="preserve"> pretenda realizar después de transcurridos los diez (10) años siguientes a la fecha de transferencia de la vivienda, desconociendo el derecho de preferencia de que trata el artículo 21 de la Ley 1537 de 2012. </w:t>
      </w:r>
    </w:p>
    <w:p w14:paraId="07E085A3" w14:textId="67D0A421" w:rsidR="00FC79C1" w:rsidRPr="009342F9" w:rsidRDefault="00FC79C1" w:rsidP="002B70CD">
      <w:pPr>
        <w:spacing w:after="0" w:line="240" w:lineRule="auto"/>
        <w:jc w:val="both"/>
        <w:rPr>
          <w:rFonts w:ascii="Arial" w:eastAsia="Times New Roman" w:hAnsi="Arial" w:cs="Arial"/>
          <w:b/>
          <w:bCs/>
          <w:color w:val="000000"/>
          <w:lang w:eastAsia="es-CO"/>
        </w:rPr>
      </w:pPr>
      <w:r w:rsidRPr="009342F9">
        <w:rPr>
          <w:rFonts w:ascii="Arial" w:eastAsia="Times New Roman" w:hAnsi="Arial" w:cs="Arial"/>
          <w:color w:val="000000"/>
          <w:lang w:eastAsia="es-CO"/>
        </w:rPr>
        <w:t>  </w:t>
      </w:r>
    </w:p>
    <w:p w14:paraId="4B737BBB" w14:textId="77777777" w:rsidR="00FC79C1" w:rsidRPr="009342F9" w:rsidRDefault="00FC79C1" w:rsidP="005A1FCF">
      <w:pPr>
        <w:spacing w:after="0" w:line="240" w:lineRule="auto"/>
        <w:jc w:val="center"/>
        <w:rPr>
          <w:rFonts w:ascii="Arial" w:eastAsia="Times New Roman" w:hAnsi="Arial" w:cs="Arial"/>
          <w:b/>
          <w:bCs/>
          <w:color w:val="000000"/>
          <w:lang w:eastAsia="es-CO"/>
        </w:rPr>
      </w:pPr>
      <w:bookmarkStart w:id="396" w:name="ver_30069409"/>
      <w:bookmarkEnd w:id="396"/>
      <w:r w:rsidRPr="009342F9">
        <w:rPr>
          <w:rFonts w:ascii="Arial" w:eastAsia="Times New Roman" w:hAnsi="Arial" w:cs="Arial"/>
          <w:b/>
          <w:bCs/>
          <w:color w:val="000000"/>
          <w:lang w:eastAsia="es-CO"/>
        </w:rPr>
        <w:t>SECCIÓN 6</w:t>
      </w:r>
    </w:p>
    <w:p w14:paraId="285E93A5" w14:textId="77777777" w:rsidR="00FC79C1" w:rsidRDefault="00FC79C1" w:rsidP="005A1FCF">
      <w:pPr>
        <w:spacing w:after="0" w:line="240" w:lineRule="auto"/>
        <w:jc w:val="center"/>
        <w:rPr>
          <w:rFonts w:ascii="Arial" w:eastAsia="Times New Roman" w:hAnsi="Arial" w:cs="Arial"/>
          <w:b/>
          <w:bCs/>
          <w:color w:val="000000"/>
          <w:lang w:eastAsia="es-CO"/>
        </w:rPr>
      </w:pPr>
      <w:r w:rsidRPr="231E957E">
        <w:rPr>
          <w:rFonts w:ascii="Arial" w:eastAsia="Times New Roman" w:hAnsi="Arial" w:cs="Arial"/>
          <w:b/>
          <w:color w:val="000000" w:themeColor="text1"/>
          <w:lang w:eastAsia="es-CO"/>
        </w:rPr>
        <w:t>RESPONSABILIDAD DE LOS BENEFICIARIOS Y RESTITUCIÓN DEL SUBSIDIO FAMILIAR DE VIVIENDA EN ESPECIE</w:t>
      </w:r>
    </w:p>
    <w:p w14:paraId="1C573B31" w14:textId="77777777" w:rsidR="007C7D44" w:rsidRPr="009342F9" w:rsidRDefault="007C7D44" w:rsidP="005A1FCF">
      <w:pPr>
        <w:spacing w:after="0" w:line="240" w:lineRule="auto"/>
        <w:jc w:val="center"/>
        <w:rPr>
          <w:rFonts w:ascii="Arial" w:eastAsia="Times New Roman" w:hAnsi="Arial" w:cs="Arial"/>
          <w:b/>
          <w:bCs/>
          <w:color w:val="000000"/>
          <w:lang w:eastAsia="es-CO"/>
        </w:rPr>
      </w:pPr>
    </w:p>
    <w:p w14:paraId="4F52EB32" w14:textId="77777777" w:rsidR="00FC79C1" w:rsidRPr="009342F9" w:rsidRDefault="00FC79C1" w:rsidP="005A1FCF">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SUBSECCIÓN 1</w:t>
      </w:r>
    </w:p>
    <w:p w14:paraId="3B15B73A" w14:textId="77777777" w:rsidR="00FC79C1" w:rsidRPr="009342F9" w:rsidRDefault="00FC79C1" w:rsidP="005A1FCF">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PRESENTACIÓN</w:t>
      </w:r>
    </w:p>
    <w:p w14:paraId="4B2312A6"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397" w:name="ver_30069410"/>
      <w:bookmarkEnd w:id="397"/>
    </w:p>
    <w:p w14:paraId="1B8F375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2.1.1.2.6.1.1. Objeto. La presente sección define las responsabilidades de los hogares beneficiarios del Subsidio Familiar de Vivienda en Especie - SFVE que se otorgue en el marco del Programa de Vivienda Gratuita que se encuentra implementando el Gobierno Nacional, al igual que desarrolla el procedimiento para la revocatoria de la asignación del mencionado subsidio y para la restitución de la titularidad de la vivienda de interés prioritaria asignada en los términos de la Ley 1537 de 2012. </w:t>
      </w:r>
    </w:p>
    <w:p w14:paraId="7FBBE5A5" w14:textId="6586818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665F7CE" w14:textId="77777777" w:rsidR="00FC79C1" w:rsidRPr="009342F9" w:rsidRDefault="00FC79C1" w:rsidP="005A1FCF">
      <w:pPr>
        <w:spacing w:after="0" w:line="240" w:lineRule="auto"/>
        <w:jc w:val="center"/>
        <w:rPr>
          <w:rFonts w:ascii="Arial" w:eastAsia="Times New Roman" w:hAnsi="Arial" w:cs="Arial"/>
          <w:b/>
          <w:bCs/>
          <w:color w:val="000000"/>
          <w:lang w:eastAsia="es-CO"/>
        </w:rPr>
      </w:pPr>
      <w:bookmarkStart w:id="398" w:name="ver_30069412"/>
      <w:bookmarkEnd w:id="398"/>
      <w:r w:rsidRPr="009342F9">
        <w:rPr>
          <w:rFonts w:ascii="Arial" w:eastAsia="Times New Roman" w:hAnsi="Arial" w:cs="Arial"/>
          <w:b/>
          <w:bCs/>
          <w:color w:val="000000"/>
          <w:lang w:eastAsia="es-CO"/>
        </w:rPr>
        <w:t>SUBSECCIÓN 2</w:t>
      </w:r>
    </w:p>
    <w:p w14:paraId="70E08641" w14:textId="77777777" w:rsidR="00FC79C1" w:rsidRPr="009342F9" w:rsidRDefault="00FC79C1" w:rsidP="005A1FCF">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COMPROMISOS DE LOS POSTULANTES Y BENEFICIARIOS DEL SUBSIDIO FAMILIAR DE VIVIENDA 100% EN ESPECIE</w:t>
      </w:r>
    </w:p>
    <w:p w14:paraId="708B6572"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399" w:name="ver_30069413"/>
      <w:bookmarkEnd w:id="399"/>
    </w:p>
    <w:p w14:paraId="2EBFADB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2.1.1.2.6.2.1. Obligaciones de los postulantes para el subsidio familiar de vivienda en especie. Los hogares que se postulen a los procesos que se desarrollen de acuerdo con la sección 2.1.1.2.1 del presente decreto, para seleccionar a los beneficiarios de los Subsidios Familiares de Vivienda en Especie a otorgar en el marco del Programa de Vivienda Gratuita, por parte del FONVIVIENDA, tendrán las siguientes obligaciones: </w:t>
      </w:r>
    </w:p>
    <w:p w14:paraId="0A79181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29DB11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Entregar la totalidad de la información y los documentos que le sean solicitados por el operador designado para adelantar el proceso de postulación, de conformidad con lo establecido en el artículo 2.1.1.2.1.2.6 del presente decreto, o las normas que lo modifiquen, adicionen o sustituyan, el cual se refiere expresamente a la suscripción del formulario de declaración jurada de los miembros del hogar postulante, en el que deberán manifestar el cumplimiento de las condiciones para ser beneficiarios del subsidio familiar de vivienda en especie. </w:t>
      </w:r>
    </w:p>
    <w:p w14:paraId="569FF34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w:t>
      </w:r>
    </w:p>
    <w:p w14:paraId="5144096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Informar a la entidad encargada del proceso de postulación y a FONVIVIENDA, los hechos que se presenten durante el mencionado proceso y que impliquen la modificación de las condiciones del hogar, de manera que le impidan ser beneficiario del Programa de Vivienda Gratuita. Especialmente, el hogar postulante deberá informar cualquiera de las condiciones que darían lugar al rechazo de la postulación, de conformidad con lo establecido en el artículo 2.1.1.2.1.4.8 del presente decreto o las normas que lo modifiquen, adicionen o sustituyan. </w:t>
      </w:r>
    </w:p>
    <w:p w14:paraId="3A28EFB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F80DD4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Informar al momento de la postulación, si ha sido condenado por delitos en contra de menores de edad. </w:t>
      </w:r>
    </w:p>
    <w:p w14:paraId="2449D7CA"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400" w:name="ver_30069414"/>
      <w:bookmarkEnd w:id="400"/>
    </w:p>
    <w:p w14:paraId="3FE81A1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2.1.1.2.6.2.2. Trámite para verificar la información y la documentación. El Fondo Nacional de Vivienda – FONVIVIENDA, podrá en cualquier momento revisar la consistencia y/o veracidad de la información y documentación suministrada por el hogar postulante. </w:t>
      </w:r>
    </w:p>
    <w:p w14:paraId="463D45D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7ADE58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Si se advierte la posible existencia de imprecisiones, presuntas falsedades, falta de veracidad en los datos suministrados en el formulario de postulación y/o en los documentos que lo acompañan, o el posible incumplimiento de las obligaciones previstas en el artículo anterior, se solicitará al postulante emitir las aclaraciones del caso, de conformidad con lo establecido en el artículo 2.1.1.2.1.2.7 del presente decreto, y en el evento en que no se subsanen las imprecisiones o se aclaren las presuntas irregularidades, dentro de los términos establecidos, se rechazarán las postulaciones presentadas. </w:t>
      </w:r>
    </w:p>
    <w:p w14:paraId="254B7FB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C6FDCE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Parágrafo. Los postulantes para el subsidio familiar de vivienda en especie aceptarán someterse a las condiciones de transferencia, entrega y legalización del SFVE definidas por el Ministerio de Vivienda, Ciudad y Territorio en la Resolución 937 del 28 de diciembre de 2012, las normas que la </w:t>
      </w:r>
      <w:proofErr w:type="gramStart"/>
      <w:r w:rsidRPr="009342F9">
        <w:rPr>
          <w:rFonts w:ascii="Arial" w:eastAsia="Times New Roman" w:hAnsi="Arial" w:cs="Arial"/>
          <w:color w:val="000000"/>
          <w:lang w:eastAsia="es-CO"/>
        </w:rPr>
        <w:t>modifiquen,</w:t>
      </w:r>
      <w:proofErr w:type="gramEnd"/>
      <w:r w:rsidRPr="009342F9">
        <w:rPr>
          <w:rFonts w:ascii="Arial" w:eastAsia="Times New Roman" w:hAnsi="Arial" w:cs="Arial"/>
          <w:color w:val="000000"/>
          <w:lang w:eastAsia="es-CO"/>
        </w:rPr>
        <w:t xml:space="preserve"> adicionen o sustituyan. </w:t>
      </w:r>
    </w:p>
    <w:p w14:paraId="362FC312" w14:textId="22616798"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401" w:name="ver_30069416"/>
      <w:bookmarkEnd w:id="401"/>
    </w:p>
    <w:p w14:paraId="615B630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2.1.1.2.6.2.3. Obligaciones de los beneficiarios del subsidio familiar de vivienda en especie (SFVE). Los hogares que resulten beneficiados con la asignación de una vivienda de interés prioritario, a título de subsidio familiar de vivienda en especie, en el marco del programa de vivienda gratuita, por parte de FONVIVIENDA, tendrán las siguientes obligaciones: </w:t>
      </w:r>
    </w:p>
    <w:p w14:paraId="09F2099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56597E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En el proceso de transferencia y entrega de las viviendas de interés prioritario, a título de subsidio familiar de vivienda en especie. </w:t>
      </w:r>
    </w:p>
    <w:p w14:paraId="45805FE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8EC714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1.1 Otorgar poder a la sociedad fiduciaria vocera de los patrimonios autónomos que se hayan constituido para el desarrollo del programa de vivienda gratuita, cuando así lo defina FONVIVIENDA en la respectiva resolución de asignación, para que la sociedad fiduciaria: i) adquiera para el mandante la vivienda de interés prioritaria que le ha sido asignada, y ii) constituya sobre el inmueble que reciba a título del subsidio familiar de vivienda el patrimonio de familia inembargable, de acuerdo con lo establecido en el artículo 9° de la Ley 1537 de 2012. </w:t>
      </w:r>
    </w:p>
    <w:p w14:paraId="51C3298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71E083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1.2 Asistir a la diligencia de reconocimiento de la vivienda, en las fechas o plazos establecidos por FONVIVIENDA y suscribir el acta en la que conste su comparecencia, en el formato que se establezca por la mencionada entidad, indicando si acepta o no la vivienda asignada a título de subsidio 100% en especie. </w:t>
      </w:r>
    </w:p>
    <w:p w14:paraId="662E522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A12FED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1.3 Revisar y suscribir el acta de recibo material de la vivienda, en las condiciones, fechas y/o plazos que se definan para tal efecto por parte de los patrimonios autónomos que se hayan constituido para el desarrollo del Programa de Vivienda Gratuita. </w:t>
      </w:r>
    </w:p>
    <w:p w14:paraId="65C7089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w:t>
      </w:r>
    </w:p>
    <w:p w14:paraId="1FA1998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1.4. Asumir la custodia y la vigilancia de la vivienda asignada a título de subsidio en especie, a partir de la firma del recibo material de </w:t>
      </w:r>
      <w:proofErr w:type="gramStart"/>
      <w:r w:rsidRPr="009342F9">
        <w:rPr>
          <w:rFonts w:ascii="Arial" w:eastAsia="Times New Roman" w:hAnsi="Arial" w:cs="Arial"/>
          <w:color w:val="000000"/>
          <w:lang w:eastAsia="es-CO"/>
        </w:rPr>
        <w:t>la misma</w:t>
      </w:r>
      <w:proofErr w:type="gramEnd"/>
      <w:r w:rsidRPr="009342F9">
        <w:rPr>
          <w:rFonts w:ascii="Arial" w:eastAsia="Times New Roman" w:hAnsi="Arial" w:cs="Arial"/>
          <w:color w:val="000000"/>
          <w:lang w:eastAsia="es-CO"/>
        </w:rPr>
        <w:t>. </w:t>
      </w:r>
    </w:p>
    <w:p w14:paraId="158C39A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F8D3C9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En su condición de propietarios de las viviendas de interés prioritario otorgadas a título de subsidio en especie: </w:t>
      </w:r>
    </w:p>
    <w:p w14:paraId="285A8D8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4F3522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2.1 Destinar el inmueble recibido para vivienda, como uso principal, y para los usos permitidos y compatibles con la misma, de conformidad con lo establecido en las normas urbanísticas contenidas en el Plan de Ordenamiento Territorial respectivo y/o los instrumentos que lo desarrollen y complementen. </w:t>
      </w:r>
    </w:p>
    <w:p w14:paraId="75A25B4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095BCB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2.2. Mantener la vivienda asignada en condiciones de habitabilidad y salubridad y no destruirla o desmantelarla total ni parcialmente. </w:t>
      </w:r>
    </w:p>
    <w:p w14:paraId="3B74A7C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555FA5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2.3. Abstenerse de destinar la vivienda para la comisión de actividades ilícitas. </w:t>
      </w:r>
    </w:p>
    <w:p w14:paraId="4E712B5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698F66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2.4. Residir en la vivienda asignada por el término mínimo de diez (10) años contados desde la fecha de su transferencia, salvo que medie permiso de la entidad otorgante fundamentado en razones de fuerza mayor o caso fortuito, en los términos señalados en la presente sección. En consecuencia, debe abstenerse de arrendar o entregar a título de comodato, total o parcialmente, la vivienda asignada, dentro del término establecido en el presente numeral. </w:t>
      </w:r>
    </w:p>
    <w:p w14:paraId="1532D8E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AB7712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2.5. Abstenerse de transferir total o parcialmente cualquier derecho real que ejerza sobre la vivienda, antes de haber transcurrido diez (10) años desde la fecha de su transferencia, sin mediar permiso específico fundamentado en razones de fuerza mayor, según lo señalado en la presente sección. </w:t>
      </w:r>
    </w:p>
    <w:p w14:paraId="4A7BD1B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 prohibición incluye la suscripción de documentos privados o el otorgamiento de escrituras públicas en las cuales se prometa transferir o se transfiera, total o parcialmente, cualquiera de los referidos derechos reales. </w:t>
      </w:r>
    </w:p>
    <w:p w14:paraId="0B28FAF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E3103B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2.6. Abstenerse de realizar modificaciones a la vivienda asignada, o construcciones en el predio en que se haya ejecutado la misma, sin obtener previamente las licencias urbanísticas correspondientes y los demás permisos a que haya lugar. </w:t>
      </w:r>
    </w:p>
    <w:p w14:paraId="7968547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27DB3B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2.7. Pagar en forma debida y oportuna las obligaciones tributarias que recaigan sobre la vivienda asignada. Si por cualquier razón, previa entrega de la vivienda, el patrimonio autónomo constituido por FONVIVIENDA para la ejecución del Programa de Vivienda </w:t>
      </w:r>
      <w:proofErr w:type="gramStart"/>
      <w:r w:rsidRPr="009342F9">
        <w:rPr>
          <w:rFonts w:ascii="Arial" w:eastAsia="Times New Roman" w:hAnsi="Arial" w:cs="Arial"/>
          <w:color w:val="000000"/>
          <w:lang w:eastAsia="es-CO"/>
        </w:rPr>
        <w:t>Gratuita,</w:t>
      </w:r>
      <w:proofErr w:type="gramEnd"/>
      <w:r w:rsidRPr="009342F9">
        <w:rPr>
          <w:rFonts w:ascii="Arial" w:eastAsia="Times New Roman" w:hAnsi="Arial" w:cs="Arial"/>
          <w:color w:val="000000"/>
          <w:lang w:eastAsia="es-CO"/>
        </w:rPr>
        <w:t xml:space="preserve"> efectúa pagos de obligaciones tributarias, el beneficiario deberá devolver, dentro del término que establezca FONVIVIENDA, el valor proporcional del tributo, desde la fecha en que reciba efectivamente la vivienda. </w:t>
      </w:r>
    </w:p>
    <w:p w14:paraId="1B648D2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B88264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2.8. Pagar en forma debida y oportuna los servicios públicos domiciliarios de la vivienda asignada. </w:t>
      </w:r>
    </w:p>
    <w:p w14:paraId="3131371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81BBB0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2.9. Pagar en forma debida y oportuna las cuotas a que haya lugar por concepto de administración de la vivienda asignada y de las zonas comunes del proyecto en que esta se haya construido, cuando sea el caso. </w:t>
      </w:r>
    </w:p>
    <w:p w14:paraId="6AE312E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458D81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xml:space="preserve">2.10. En el caso en se encuentre incluido en un programa estatal para la superación de la pobreza, mantenerse en el programa hasta cumplir todas las etapas </w:t>
      </w:r>
      <w:proofErr w:type="gramStart"/>
      <w:r w:rsidRPr="009342F9">
        <w:rPr>
          <w:rFonts w:ascii="Arial" w:eastAsia="Times New Roman" w:hAnsi="Arial" w:cs="Arial"/>
          <w:color w:val="000000"/>
          <w:lang w:eastAsia="es-CO"/>
        </w:rPr>
        <w:t>del mismo</w:t>
      </w:r>
      <w:proofErr w:type="gramEnd"/>
      <w:r w:rsidRPr="009342F9">
        <w:rPr>
          <w:rFonts w:ascii="Arial" w:eastAsia="Times New Roman" w:hAnsi="Arial" w:cs="Arial"/>
          <w:color w:val="000000"/>
          <w:lang w:eastAsia="es-CO"/>
        </w:rPr>
        <w:t>, acogiéndose a los requisitos y condiciones señalados en el programa. </w:t>
      </w:r>
    </w:p>
    <w:p w14:paraId="7F67092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ED60CD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2.11. Ofrecer la vivienda en primer término a la entidad otorgante del SFVE si decide enajenarla, transcurridos diez años (10) después de la transferencia de la vivienda asignada, a efectos de cumplir con el derecho de preferencia en cabeza de la misma, para la compra del inmueble, acorde a los lineamientos del artículo 21 de la Ley 1537 de </w:t>
      </w:r>
      <w:proofErr w:type="gramStart"/>
      <w:r w:rsidRPr="009342F9">
        <w:rPr>
          <w:rFonts w:ascii="Arial" w:eastAsia="Times New Roman" w:hAnsi="Arial" w:cs="Arial"/>
          <w:color w:val="000000"/>
          <w:lang w:eastAsia="es-CO"/>
        </w:rPr>
        <w:t>2012 .</w:t>
      </w:r>
      <w:proofErr w:type="gramEnd"/>
      <w:r w:rsidRPr="009342F9">
        <w:rPr>
          <w:rFonts w:ascii="Arial" w:eastAsia="Times New Roman" w:hAnsi="Arial" w:cs="Arial"/>
          <w:color w:val="000000"/>
          <w:lang w:eastAsia="es-CO"/>
        </w:rPr>
        <w:t> </w:t>
      </w:r>
    </w:p>
    <w:p w14:paraId="79FD68C6" w14:textId="325DFDE3"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402" w:name="ver_30069418"/>
      <w:bookmarkEnd w:id="402"/>
    </w:p>
    <w:p w14:paraId="09A961A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2.1.1.2.6.2.4. Eventos de fuerza mayor en que es posible enajenar derechos reales de la vivienda transferida o dejar de residir en ella. El hogar beneficiario del SFVE podrá solicitar ante la entidad otorgante autorización para transferir cualquier derecho real o para dejar de residir en la solución de vivienda transferida, antes de haber transcurrido diez (10) años desde la fecha de la transferencia, de conformidad con lo establecido en el artículo 21 de la Ley 1537 de 2012, cuando acredite ante la entidad otorgante circunstancias de fuerza mayor, previstas en el artículo 64 del Código Civil. </w:t>
      </w:r>
    </w:p>
    <w:p w14:paraId="42130DF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00BAA9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Una vez el hogar beneficiario eleve la petición ante el Fondo Nacional de Vivienda FONVIVIENDA, y este le dé trámite de acuerdo al procedimiento establecido en el Código de Procedimiento Administrativo y de lo Contencioso Administrativo, el Fondo Nacional de Vivienda, FONVIVIENDA, evaluará la solicitud y las pruebas aportadas por el hogar, y procederá a expedir un acto administrativo donde se resolverá la solicitud de autorización de enajenación o el permiso para dejar de residir, según sea el caso. </w:t>
      </w:r>
    </w:p>
    <w:p w14:paraId="0A9BAE2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176006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La simple manifestación de una circunstancia de fuerza mayor por parte del hogar beneficiario no será suficiente para emitir la autorización a la que hace referencia el presente artículo. </w:t>
      </w:r>
    </w:p>
    <w:p w14:paraId="6540239B" w14:textId="4A2C7A76" w:rsidR="005A1FCF"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403" w:name="ver_30069419"/>
      <w:bookmarkEnd w:id="403"/>
    </w:p>
    <w:p w14:paraId="09D9AA78" w14:textId="1FA3AD68" w:rsidR="00FC79C1" w:rsidRPr="009342F9" w:rsidRDefault="00FC79C1" w:rsidP="005A1FCF">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SUBSECCIÓN 3</w:t>
      </w:r>
    </w:p>
    <w:p w14:paraId="7E6D7CFB" w14:textId="77777777" w:rsidR="00FC79C1" w:rsidRPr="009342F9" w:rsidRDefault="00FC79C1" w:rsidP="005A1FCF">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DEL INCUMPLIMIENTO DE LAS OBLIGACIONES ESTABLECIDAS EN EL PROGRAMA DE VIVIENDA GRATUITA</w:t>
      </w:r>
    </w:p>
    <w:p w14:paraId="49609CA6"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404" w:name="ver_30069421"/>
      <w:bookmarkEnd w:id="404"/>
    </w:p>
    <w:p w14:paraId="1A6662B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2.1.1.2.6.3.1. Trámite frente a la inobservancia de las obligaciones en el proceso de transferencia de las viviendas. El Fondo Nacional de Vivienda, FONVIVIENDA, verificará el cumplimiento de las obligaciones de los beneficiarios del subsidio familiar de vivienda en especie en el proceso de transferencia y entrega de las viviendas de interés prioritario. </w:t>
      </w:r>
    </w:p>
    <w:p w14:paraId="64E5310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79809F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Cuando FONVIVIENDA establezca que existe mérito ante el presunto incumplimiento de las obligaciones contenidas en el numeral 4.1 de la presente sección, requerirá al beneficiario para que dentro de los 15 días hábiles siguientes exponga la respectiva justificación y manifieste su intención de adelantar las actuaciones necesarias para proceder a la transferencia y ulterior entrega de la vivienda. </w:t>
      </w:r>
    </w:p>
    <w:p w14:paraId="2EC2B8F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F3FE2E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Si dentro del término establecido el hogar beneficiario no presenta la justificación correspondiente o manifiesta no tener intención de adelantar las actuaciones necesarias para adquirir y recibir la vivienda, se dará inicio al procedimiento de restitución del subsidio al que alude el artículo 2.1.1.2.6.3.3 de la presente sección. </w:t>
      </w:r>
    </w:p>
    <w:p w14:paraId="50F1AB9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24F8AC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Cuando el hogar beneficiario presente la justificación correspondiente, dentro del término antes señalado, y manifieste su intención de adelantar las actuaciones necesarias para adquirir y recibir la vivienda, FONVIVIENDA dispondrá de un término máximo de 15 días hábiles para fijar nueva </w:t>
      </w:r>
      <w:r w:rsidRPr="009342F9">
        <w:rPr>
          <w:rFonts w:ascii="Arial" w:eastAsia="Times New Roman" w:hAnsi="Arial" w:cs="Arial"/>
          <w:color w:val="000000"/>
          <w:lang w:eastAsia="es-CO"/>
        </w:rPr>
        <w:lastRenderedPageBreak/>
        <w:t xml:space="preserve">fecha o plazo para adelantar las diligencias tendientes al reconocimiento, transferencia y entrega de </w:t>
      </w:r>
      <w:proofErr w:type="gramStart"/>
      <w:r w:rsidRPr="009342F9">
        <w:rPr>
          <w:rFonts w:ascii="Arial" w:eastAsia="Times New Roman" w:hAnsi="Arial" w:cs="Arial"/>
          <w:color w:val="000000"/>
          <w:lang w:eastAsia="es-CO"/>
        </w:rPr>
        <w:t>la misma</w:t>
      </w:r>
      <w:proofErr w:type="gramEnd"/>
      <w:r w:rsidRPr="009342F9">
        <w:rPr>
          <w:rFonts w:ascii="Arial" w:eastAsia="Times New Roman" w:hAnsi="Arial" w:cs="Arial"/>
          <w:color w:val="000000"/>
          <w:lang w:eastAsia="es-CO"/>
        </w:rPr>
        <w:t>. </w:t>
      </w:r>
    </w:p>
    <w:p w14:paraId="208AE6F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BCBEEF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el evento en que el beneficiario no atienda la nueva fecha o plazo señalado, o cuando en dicho término no cumpla las obligaciones establecidas para el reconocimiento, transferencia y entrega de la vivienda, se dará inicio al procedimiento de restitución del subsidio al que alude el artículo 2.1.1.2.6.3.3 de la presente sección. </w:t>
      </w:r>
    </w:p>
    <w:p w14:paraId="1763E91B" w14:textId="4BB571D2"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405" w:name="ver_30069422"/>
      <w:bookmarkEnd w:id="405"/>
    </w:p>
    <w:p w14:paraId="6EF27C4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2.1.1.2.6.3.2. Causales de revocatoria de la asignación del SFVE. La entidad otorgante del SFVE dará inicio al procedimiento para la revocatoria de la asignación del subsidio, al cual hace referencia el artículo 2.1.1.2.6.3.3 de la presente sección, cuando por cualquier medio advierta la ocurrencia de alguna o algunas de las siguientes situaciones: </w:t>
      </w:r>
    </w:p>
    <w:p w14:paraId="6795ECC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DAA8C5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Cuando se acredite objetivamente la descripción típica del delito de falsedad, en cualquier documento suministrado o suscrito por el hogar beneficiario, durante la postulación, asignación, reconocimiento, transferencia o entrega de la vivienda. </w:t>
      </w:r>
    </w:p>
    <w:p w14:paraId="12D739A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5CB974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Cuando se compruebe, con un certificado emitido por la autoridad competente, que el beneficiario ha sido condenado por delitos cometidos en contra de menores de edad, caso en el cual los niños menores de edad no perderán los beneficios del subsidio de vivienda y los conservarán a través de la persona que los represente, de conformidad con lo establecido en el artículo 8° de la Ley 3ª de 1991, modificado por el 21 de la Ley 1537 de 2012. </w:t>
      </w:r>
    </w:p>
    <w:p w14:paraId="4E786AC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CA5D75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Cuando se presente la inobservancia de las obligaciones señaladas en el artículo 2.1.1.2.6.3.1 de la presente sección, durante la etapa de transferencia y entrega de las viviendas. </w:t>
      </w:r>
    </w:p>
    <w:p w14:paraId="01423C0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504DCA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Cuando se incumplan las obligaciones contenidas en los numerales 4.2.1, 4.2.2, 4.2.4, </w:t>
      </w:r>
    </w:p>
    <w:p w14:paraId="06931C1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4.2.5, 4.2.6, 4.2.10 y 4.2.11 de la presente sección. </w:t>
      </w:r>
    </w:p>
    <w:p w14:paraId="54AA511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4F6917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 Cuando la autoridad competente considere que la vivienda asignada ha sido utilizada en forma permanente o temporal, para la comisión de actividades ilícitas. </w:t>
      </w:r>
    </w:p>
    <w:p w14:paraId="22364F9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8989F9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6. Cuando el hogar beneficiario incurra en mora de más de seis meses en el pago de los servicios públicos domiciliarios de la vivienda asignada o en el pago del impuesto predial u otros tributos que recaigan sobre la vivienda asignada, incluyendo el pago al patrimonio autónomo referido en el numeral 4.2.7 de la presente sección. </w:t>
      </w:r>
    </w:p>
    <w:p w14:paraId="322F12C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2EF917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7. Cuando el hogar beneficiario incurra en mora de más de tres meses en el pago de las cuotas a que haya lugar por concepto de administración de la vivienda asignada y de las zonas comunes del proyecto en que esta se haya construido, cuando sea el caso. </w:t>
      </w:r>
    </w:p>
    <w:p w14:paraId="03F63C96" w14:textId="00E79EF1"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406" w:name="ver_30069423"/>
      <w:bookmarkEnd w:id="406"/>
    </w:p>
    <w:p w14:paraId="187F096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2.1.1.2.6.3.3. Trámite para la revocatoria de la asignación. El Fondo Nacional de Vivienda, FONVIVIENDA, revocará mediante acto administrativo la asignación del SFVE, en caso de verificar la ocurrencia de alguna o algunas de las causales previstas en el artículo 2.1.1.2.6.3.2 de la presente sección, previo desarrollo del procedimiento administrativo sancionatorio al que hace referencia el artículo 47 y siguientes del Código de Procedimiento Administrativo y de lo Contencioso Administrativo, o las normas que lo modifiquen, adicionen o sustituyan. </w:t>
      </w:r>
    </w:p>
    <w:p w14:paraId="5C98961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4C41E1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el evento en que se revoque el SFVE, el mismo acto ordenará la restitución de la titularidad del inmueble. </w:t>
      </w:r>
    </w:p>
    <w:p w14:paraId="52C2673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6FE782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Parágrafo. Cuando se trate del incumplimiento de obligaciones relacionadas con el pago de responsabilidades tributarias, servicios públicos domiciliarios o cuotas de administración de la vivienda entregada a título de subsidio en especie, el interesado podrá acreditar en el marco del proceso la realización de los pagos o la suscripción de acuerdos de pago con las entidades acreedoras, lo cual dará lugar a la terminación anticipada del proceso. </w:t>
      </w:r>
    </w:p>
    <w:p w14:paraId="261B5CFC" w14:textId="4544AB36"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407" w:name="ver_30069437"/>
      <w:bookmarkEnd w:id="407"/>
    </w:p>
    <w:p w14:paraId="02CB039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2.1.1.2.6.3.4. Condiciones de la restitución. A más tardar dentro de los cinco (5) días hábiles siguientes a la ejecutoria del acto administrativo mediante el cual el Fondo Nacional de Vivienda revoque el SFVE y ordene la restitución de la titularidad de la vivienda otorgada, por las causales señaladas en la presente sección, el hogar beneficiario deberá suscribir el acto de restitución de la vivienda, a la entidad otorgante del subsidio, así como el acta de entrega material respectiva, so pena de que se inicien las acciones policivas y/o judiciales a que haya lugar. </w:t>
      </w:r>
    </w:p>
    <w:p w14:paraId="4156969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1DC290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 vivienda deberá ser restituida en las mismas condiciones en las cuales fue entregada, salvo por el deterioro normal por el transcurso del tiempo y el uso legítimo de la misma. La entidad otorgante podrá solicitar la indemnización de los perjuicios a que haya lugar, cuando la vivienda no se encuentre en condiciones de habitabilidad o haya tenido un deterioro diferente al mencionado en el presente artículo. </w:t>
      </w:r>
    </w:p>
    <w:p w14:paraId="661EB9E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3CF7E6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Las mejoras </w:t>
      </w:r>
      <w:proofErr w:type="spellStart"/>
      <w:r w:rsidRPr="009342F9">
        <w:rPr>
          <w:rFonts w:ascii="Arial" w:eastAsia="Times New Roman" w:hAnsi="Arial" w:cs="Arial"/>
          <w:color w:val="000000"/>
          <w:lang w:eastAsia="es-CO"/>
        </w:rPr>
        <w:t>voluptuarias</w:t>
      </w:r>
      <w:proofErr w:type="spellEnd"/>
      <w:r w:rsidRPr="009342F9">
        <w:rPr>
          <w:rFonts w:ascii="Arial" w:eastAsia="Times New Roman" w:hAnsi="Arial" w:cs="Arial"/>
          <w:color w:val="000000"/>
          <w:lang w:eastAsia="es-CO"/>
        </w:rPr>
        <w:t xml:space="preserve"> realizadas en el inmueble restituido por el hogar beneficiario, en ningún caso serán pagadas por la entidad otorgante y solo podrán retirarse cuando con el retiro no se cause ningún perjuicio al inmueble. </w:t>
      </w:r>
    </w:p>
    <w:p w14:paraId="2828C2BB" w14:textId="46F24698"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408" w:name="ver_30069442"/>
      <w:bookmarkEnd w:id="408"/>
    </w:p>
    <w:p w14:paraId="3EC3518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2.1.1.2.6.3.5. Sanciones adicionales. Cuando se compruebe que se recibió el beneficio del Subsidio Familiar de Vivienda en Especie de manera fraudulenta o utilizando documentos falsos, se solicitará a la autoridad competente el inicio de una investigación por el delito de Fraude en Subvenciones, conforme al artículo 403A de la Ley 599 de 2000, y de acuerdo con lo establecido en el parágrafo 2° del artículo 21 de la Ley 1537 de 2012. </w:t>
      </w:r>
    </w:p>
    <w:p w14:paraId="661BA0D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CF5B75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Los beneficiarios que por sentencia ejecutoriada hubiesen sido condenados por haber presentado documento o información falsos con el objeto de resultar beneficiarios de un subsidio familiar de vivienda en especie, quedarán inhabilitados por el término de diez (10) años para volver a solicitarlo. </w:t>
      </w:r>
    </w:p>
    <w:p w14:paraId="1CC6B99A" w14:textId="2CEAA3E8"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409" w:name="ver_30069446"/>
      <w:bookmarkEnd w:id="409"/>
    </w:p>
    <w:p w14:paraId="0ECB1B9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2.1.1.2.6.3.6. Sustitución del beneficiario del SFVE. Una vez concluido el procedimiento de revocatoria del SFVE y de restitución de la titularidad de la vivienda asignada, de acuerdo con lo establecido en la presente sección, se realizará la sustitución del hogar beneficiario, en los términos señalados en el artículo 2.1.1.2.1.4.8 del presente decreto o las normas que lo modifiquen, adicionen o sustituyan. </w:t>
      </w:r>
    </w:p>
    <w:p w14:paraId="48AB9EBA" w14:textId="71994190" w:rsidR="005A1FCF"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410" w:name="ver_30069450"/>
      <w:bookmarkEnd w:id="410"/>
    </w:p>
    <w:p w14:paraId="2E5EDE10" w14:textId="68A2CD52" w:rsidR="00FC79C1" w:rsidRPr="009342F9" w:rsidRDefault="00FC79C1" w:rsidP="005A1FCF">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SUBSECCIÓN 4</w:t>
      </w:r>
    </w:p>
    <w:p w14:paraId="0879D060" w14:textId="77777777" w:rsidR="00FC79C1" w:rsidRPr="009342F9" w:rsidRDefault="00FC79C1" w:rsidP="005A1FCF">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OTRAS DISPOSICIONES.</w:t>
      </w:r>
    </w:p>
    <w:p w14:paraId="443BAE12"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411" w:name="ver_30069451"/>
      <w:bookmarkEnd w:id="411"/>
    </w:p>
    <w:p w14:paraId="4091AF0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2.1.1.2.6.4.1. Solicitud de información. El Fondo Nacional de Vivienda podrá solicitar información a cualquier entidad o autoridad que considere competente, para verificar el acaecimiento de cualquiera de las causales incorporadas en el artículo 2.1.1.2.6.3.3 de la presente sección. </w:t>
      </w:r>
    </w:p>
    <w:p w14:paraId="2FF5364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D30103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En todo caso, transcurrido un (1) año contado a partir de la entrega de la vivienda asignada a título de SFVE y sucesiva y periódicamente durante un periodo de diez (10) años, FONVIVIENDA </w:t>
      </w:r>
      <w:r w:rsidRPr="009342F9">
        <w:rPr>
          <w:rFonts w:ascii="Arial" w:eastAsia="Times New Roman" w:hAnsi="Arial" w:cs="Arial"/>
          <w:color w:val="000000"/>
          <w:lang w:eastAsia="es-CO"/>
        </w:rPr>
        <w:lastRenderedPageBreak/>
        <w:t>solicitará, a las siguientes entidades la información relativa a las viviendas otorgadas a título de SFVE: </w:t>
      </w:r>
    </w:p>
    <w:p w14:paraId="67EBFB2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30FF9D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A las secretarías de hacienda municipales o la entidad que haga sus veces, la información de las viviendas transferidas que se encuentren en mora de más de seis meses por concepto del pago del impuesto predial u otros tributos que recaigan sobre el inmueble. </w:t>
      </w:r>
    </w:p>
    <w:p w14:paraId="76F076A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205FFA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A las empresas prestadoras de servicios públicos domiciliarios, la información de las viviendas transferidas que se encuentren en mora de más de seis meses por concepto del pago de servicios públicos domiciliarios. </w:t>
      </w:r>
    </w:p>
    <w:p w14:paraId="3B2D68A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815D23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A los administradores de los proyectos de vivienda de interés prioritario que se encuentren sometidos a propiedad horizontal, la información de las viviendas transferidas que presenten mora de más de tres meses por concepto de pago de cuotas de administración. </w:t>
      </w:r>
    </w:p>
    <w:p w14:paraId="582DCA1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FAEACD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Las entidades o personas competentes deberán suministrar sin costo alguno, en medio magnético, la información requerida de acuerdo con lo establecido en el presente artículo. </w:t>
      </w:r>
    </w:p>
    <w:p w14:paraId="2807F939" w14:textId="77777777" w:rsidR="005A1FCF" w:rsidRPr="009342F9" w:rsidRDefault="005A1FCF" w:rsidP="00FC79C1">
      <w:pPr>
        <w:spacing w:after="0" w:line="240" w:lineRule="auto"/>
        <w:jc w:val="both"/>
        <w:rPr>
          <w:rFonts w:ascii="Arial" w:eastAsia="Times New Roman" w:hAnsi="Arial" w:cs="Arial"/>
          <w:color w:val="000000"/>
          <w:lang w:eastAsia="es-CO"/>
        </w:rPr>
      </w:pPr>
      <w:bookmarkStart w:id="412" w:name="ver_30069452"/>
      <w:bookmarkEnd w:id="412"/>
    </w:p>
    <w:p w14:paraId="2CF0CA1A" w14:textId="7AF51A89" w:rsidR="00FC79C1" w:rsidRPr="009342F9" w:rsidRDefault="00FC79C1" w:rsidP="005A1FCF">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SECCIÓN 7</w:t>
      </w:r>
    </w:p>
    <w:p w14:paraId="2C860EEE" w14:textId="77777777" w:rsidR="00FC79C1" w:rsidRPr="009342F9" w:rsidRDefault="00FC79C1" w:rsidP="005A1FCF">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CRITERIOS DE FOCALIZACIÓN PARA EL ACCESO AL SUBSIDIO FAMILIAR DE VIVIENDA EN ESPECIE</w:t>
      </w:r>
    </w:p>
    <w:p w14:paraId="71871B23" w14:textId="77777777" w:rsidR="00524495" w:rsidRDefault="00524495" w:rsidP="005A1FCF">
      <w:pPr>
        <w:spacing w:after="0" w:line="240" w:lineRule="auto"/>
        <w:jc w:val="center"/>
        <w:rPr>
          <w:rFonts w:ascii="Arial" w:eastAsia="Times New Roman" w:hAnsi="Arial" w:cs="Arial"/>
          <w:b/>
          <w:bCs/>
          <w:color w:val="000000"/>
          <w:lang w:eastAsia="es-CO"/>
        </w:rPr>
      </w:pPr>
    </w:p>
    <w:p w14:paraId="2DF77EE1" w14:textId="3D07DBC6" w:rsidR="00FC79C1" w:rsidRPr="009342F9" w:rsidRDefault="00FC79C1" w:rsidP="005A1FCF">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SUBSECCIÓN 1</w:t>
      </w:r>
    </w:p>
    <w:p w14:paraId="0ACB3CFB" w14:textId="77777777" w:rsidR="00FC79C1" w:rsidRPr="009342F9" w:rsidRDefault="00FC79C1" w:rsidP="005A1FCF">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CRITERIO DE FOCALIZACIÓN PARA ACCESO AL SUBSIDIO FAMILIAR DE VIVIENDA PARA ÁREAS URBANAS EN ESPECIE A LOS HOGARES QUE TENGAN COMO MIEMBRO A DEPORTISTAS Y ENTRENADORES MEDALLISTAS</w:t>
      </w:r>
    </w:p>
    <w:p w14:paraId="31EF2859"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413" w:name="ver_30069455"/>
      <w:bookmarkEnd w:id="413"/>
    </w:p>
    <w:p w14:paraId="3EEBBCE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2.1.1.2.7.1.1. Criterio de focalización. Establézcase como criterio de focalización para el acceso al subsidio familiar de vivienda en especie para áreas urbanas de que trata la Ley 1537 de 2012, a los hogares que tengan como miembro del grupo familiar a deportistas y entrenadores medallistas que se encuentran en estado de vulnerabilidad por carecer de recursos y no contar con una solución habitacional digna que hayan representado a la República de Colombia en juegos olímpicos, juegos paralímpicos, juegos sordo-olímpicos, eventos del ciclo olímpico y paralímpico y campeonatos mundiales, con el fin de facilitar el acceso a una solución de vivienda. </w:t>
      </w:r>
    </w:p>
    <w:p w14:paraId="64B5F13B"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414" w:name="ver_30069457"/>
      <w:bookmarkEnd w:id="414"/>
    </w:p>
    <w:p w14:paraId="32F45ED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2.1.1.2.7.1.2. Condiciones para el acceso al subsidio familiar de vivienda. Podrá acceder al subsidio familiar de vivienda en especie para áreas urbanas de que trata la presente subsección, el hogar que cumpla con las siguientes condiciones: </w:t>
      </w:r>
    </w:p>
    <w:p w14:paraId="63E83CD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F730E4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 Estar conformado por un miembro deportista y entrenador </w:t>
      </w:r>
      <w:proofErr w:type="gramStart"/>
      <w:r w:rsidRPr="009342F9">
        <w:rPr>
          <w:rFonts w:ascii="Arial" w:eastAsia="Times New Roman" w:hAnsi="Arial" w:cs="Arial"/>
          <w:color w:val="000000"/>
          <w:lang w:eastAsia="es-CO"/>
        </w:rPr>
        <w:t>que</w:t>
      </w:r>
      <w:proofErr w:type="gramEnd"/>
      <w:r w:rsidRPr="009342F9">
        <w:rPr>
          <w:rFonts w:ascii="Arial" w:eastAsia="Times New Roman" w:hAnsi="Arial" w:cs="Arial"/>
          <w:color w:val="000000"/>
          <w:lang w:eastAsia="es-CO"/>
        </w:rPr>
        <w:t xml:space="preserve"> en representación de la República de Colombia, hubiesen obtenido medallas en Juegos Olímpicos, Juegos Paralímpicos, Juegos Sordo-Olímpicos, eventos del ciclo olímpico y paralímpico y campeonatos mundiales, individualmente o por equipos; </w:t>
      </w:r>
    </w:p>
    <w:p w14:paraId="5BF76B2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DD7455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b) Que la respectiva disciplina deportiva esté reconocida por el Departamento Administrativo del Deporte, la Recreación, la Actividad Física y el Aprovechamiento del Tiempo Libre- COLDEPORTES y vinculada al Sistema Nacional del Deporte; </w:t>
      </w:r>
    </w:p>
    <w:p w14:paraId="068CB41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EE6804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 Que el deportista y entrenador medallista haya obtenido medalla dentro de los certámenes previstos en el literal a) de este artículo dentro del ciclo olímpico y paraolímpico que establezca COLDEPORTES; </w:t>
      </w:r>
    </w:p>
    <w:p w14:paraId="4BD3B8B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w:t>
      </w:r>
    </w:p>
    <w:p w14:paraId="1461788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d) Que el deportista y entrenador medallista se encuentre dentro del listado de personas y familias potencialmente elegibles por carecer de recursos y no contar con una solución habitacional digna, que remita la Agencia Nacional para la Superación de la Pobreza Extrema adscrita al Departamento Administrativo para la Prosperidad Social, a la entidad otorgante. </w:t>
      </w:r>
    </w:p>
    <w:p w14:paraId="7A58BFA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9BD853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1°. La relación de deportistas y entrenadores medallistas en las condiciones aquí establecidas, será remitida por el Departamento Administrativo del Deporte, la Recreación, la Actividad Física y el Aprovechamiento del Tiempo Libre- COLDEPORTES, acompañada de una certificación que acredite el cumplimiento de las presentes condiciones, a la Agencia Nacional para la Superación de la Pobreza Extrema adscrita al Departamento Administrativo para la Prosperidad Social. </w:t>
      </w:r>
    </w:p>
    <w:p w14:paraId="36AC927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57C4A0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2°. La asignación del subsidio familiar de vivienda para áreas urbanas de que trata la presente subsección se sujetará a la disponibilidad de recursos con que cuente el Fondo Nacional de Vivienda - FONVIVIENDA en su calidad de otorgante del subsidio. </w:t>
      </w:r>
    </w:p>
    <w:p w14:paraId="39D6214E"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415" w:name="ver_30069458"/>
      <w:bookmarkEnd w:id="415"/>
    </w:p>
    <w:p w14:paraId="66C8876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2.1.1.2.7.1.3. Determinación de requisitos de acceso y aplicación de subsidio familiar de vivienda. Los demás requisitos de acceso y aplicación del subsidio familiar de vivienda para áreas urbanas de que trata la presente subsección se efectuarán en los términos y condiciones que defina el Ministerio de Vivienda, Ciudad y Territorio, en coordinación con las demás entidades a que haya lugar. </w:t>
      </w:r>
    </w:p>
    <w:p w14:paraId="1DA10D0D" w14:textId="4B124938" w:rsidR="00FC79C1" w:rsidRPr="009342F9" w:rsidRDefault="00FC79C1" w:rsidP="002B70CD">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6AE6358" w14:textId="77777777" w:rsidR="005A1FCF" w:rsidRPr="009342F9" w:rsidRDefault="005A1FCF" w:rsidP="00FC79C1">
      <w:pPr>
        <w:spacing w:after="0" w:line="240" w:lineRule="auto"/>
        <w:jc w:val="both"/>
        <w:rPr>
          <w:rFonts w:ascii="Arial" w:eastAsia="Times New Roman" w:hAnsi="Arial" w:cs="Arial"/>
          <w:color w:val="000000"/>
          <w:lang w:eastAsia="es-CO"/>
        </w:rPr>
      </w:pPr>
      <w:bookmarkStart w:id="416" w:name="ver_30176479"/>
      <w:bookmarkEnd w:id="416"/>
    </w:p>
    <w:p w14:paraId="467E6318" w14:textId="54F0D87F" w:rsidR="00FC79C1" w:rsidRPr="009342F9" w:rsidRDefault="00FC79C1" w:rsidP="005A1FCF">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SUBSECCIÓN 2</w:t>
      </w:r>
    </w:p>
    <w:p w14:paraId="79AC7279" w14:textId="77777777" w:rsidR="00FC79C1" w:rsidRPr="009342F9" w:rsidRDefault="00FC79C1" w:rsidP="005A1FCF">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CRITERIO DE FOCALIZACIÓN PARA EL ACCESO AL SUBSIDIO FAMI</w:t>
      </w:r>
      <w:r w:rsidRPr="009342F9">
        <w:rPr>
          <w:rFonts w:ascii="Arial" w:eastAsia="Times New Roman" w:hAnsi="Arial" w:cs="Arial"/>
          <w:b/>
          <w:bCs/>
          <w:color w:val="000000"/>
          <w:lang w:eastAsia="es-CO"/>
        </w:rPr>
        <w:softHyphen/>
        <w:t>LIAR DE VIVIENDA EN ESPECIE PARA ÁREAS URBANAS A LOS HOGARES QUE TENGAN COMO MIEMBRO DEL GRUPO FAMILIAR A UN INTEGRAN</w:t>
      </w:r>
      <w:r w:rsidRPr="009342F9">
        <w:rPr>
          <w:rFonts w:ascii="Arial" w:eastAsia="Times New Roman" w:hAnsi="Arial" w:cs="Arial"/>
          <w:b/>
          <w:bCs/>
          <w:color w:val="000000"/>
          <w:lang w:eastAsia="es-CO"/>
        </w:rPr>
        <w:softHyphen/>
        <w:t>TE DE LA FUERZA PÚBLICA, QUE SE ENCUENTRE EN ESTADO DE VUL</w:t>
      </w:r>
      <w:r w:rsidRPr="009342F9">
        <w:rPr>
          <w:rFonts w:ascii="Arial" w:eastAsia="Times New Roman" w:hAnsi="Arial" w:cs="Arial"/>
          <w:b/>
          <w:bCs/>
          <w:color w:val="000000"/>
          <w:lang w:eastAsia="es-CO"/>
        </w:rPr>
        <w:softHyphen/>
        <w:t>NERABILIDAD Y NO CUENTE CON UNA SOLUCIÓN HABITACIONAL.</w:t>
      </w:r>
    </w:p>
    <w:p w14:paraId="28957555" w14:textId="77777777" w:rsidR="00524495" w:rsidRDefault="00524495" w:rsidP="005A1FCF">
      <w:pPr>
        <w:spacing w:after="0" w:line="240" w:lineRule="auto"/>
        <w:jc w:val="center"/>
        <w:rPr>
          <w:rFonts w:ascii="Arial" w:eastAsia="Times New Roman" w:hAnsi="Arial" w:cs="Arial"/>
          <w:b/>
          <w:bCs/>
          <w:color w:val="000000"/>
          <w:lang w:eastAsia="es-CO"/>
        </w:rPr>
      </w:pPr>
      <w:bookmarkStart w:id="417" w:name="ver_30176475"/>
      <w:bookmarkEnd w:id="417"/>
    </w:p>
    <w:p w14:paraId="58861C76"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418" w:name="ver_30109439"/>
      <w:bookmarkStart w:id="419" w:name="ver_30109443"/>
      <w:r w:rsidRPr="009342F9">
        <w:rPr>
          <w:rFonts w:ascii="Arial" w:eastAsia="Times New Roman" w:hAnsi="Arial" w:cs="Arial"/>
          <w:color w:val="000000"/>
          <w:lang w:eastAsia="es-CO"/>
        </w:rPr>
        <w:t>Artículo 2.1.1.2.7.2.1. Criterio de focalización. Establézcase como criterio de foca</w:t>
      </w:r>
      <w:r w:rsidRPr="009342F9">
        <w:rPr>
          <w:rFonts w:ascii="Arial" w:eastAsia="Times New Roman" w:hAnsi="Arial" w:cs="Arial"/>
          <w:color w:val="000000"/>
          <w:lang w:eastAsia="es-CO"/>
        </w:rPr>
        <w:softHyphen/>
        <w:t>lización para el acceso al subsidio familiar de vivienda en especie para áreas urbanas de que trata esta subsección, a los hogares que tengan como miembro del grupo familiar a un integrante de la Fuerza Pública, activo o retirado, que haya sido herido en combate, o como consecuencia de la acción del enemigo, o en actos meritorios del servicio, y/o como consecuencia de actos del servicio o por causas inherentes al mismo, que se encuentre en estado de vulnerabilidad y no cuente con una solución habitacional. Para el efecto podrán ser beneficiarios los oficiales, suboficiales, nivel ejecutivo, soldado, agente y/o auxiliar de las Fuerzas Militares o Policía Nacional, según sea el caso.</w:t>
      </w:r>
      <w:r w:rsidRPr="009342F9">
        <w:rPr>
          <w:rFonts w:ascii="Arial" w:eastAsia="Times New Roman" w:hAnsi="Arial" w:cs="Arial"/>
          <w:color w:val="000000"/>
          <w:lang w:eastAsia="es-CO"/>
        </w:rPr>
        <w:br/>
      </w:r>
      <w:r w:rsidRPr="009342F9">
        <w:rPr>
          <w:rFonts w:ascii="Arial" w:eastAsia="Times New Roman" w:hAnsi="Arial" w:cs="Arial"/>
          <w:color w:val="000000"/>
          <w:lang w:eastAsia="es-CO"/>
        </w:rPr>
        <w:br/>
        <w:t>La asignación del subsidio familiar de vivienda en especie para áreas urbanas de que trata la presente subsección se sujetará a la disponibilidad de recursos con que cuente el Fondo Nacional Vivienda (Fonvivienda).</w:t>
      </w:r>
      <w:r w:rsidRPr="009342F9">
        <w:rPr>
          <w:rFonts w:ascii="Arial" w:eastAsia="Times New Roman" w:hAnsi="Arial" w:cs="Arial"/>
          <w:color w:val="000000"/>
          <w:lang w:eastAsia="es-CO"/>
        </w:rPr>
        <w:br/>
      </w:r>
      <w:r w:rsidRPr="009342F9">
        <w:rPr>
          <w:rFonts w:ascii="Arial" w:eastAsia="Times New Roman" w:hAnsi="Arial" w:cs="Arial"/>
          <w:color w:val="000000"/>
          <w:lang w:eastAsia="es-CO"/>
        </w:rPr>
        <w:br/>
        <w:t>El subsidio familiar de vivienda en especie para áreas urbanas de que trata la presente subsección, no se podrá asignar cuando el destinatario haya sido beneficiario del subsidio de vivienda otorgado por el Estado a través de la Caja Promotora de Vivienda Militar y de Policía.</w:t>
      </w:r>
      <w:r w:rsidRPr="009342F9">
        <w:rPr>
          <w:rFonts w:ascii="Arial" w:eastAsia="Times New Roman" w:hAnsi="Arial" w:cs="Arial"/>
          <w:color w:val="000000"/>
          <w:lang w:eastAsia="es-CO"/>
        </w:rPr>
        <w:br/>
      </w:r>
      <w:r w:rsidRPr="009342F9">
        <w:rPr>
          <w:rFonts w:ascii="Arial" w:eastAsia="Times New Roman" w:hAnsi="Arial" w:cs="Arial"/>
          <w:color w:val="000000"/>
          <w:lang w:eastAsia="es-CO"/>
        </w:rPr>
        <w:br/>
        <w:t>Parágrafo transitorio. Los integrantes de la Fuerza Pública beneficiarios del subsidio familiar de vivienda otorgado por la Caja Promotora de Vivienda Militar y de Policía, po</w:t>
      </w:r>
      <w:r w:rsidRPr="009342F9">
        <w:rPr>
          <w:rFonts w:ascii="Arial" w:eastAsia="Times New Roman" w:hAnsi="Arial" w:cs="Arial"/>
          <w:color w:val="000000"/>
          <w:lang w:eastAsia="es-CO"/>
        </w:rPr>
        <w:softHyphen/>
        <w:t xml:space="preserve">drán acceder, por una </w:t>
      </w:r>
      <w:r w:rsidRPr="009342F9">
        <w:rPr>
          <w:rFonts w:ascii="Arial" w:eastAsia="Times New Roman" w:hAnsi="Arial" w:cs="Arial"/>
          <w:color w:val="000000"/>
          <w:lang w:eastAsia="es-CO"/>
        </w:rPr>
        <w:lastRenderedPageBreak/>
        <w:t>sola vez, al subsidio de que trata la presente subsección, en el evento que se cumpla la totalidad de las siguientes condiciones:</w:t>
      </w:r>
      <w:r w:rsidRPr="009342F9">
        <w:rPr>
          <w:rFonts w:ascii="Arial" w:eastAsia="Times New Roman" w:hAnsi="Arial" w:cs="Arial"/>
          <w:color w:val="000000"/>
          <w:lang w:eastAsia="es-CO"/>
        </w:rPr>
        <w:br/>
      </w:r>
      <w:r w:rsidRPr="009342F9">
        <w:rPr>
          <w:rFonts w:ascii="Arial" w:eastAsia="Times New Roman" w:hAnsi="Arial" w:cs="Arial"/>
          <w:color w:val="000000"/>
          <w:lang w:eastAsia="es-CO"/>
        </w:rPr>
        <w:br/>
        <w:t>a) Que la Caja Promotora de Vivienda Militar y de Policía como entidad otorgante del subsidio inicial expida constancia acerca de los hechos que hubiesen impedido ejercer su derecho constitucional a la vivienda digna, y de la condición de vulnerabilidad del be</w:t>
      </w:r>
      <w:r w:rsidRPr="009342F9">
        <w:rPr>
          <w:rFonts w:ascii="Arial" w:eastAsia="Times New Roman" w:hAnsi="Arial" w:cs="Arial"/>
          <w:color w:val="000000"/>
          <w:lang w:eastAsia="es-CO"/>
        </w:rPr>
        <w:softHyphen/>
        <w:t>neficiario en los términos del presente Decreto.</w:t>
      </w:r>
      <w:r w:rsidRPr="009342F9">
        <w:rPr>
          <w:rFonts w:ascii="Arial" w:eastAsia="Times New Roman" w:hAnsi="Arial" w:cs="Arial"/>
          <w:color w:val="000000"/>
          <w:lang w:eastAsia="es-CO"/>
        </w:rPr>
        <w:br/>
      </w:r>
      <w:r w:rsidRPr="009342F9">
        <w:rPr>
          <w:rFonts w:ascii="Arial" w:eastAsia="Times New Roman" w:hAnsi="Arial" w:cs="Arial"/>
          <w:color w:val="000000"/>
          <w:lang w:eastAsia="es-CO"/>
        </w:rPr>
        <w:br/>
        <w:t>b) Que los integrantes de la Fuerza Pública que aspiran al otorgamiento del subsidio se encuentren inscritos en el Registro Único de Víctimas (RUV) en fecha posterior a la asignación del subsidio otorgado por parte de la Caja Promotora de Vivienda Militar y de Policía;</w:t>
      </w:r>
      <w:r w:rsidRPr="009342F9">
        <w:rPr>
          <w:rFonts w:ascii="Arial" w:eastAsia="Times New Roman" w:hAnsi="Arial" w:cs="Arial"/>
          <w:color w:val="000000"/>
          <w:lang w:eastAsia="es-CO"/>
        </w:rPr>
        <w:br/>
      </w:r>
      <w:r w:rsidRPr="009342F9">
        <w:rPr>
          <w:rFonts w:ascii="Arial" w:eastAsia="Times New Roman" w:hAnsi="Arial" w:cs="Arial"/>
          <w:color w:val="000000"/>
          <w:lang w:eastAsia="es-CO"/>
        </w:rPr>
        <w:br/>
        <w:t>c) Que el beneficiario del subsidio realice las gestiones necesarias para transferir la propiedad de la vivienda adquirida con el subsidio de la Caja Promotora de Vivienda Militar y de Policía a la misma. Para tales efectos, la Caja Promotora de Vivienda Militar y de Policía señalará los lineamientos administrativos y financieros pertinentes;</w:t>
      </w:r>
      <w:r w:rsidRPr="009342F9">
        <w:rPr>
          <w:rFonts w:ascii="Arial" w:eastAsia="Times New Roman" w:hAnsi="Arial" w:cs="Arial"/>
          <w:color w:val="000000"/>
          <w:lang w:eastAsia="es-CO"/>
        </w:rPr>
        <w:br/>
      </w:r>
      <w:r w:rsidRPr="009342F9">
        <w:rPr>
          <w:rFonts w:ascii="Arial" w:eastAsia="Times New Roman" w:hAnsi="Arial" w:cs="Arial"/>
          <w:color w:val="000000"/>
          <w:lang w:eastAsia="es-CO"/>
        </w:rPr>
        <w:br/>
        <w:t>d) Que se cumplan las condiciones de acceso determinadas por el artículo 2.1.1.2.7.2.3 del presente decreto. </w:t>
      </w:r>
    </w:p>
    <w:p w14:paraId="2BFEB0F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E841611"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420" w:name="ver_30109441"/>
      <w:bookmarkEnd w:id="418"/>
      <w:bookmarkEnd w:id="419"/>
      <w:r w:rsidRPr="009342F9">
        <w:rPr>
          <w:rFonts w:ascii="Arial" w:eastAsia="Times New Roman" w:hAnsi="Arial" w:cs="Arial"/>
          <w:color w:val="000000"/>
          <w:lang w:eastAsia="es-CO"/>
        </w:rPr>
        <w:t>Artículo 2.1.1.2.7.2.2. Hogar objeto del subsidio familiar 100% de vivienda en espe</w:t>
      </w:r>
      <w:r w:rsidRPr="009342F9">
        <w:rPr>
          <w:rFonts w:ascii="Arial" w:eastAsia="Times New Roman" w:hAnsi="Arial" w:cs="Arial"/>
          <w:color w:val="000000"/>
          <w:lang w:eastAsia="es-CO"/>
        </w:rPr>
        <w:softHyphen/>
        <w:t>cie. Para la presente reglamentación se entenderá por hogar objeto del Subsidio Familiar 100% de Vivienda en Especie a una o más personas que integren el mismo grupo familiar, unidas o no por vínculos de parentesco, incluidos los cónyuges y las uniones maritales de hecho, incluyendo las parejas del mismo sexo, que compartan un mismo espacio habita</w:t>
      </w:r>
      <w:r w:rsidRPr="009342F9">
        <w:rPr>
          <w:rFonts w:ascii="Arial" w:eastAsia="Times New Roman" w:hAnsi="Arial" w:cs="Arial"/>
          <w:color w:val="000000"/>
          <w:lang w:eastAsia="es-CO"/>
        </w:rPr>
        <w:softHyphen/>
        <w:t>cional.  </w:t>
      </w:r>
    </w:p>
    <w:p w14:paraId="2C4F7EFE" w14:textId="77777777" w:rsidR="00FC79C1" w:rsidRPr="009342F9" w:rsidRDefault="00FC79C1" w:rsidP="00FC79C1">
      <w:pPr>
        <w:spacing w:after="0" w:line="240" w:lineRule="auto"/>
        <w:jc w:val="both"/>
        <w:rPr>
          <w:rFonts w:ascii="Arial" w:eastAsia="Times New Roman" w:hAnsi="Arial" w:cs="Arial"/>
          <w:color w:val="000000"/>
          <w:lang w:eastAsia="es-CO"/>
        </w:rPr>
      </w:pPr>
    </w:p>
    <w:p w14:paraId="072E8F95"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421" w:name="ver_30176444"/>
      <w:bookmarkStart w:id="422" w:name="ver_30109440"/>
      <w:bookmarkStart w:id="423" w:name="ver_30109444"/>
      <w:bookmarkEnd w:id="420"/>
      <w:bookmarkEnd w:id="421"/>
      <w:r w:rsidRPr="009342F9">
        <w:rPr>
          <w:rFonts w:ascii="Arial" w:eastAsia="Times New Roman" w:hAnsi="Arial" w:cs="Arial"/>
          <w:color w:val="000000"/>
          <w:lang w:eastAsia="es-CO"/>
        </w:rPr>
        <w:t>Artículo 2.1.1.2.7.2.3. Condiciones para acceso. Podrá acceder al subsidio familiar de vivienda en especie para áreas urbanas el hogar que cumpla con las siguientes condi</w:t>
      </w:r>
      <w:r w:rsidRPr="009342F9">
        <w:rPr>
          <w:rFonts w:ascii="Arial" w:eastAsia="Times New Roman" w:hAnsi="Arial" w:cs="Arial"/>
          <w:color w:val="000000"/>
          <w:lang w:eastAsia="es-CO"/>
        </w:rPr>
        <w:softHyphen/>
        <w:t>ciones:  </w:t>
      </w:r>
    </w:p>
    <w:p w14:paraId="4E81F294" w14:textId="77777777" w:rsidR="005A1FCF" w:rsidRPr="009342F9" w:rsidRDefault="005A1FCF" w:rsidP="00FC79C1">
      <w:pPr>
        <w:spacing w:after="0" w:line="240" w:lineRule="auto"/>
        <w:jc w:val="both"/>
        <w:rPr>
          <w:rFonts w:ascii="Arial" w:eastAsia="Times New Roman" w:hAnsi="Arial" w:cs="Arial"/>
          <w:color w:val="000000"/>
          <w:lang w:eastAsia="es-CO"/>
        </w:rPr>
      </w:pPr>
    </w:p>
    <w:p w14:paraId="2046FD01" w14:textId="6FB00378"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Que tenga como miembro del hogar a un integrante de la Fuerza Pública, de que trata el artículo 2.1.1.2.7.2.1 del presente decreto.  </w:t>
      </w:r>
    </w:p>
    <w:p w14:paraId="60E29661" w14:textId="77777777" w:rsidR="005A1FCF" w:rsidRPr="009342F9" w:rsidRDefault="005A1FCF" w:rsidP="00FC79C1">
      <w:pPr>
        <w:spacing w:after="0" w:line="240" w:lineRule="auto"/>
        <w:jc w:val="both"/>
        <w:rPr>
          <w:rFonts w:ascii="Arial" w:eastAsia="Times New Roman" w:hAnsi="Arial" w:cs="Arial"/>
          <w:color w:val="000000"/>
          <w:lang w:eastAsia="es-CO"/>
        </w:rPr>
      </w:pPr>
    </w:p>
    <w:p w14:paraId="5E64D9D7" w14:textId="51A9244E"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Que su discapacidad se encuentre debidamente diagnosticada y certificada por una Junta Médica de las Fuerzas Militares o Policía Nacional.  </w:t>
      </w:r>
    </w:p>
    <w:p w14:paraId="49C6EDEE" w14:textId="77777777" w:rsidR="005A1FCF" w:rsidRPr="009342F9" w:rsidRDefault="005A1FCF" w:rsidP="00FC79C1">
      <w:pPr>
        <w:spacing w:after="0" w:line="240" w:lineRule="auto"/>
        <w:jc w:val="both"/>
        <w:rPr>
          <w:rFonts w:ascii="Arial" w:eastAsia="Times New Roman" w:hAnsi="Arial" w:cs="Arial"/>
          <w:color w:val="000000"/>
          <w:lang w:eastAsia="es-CO"/>
        </w:rPr>
      </w:pPr>
    </w:p>
    <w:p w14:paraId="5E05FC13" w14:textId="6A43E5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No ser afiliado a la Caja Promotora de Vivienda Militar y de Policía para solu</w:t>
      </w:r>
      <w:r w:rsidRPr="009342F9">
        <w:rPr>
          <w:rFonts w:ascii="Arial" w:eastAsia="Times New Roman" w:hAnsi="Arial" w:cs="Arial"/>
          <w:color w:val="000000"/>
          <w:lang w:eastAsia="es-CO"/>
        </w:rPr>
        <w:softHyphen/>
        <w:t>ción de vivienda.  </w:t>
      </w:r>
    </w:p>
    <w:p w14:paraId="53A882EC" w14:textId="77777777" w:rsidR="005A1FCF" w:rsidRPr="009342F9" w:rsidRDefault="005A1FCF" w:rsidP="00FC79C1">
      <w:pPr>
        <w:spacing w:after="0" w:line="240" w:lineRule="auto"/>
        <w:jc w:val="both"/>
        <w:rPr>
          <w:rFonts w:ascii="Arial" w:eastAsia="Times New Roman" w:hAnsi="Arial" w:cs="Arial"/>
          <w:color w:val="000000"/>
          <w:lang w:eastAsia="es-CO"/>
        </w:rPr>
      </w:pPr>
    </w:p>
    <w:p w14:paraId="26A43F1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El Ministerio de Defensa Nacional a través del </w:t>
      </w:r>
      <w:proofErr w:type="gramStart"/>
      <w:r w:rsidRPr="009342F9">
        <w:rPr>
          <w:rFonts w:ascii="Arial" w:eastAsia="Times New Roman" w:hAnsi="Arial" w:cs="Arial"/>
          <w:color w:val="000000"/>
          <w:lang w:eastAsia="es-CO"/>
        </w:rPr>
        <w:t>Viceministro</w:t>
      </w:r>
      <w:proofErr w:type="gramEnd"/>
      <w:r w:rsidRPr="009342F9">
        <w:rPr>
          <w:rFonts w:ascii="Arial" w:eastAsia="Times New Roman" w:hAnsi="Arial" w:cs="Arial"/>
          <w:color w:val="000000"/>
          <w:lang w:eastAsia="es-CO"/>
        </w:rPr>
        <w:t xml:space="preserve"> del Grupo Social Em</w:t>
      </w:r>
      <w:r w:rsidRPr="009342F9">
        <w:rPr>
          <w:rFonts w:ascii="Arial" w:eastAsia="Times New Roman" w:hAnsi="Arial" w:cs="Arial"/>
          <w:color w:val="000000"/>
          <w:lang w:eastAsia="es-CO"/>
        </w:rPr>
        <w:softHyphen/>
        <w:t>presarial del Sector Defensa “GSED” y Bienestar, deberá verificar el cumplimiento de las condiciones establecidas en el presente artículo, de manera previa a la remisión del listado de que trata el artículo 2.1.1.2.7.2.4 del presente decreto. </w:t>
      </w:r>
    </w:p>
    <w:p w14:paraId="590E787F" w14:textId="77777777" w:rsidR="005A1FCF" w:rsidRPr="009342F9" w:rsidRDefault="005A1FCF" w:rsidP="00FC79C1">
      <w:pPr>
        <w:spacing w:after="0" w:line="240" w:lineRule="auto"/>
        <w:jc w:val="both"/>
        <w:rPr>
          <w:rFonts w:ascii="Arial" w:eastAsia="Times New Roman" w:hAnsi="Arial" w:cs="Arial"/>
          <w:color w:val="000000"/>
          <w:lang w:eastAsia="es-CO"/>
        </w:rPr>
      </w:pPr>
      <w:bookmarkStart w:id="424" w:name="ver_30176445"/>
      <w:bookmarkStart w:id="425" w:name="ver_30109442"/>
      <w:bookmarkStart w:id="426" w:name="ver_30109447"/>
      <w:bookmarkEnd w:id="422"/>
      <w:bookmarkEnd w:id="423"/>
      <w:bookmarkEnd w:id="424"/>
    </w:p>
    <w:p w14:paraId="4CF54992" w14:textId="7A7606F5"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2.1.1.2.7.2.4.</w:t>
      </w:r>
      <w:r w:rsidR="00D02DC1">
        <w:rPr>
          <w:rFonts w:ascii="Arial" w:eastAsia="Times New Roman" w:hAnsi="Arial" w:cs="Arial"/>
          <w:color w:val="000000"/>
          <w:lang w:eastAsia="es-CO"/>
        </w:rPr>
        <w:t xml:space="preserve"> </w:t>
      </w:r>
      <w:r w:rsidRPr="009342F9">
        <w:rPr>
          <w:rFonts w:ascii="Arial" w:eastAsia="Times New Roman" w:hAnsi="Arial" w:cs="Arial"/>
          <w:color w:val="000000"/>
          <w:lang w:eastAsia="es-CO"/>
        </w:rPr>
        <w:t>Selección de hogares. La relación de integrantes de la Fuerza Pública, activos o retirados, que hayan sido heridos en combate, o como consecuencia de la acción del enemigo, o en actos meritorios del servicio, y/o como consecuencia de actos del servicio o por causas inherentes al mismo, potenciales beneficiarios del subsidio familiar de vivienda en especie de que trata la presente subsección será remitida por el Ministerio de Defensa Nacional al Fondo Nacional de Vivienda (Fonvivienda).  </w:t>
      </w:r>
    </w:p>
    <w:p w14:paraId="2663F566"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427" w:name="ver_30176446"/>
      <w:bookmarkStart w:id="428" w:name="ver_30070921"/>
      <w:bookmarkEnd w:id="425"/>
      <w:bookmarkEnd w:id="426"/>
      <w:bookmarkEnd w:id="427"/>
    </w:p>
    <w:p w14:paraId="63CA1F3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2.1.1.2.7.2.5. Asignación y aplicación del subsidio familiar de vivienda en especie. Los demás requisitos de acceso y aplicación del subsidio familiar de vivienda para áreas urbanas de </w:t>
      </w:r>
      <w:r w:rsidRPr="009342F9">
        <w:rPr>
          <w:rFonts w:ascii="Arial" w:eastAsia="Times New Roman" w:hAnsi="Arial" w:cs="Arial"/>
          <w:color w:val="000000"/>
          <w:lang w:eastAsia="es-CO"/>
        </w:rPr>
        <w:lastRenderedPageBreak/>
        <w:t>que trata la presente subsección se efectuarán en los términos y condicio</w:t>
      </w:r>
      <w:r w:rsidRPr="009342F9">
        <w:rPr>
          <w:rFonts w:ascii="Arial" w:eastAsia="Times New Roman" w:hAnsi="Arial" w:cs="Arial"/>
          <w:color w:val="000000"/>
          <w:lang w:eastAsia="es-CO"/>
        </w:rPr>
        <w:softHyphen/>
        <w:t>nes que defina el Fondo Nacional de Vivienda (Fonvivienda). </w:t>
      </w:r>
    </w:p>
    <w:p w14:paraId="5C1DA1E1" w14:textId="77777777" w:rsidR="00FC79C1" w:rsidRPr="009342F9" w:rsidRDefault="00FC79C1" w:rsidP="00FC79C1">
      <w:pPr>
        <w:spacing w:after="0" w:line="240" w:lineRule="auto"/>
        <w:jc w:val="both"/>
        <w:rPr>
          <w:rFonts w:ascii="Arial" w:eastAsia="Times New Roman" w:hAnsi="Arial" w:cs="Arial"/>
          <w:color w:val="000000"/>
          <w:lang w:eastAsia="es-CO"/>
        </w:rPr>
      </w:pPr>
    </w:p>
    <w:p w14:paraId="33C2E78D" w14:textId="77777777" w:rsidR="00FC79C1" w:rsidRPr="009342F9" w:rsidRDefault="00FC79C1" w:rsidP="005A1FCF">
      <w:pPr>
        <w:spacing w:after="0" w:line="240" w:lineRule="auto"/>
        <w:jc w:val="center"/>
        <w:rPr>
          <w:rFonts w:ascii="Arial" w:eastAsia="Times New Roman" w:hAnsi="Arial" w:cs="Arial"/>
          <w:b/>
          <w:bCs/>
          <w:color w:val="000000"/>
          <w:lang w:eastAsia="es-CO"/>
        </w:rPr>
      </w:pPr>
      <w:bookmarkStart w:id="429" w:name="ver_30110920"/>
      <w:bookmarkEnd w:id="428"/>
      <w:bookmarkEnd w:id="429"/>
      <w:r w:rsidRPr="009342F9">
        <w:rPr>
          <w:rFonts w:ascii="Arial" w:eastAsia="Times New Roman" w:hAnsi="Arial" w:cs="Arial"/>
          <w:b/>
          <w:bCs/>
          <w:color w:val="000000"/>
          <w:lang w:eastAsia="es-CO"/>
        </w:rPr>
        <w:t>SUBSECCIÓN 3</w:t>
      </w:r>
    </w:p>
    <w:p w14:paraId="5739E3D0" w14:textId="77777777" w:rsidR="00FC79C1" w:rsidRPr="009342F9" w:rsidRDefault="00FC79C1" w:rsidP="005A1FCF">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CRITERIO DE FOCALIZACIÓN PARA EL ACCESO AL SUBSIDIO FAMILIAR DE VIVIENDA PARA ÁREAS URBANAS EN ESPECIE A LOS HOGARES QUE PERTENEZCAN A PUEBLOS Y COMUNIDADES INDÍGENAS EN ATENCIÓN A SU SITUACIÓN DE VULNERABILIDAD</w:t>
      </w:r>
    </w:p>
    <w:p w14:paraId="62E5895D"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430" w:name="ver_30110921"/>
      <w:bookmarkEnd w:id="430"/>
    </w:p>
    <w:p w14:paraId="1AD396B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2.1.1.2.7.3.1. Criterio de focalización. Establézcase como criterio de focalización para el acceso al subsidio familiar de vivienda en especie para áreas urbanas de que trata la Ley 1537 de 2012, a los hogares que pertenezcan a pueblos y comunidades indígenas en atención a su situación de vulnerabilidad, con el fin de facilitar el acceso a una solución habitacional en condiciones dignas y adecuadas a su cultura, usos y costumbres. </w:t>
      </w:r>
    </w:p>
    <w:p w14:paraId="15CDDAA0"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431" w:name="ver_30210170"/>
      <w:bookmarkStart w:id="432" w:name="ver_30110922"/>
      <w:bookmarkEnd w:id="431"/>
    </w:p>
    <w:p w14:paraId="1548FB2D" w14:textId="6FA2AC48"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2.1.1.2.7.3.2. Condiciones especiales de las viviendas. En el marco de la presente subsección podrán adelantarse convocatorias especiales encaminadas al desarrollo de proyectos que contemplen especificaciones técnicas para las viviendas en condiciones adecuadas a la cultura, usos y costumbres de los pueblos y comunidades indígenas. En todo caso, el valor de las viviendas no podrá exceder los noventa (90) salarios mínimos legales mensuales vigentes.  </w:t>
      </w:r>
    </w:p>
    <w:p w14:paraId="4EB84AC7" w14:textId="77777777" w:rsidR="005A1FCF" w:rsidRPr="009342F9" w:rsidRDefault="005A1FCF" w:rsidP="00FC79C1">
      <w:pPr>
        <w:spacing w:after="0" w:line="240" w:lineRule="auto"/>
        <w:jc w:val="both"/>
        <w:rPr>
          <w:rFonts w:ascii="Arial" w:eastAsia="Times New Roman" w:hAnsi="Arial" w:cs="Arial"/>
          <w:color w:val="000000"/>
          <w:lang w:eastAsia="es-CO"/>
        </w:rPr>
      </w:pPr>
    </w:p>
    <w:p w14:paraId="2BD8B90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El Ministerio de Vivienda, Ciudad y Territorio definirá las condiciones técnicas especiales de las viviendas y los mecanismos para adelantar estas convocatorias.  </w:t>
      </w:r>
    </w:p>
    <w:p w14:paraId="70EB3439" w14:textId="414363E5"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8E9FA15"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433" w:name="ver_30110923"/>
      <w:bookmarkEnd w:id="432"/>
      <w:bookmarkEnd w:id="433"/>
      <w:r w:rsidRPr="009342F9">
        <w:rPr>
          <w:rFonts w:ascii="Arial" w:eastAsia="Times New Roman" w:hAnsi="Arial" w:cs="Arial"/>
          <w:color w:val="000000"/>
          <w:lang w:eastAsia="es-CO"/>
        </w:rPr>
        <w:t>Artículo 2.1.1.2.7.3.3. Condiciones para el acceso al subsidio familiar de vivienda. Podrá acceder al subsidio familiar de vivienda en especie para áreas urbanas de que trata la presente subsección, el hogar que cumpla con las siguientes condiciones:  </w:t>
      </w:r>
    </w:p>
    <w:p w14:paraId="032BB93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F6C642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 Que el hogar se encuentre incluido en los listados elaborados en Asamblea General por el Resguardo o la comunidad o parcialidad indígena definida en el artículo 2.14.7.1.2. del Decreto 1071 de 2015, Decreto Único Reglamentario del Sector Administrativo Agropecuario, Pesquero y de Desarrollo Rural, </w:t>
      </w:r>
      <w:proofErr w:type="gramStart"/>
      <w:r w:rsidRPr="009342F9">
        <w:rPr>
          <w:rFonts w:ascii="Arial" w:eastAsia="Times New Roman" w:hAnsi="Arial" w:cs="Arial"/>
          <w:color w:val="000000"/>
          <w:lang w:eastAsia="es-CO"/>
        </w:rPr>
        <w:t>de acuerdo a</w:t>
      </w:r>
      <w:proofErr w:type="gramEnd"/>
      <w:r w:rsidRPr="009342F9">
        <w:rPr>
          <w:rFonts w:ascii="Arial" w:eastAsia="Times New Roman" w:hAnsi="Arial" w:cs="Arial"/>
          <w:color w:val="000000"/>
          <w:lang w:eastAsia="es-CO"/>
        </w:rPr>
        <w:t xml:space="preserve"> los usos y costumbres de los pueblos y comunidades indígenas, y posteriormente entregados al Ministerio del Interior por parte de la Autoridad Indígena respectiva;  </w:t>
      </w:r>
    </w:p>
    <w:p w14:paraId="3C4B978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B00A84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b) Que el hogar se encuentre incluido dentro del censo del resguardo o la comunidad o parcialidad indígena definida en el artículo 2.14.7.1.2. del Decreto 1071 de 2015, Decreto Único Reglamentario del Sector Administrativo Agropecuario, Pesquero y de Desarrollo Rural;  </w:t>
      </w:r>
    </w:p>
    <w:p w14:paraId="23437E6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F554FD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c) Que el pueblo y/o </w:t>
      </w:r>
      <w:proofErr w:type="gramStart"/>
      <w:r w:rsidRPr="009342F9">
        <w:rPr>
          <w:rFonts w:ascii="Arial" w:eastAsia="Times New Roman" w:hAnsi="Arial" w:cs="Arial"/>
          <w:color w:val="000000"/>
          <w:lang w:eastAsia="es-CO"/>
        </w:rPr>
        <w:t>comunidad indígena o parcialidad indígena</w:t>
      </w:r>
      <w:proofErr w:type="gramEnd"/>
      <w:r w:rsidRPr="009342F9">
        <w:rPr>
          <w:rFonts w:ascii="Arial" w:eastAsia="Times New Roman" w:hAnsi="Arial" w:cs="Arial"/>
          <w:color w:val="000000"/>
          <w:lang w:eastAsia="es-CO"/>
        </w:rPr>
        <w:t xml:space="preserve"> definida en el artículo 2.14.7.1.2. del Decreto 1071 de 2015, Decreto Único Reglamentario del Sector Administrativo Agropecuario, Pesquero y de Desarrollo Rural, esté debidamente reconocido por el Ministerio del Interior, a través de su Dirección General de Asuntos Indígenas rom y Minorías o la que haga sus veces.  </w:t>
      </w:r>
    </w:p>
    <w:p w14:paraId="36E4F92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937CF7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Será responsabilidad del Ministerio del Interior, a través de su Dirección de Asuntos Indígenas rom y minorías, realizar los cruces de información para garantizar que los hogares o familias incluidos en Asamblea General por el Resguardo o la comunidad o parcialidad indígena definida en el artículo 2.14.7.1.2 del Decreto 1071 de 2015, Decreto Único Reglamentario del Sector Administrativo Agropecuario, Pesquero y de Desarrollo Rural, cumplan además con el requisito de estar incluidos dentro del censo al que hace referencia el literal b) de este artículo, y posteriormente entregarlos al Departamento Administrativo para la Prosperidad Social.  </w:t>
      </w:r>
    </w:p>
    <w:p w14:paraId="3D1E26A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w:t>
      </w:r>
    </w:p>
    <w:p w14:paraId="2D680F8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2.1.1.2.7.3.4. Información sobre los proyectos en que se desarrollarán las viviendas a ser asignadas como subsidio familiar de vivienda en especie. El Fondo Nacional de Vivienda informará al Departamento Administrativo para la Prosperidad Social de los proyectos en que se desarrollarán viviendas a ser asignadas como subsidio familiar de vivienda en especie para los hogares que pertenezcan a pueblos y comunidades </w:t>
      </w:r>
      <w:proofErr w:type="spellStart"/>
      <w:r w:rsidRPr="009342F9">
        <w:rPr>
          <w:rFonts w:ascii="Arial" w:eastAsia="Times New Roman" w:hAnsi="Arial" w:cs="Arial"/>
          <w:color w:val="000000"/>
          <w:lang w:eastAsia="es-CO"/>
        </w:rPr>
        <w:t>indí</w:t>
      </w:r>
      <w:proofErr w:type="spellEnd"/>
      <w:r w:rsidRPr="009342F9">
        <w:rPr>
          <w:rFonts w:ascii="Arial" w:eastAsia="Times New Roman" w:hAnsi="Arial" w:cs="Arial"/>
          <w:color w:val="000000"/>
          <w:lang w:eastAsia="es-CO"/>
        </w:rPr>
        <w:t>- genas, indicando el lugar donde se ejecutarán los proyectos, el número de viviendas a ser transferidas y el Resguardo o la comunidad o parcialidad indígena definida en el artículo 2.14.7.1.2. del Decreto 1071 de 2015, al cual será dirigido. Lo anterior, a fin de que el Departamento Administrativo para la Prosperidad Social, realice la identificación de los hogares potencialmente beneficiarios del subsidio familiar de vivienda en especie de que trata la presente subsección. </w:t>
      </w:r>
    </w:p>
    <w:p w14:paraId="0017E635"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434" w:name="ver_30110925"/>
      <w:bookmarkEnd w:id="434"/>
    </w:p>
    <w:p w14:paraId="2FE71D6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2.1.1.2.7.3.5. Listado de hogares potenciales beneficiarios. El Departamento Administrativo para la Prosperidad Social remitirá al Fondo Nacional de Vivienda la relación de hogares que cumplan con las condiciones establecidas en el artículo 2.1.1.2.7.3.3. del presente decreto. Fonvivienda, de considerarlo necesario, podrá requerir al Departamento Administrativo para la Prosperidad Social, la actualización de dichos listados. </w:t>
      </w:r>
    </w:p>
    <w:p w14:paraId="505EC677" w14:textId="77777777" w:rsidR="00FC79C1" w:rsidRPr="009342F9" w:rsidRDefault="00FC79C1" w:rsidP="00FC79C1">
      <w:pPr>
        <w:spacing w:after="0" w:line="240" w:lineRule="auto"/>
        <w:jc w:val="both"/>
        <w:rPr>
          <w:rFonts w:ascii="Arial" w:eastAsia="Times New Roman" w:hAnsi="Arial" w:cs="Arial"/>
          <w:color w:val="000000"/>
          <w:lang w:eastAsia="es-CO"/>
        </w:rPr>
      </w:pPr>
    </w:p>
    <w:p w14:paraId="035D7A4F"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435" w:name="ver_30110926"/>
      <w:bookmarkEnd w:id="435"/>
      <w:r w:rsidRPr="009342F9">
        <w:rPr>
          <w:rFonts w:ascii="Arial" w:eastAsia="Times New Roman" w:hAnsi="Arial" w:cs="Arial"/>
          <w:color w:val="000000"/>
          <w:lang w:eastAsia="es-CO"/>
        </w:rPr>
        <w:t>Artículo 2.1.1.2.7.3.6. Convocatoria. Fonvivienda, mediante acto administrativo, dará apertura a la convocatoria a los hogares potencialmente beneficiarios, de acuerdo con los listados remitidos por el Departamento Administrativo para la Prosperidad Social, a fin de que estos se postulen ante Fonvivienda o el operador que este designe. El término de duración de la convocatoria será establecido por Fonvivienda en el mismo acto administrativo. </w:t>
      </w:r>
    </w:p>
    <w:p w14:paraId="594F19A2"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436" w:name="ver_30110927"/>
      <w:bookmarkEnd w:id="436"/>
    </w:p>
    <w:p w14:paraId="4A973BC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2.1.1.2.7.3.7. Postulación. Los hogares potencialmente beneficiarios, identificados por el Departamento Administrativo para la Prosperidad Social, deberán suministrar la información de postulación a Fonvivienda o el operador designado por este.  </w:t>
      </w:r>
    </w:p>
    <w:p w14:paraId="26DC6E80" w14:textId="77777777" w:rsidR="00FC79C1" w:rsidRPr="009342F9" w:rsidRDefault="00FC79C1" w:rsidP="00FC79C1">
      <w:pPr>
        <w:spacing w:after="0" w:line="240" w:lineRule="auto"/>
        <w:jc w:val="both"/>
        <w:rPr>
          <w:rFonts w:ascii="Arial" w:eastAsia="Times New Roman" w:hAnsi="Arial" w:cs="Arial"/>
          <w:color w:val="000000"/>
          <w:lang w:eastAsia="es-CO"/>
        </w:rPr>
      </w:pPr>
      <w:proofErr w:type="gramStart"/>
      <w:r w:rsidRPr="009342F9">
        <w:rPr>
          <w:rFonts w:ascii="Arial" w:eastAsia="Times New Roman" w:hAnsi="Arial" w:cs="Arial"/>
          <w:color w:val="000000"/>
          <w:lang w:eastAsia="es-CO"/>
        </w:rPr>
        <w:t>La documentación a entregar</w:t>
      </w:r>
      <w:proofErr w:type="gramEnd"/>
      <w:r w:rsidRPr="009342F9">
        <w:rPr>
          <w:rFonts w:ascii="Arial" w:eastAsia="Times New Roman" w:hAnsi="Arial" w:cs="Arial"/>
          <w:color w:val="000000"/>
          <w:lang w:eastAsia="es-CO"/>
        </w:rPr>
        <w:t xml:space="preserve"> y las condiciones para la postulación serán definidas por Fonvivienda </w:t>
      </w:r>
    </w:p>
    <w:p w14:paraId="303F06FC" w14:textId="77777777" w:rsidR="005A1FCF" w:rsidRPr="009342F9" w:rsidRDefault="005A1FCF" w:rsidP="00FC79C1">
      <w:pPr>
        <w:spacing w:after="0" w:line="240" w:lineRule="auto"/>
        <w:jc w:val="both"/>
        <w:rPr>
          <w:rFonts w:ascii="Arial" w:eastAsia="Times New Roman" w:hAnsi="Arial" w:cs="Arial"/>
          <w:color w:val="000000"/>
          <w:lang w:eastAsia="es-CO"/>
        </w:rPr>
      </w:pPr>
    </w:p>
    <w:p w14:paraId="4E72B129" w14:textId="43B5CB24"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2.1.1.2.7.3.8. Verificación de la información. Efectuada la correspondiente postulación por parte de los hogares identificados como potencialmente beneficiarios, Fonvivienda procederá a verificar que los mismos cumplan con las condiciones para acceder al subsidio familiar de vivienda en especie para áreas urbanas de que trata la presente subsección y no estén incursos en las causales de rechazo de postulación establecidas en el artículo 2.1.1.2.1.2.9 del Decreto 1077 de 2015. </w:t>
      </w:r>
    </w:p>
    <w:p w14:paraId="41FF6DBC"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437" w:name="ver_30110930"/>
      <w:bookmarkEnd w:id="437"/>
    </w:p>
    <w:p w14:paraId="7F21998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2.1.1.2.7.3.9. Proceso de selección y asignación de hogares beneficiarios. Una vez surtido el proceso de verificación de información establecido en la presente subsección, Fonvivienda seleccionará y asignará mediante acto administrativo a los hogares beneficiarios, teniendo en cuenta los siguientes criterios:  </w:t>
      </w:r>
    </w:p>
    <w:p w14:paraId="470B3D1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53350A2" w14:textId="615D762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De manera directa cuando el número de hogares postulados que cumplan con los requisitos para ser beneficiarios del subsidio sea inferior o igual al número de viviendas del proyecto.  </w:t>
      </w:r>
    </w:p>
    <w:p w14:paraId="598AB1E0" w14:textId="77777777" w:rsidR="005A1FCF" w:rsidRPr="009342F9" w:rsidRDefault="005A1FCF" w:rsidP="00FC79C1">
      <w:pPr>
        <w:spacing w:after="0" w:line="240" w:lineRule="auto"/>
        <w:jc w:val="both"/>
        <w:rPr>
          <w:rFonts w:ascii="Arial" w:eastAsia="Times New Roman" w:hAnsi="Arial" w:cs="Arial"/>
          <w:color w:val="000000"/>
          <w:lang w:eastAsia="es-CO"/>
        </w:rPr>
      </w:pPr>
    </w:p>
    <w:p w14:paraId="6CA90FF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Mediante sorteo cuando el número de hogares postulados que cumplan con los requisitos para ser beneficiarios del subsidio excedan el número de viviendas a transferir  </w:t>
      </w:r>
    </w:p>
    <w:p w14:paraId="0D630BD8" w14:textId="7CFBC264"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438" w:name="ver_30110931"/>
      <w:bookmarkEnd w:id="438"/>
    </w:p>
    <w:p w14:paraId="2BCA1F0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2.1.1.2.7.3.10. Selección por sorteo. En los casos en los que deba realizarse el sorteo, Fonvivienda establecerá los mecanismos para surtir dicho procedimiento, el cual deberá llevarse a cabo con la presencia de por lo menos tres (3) de los siguientes testigos:  </w:t>
      </w:r>
    </w:p>
    <w:p w14:paraId="04154D4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w:t>
      </w:r>
    </w:p>
    <w:p w14:paraId="4042485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Máxima autoridad tradicional del resguardo o la comunidad o parcialidad indígena definida en el artículo 2.14.7.1.2. Del Decreto 1071 de 2015, o a quien este delegue.  </w:t>
      </w:r>
    </w:p>
    <w:p w14:paraId="1FC20F07" w14:textId="77777777" w:rsidR="005A1FCF" w:rsidRPr="009342F9" w:rsidRDefault="005A1FCF" w:rsidP="00FC79C1">
      <w:pPr>
        <w:spacing w:after="0" w:line="240" w:lineRule="auto"/>
        <w:jc w:val="both"/>
        <w:rPr>
          <w:rFonts w:ascii="Arial" w:eastAsia="Times New Roman" w:hAnsi="Arial" w:cs="Arial"/>
          <w:color w:val="000000"/>
          <w:lang w:eastAsia="es-CO"/>
        </w:rPr>
      </w:pPr>
    </w:p>
    <w:p w14:paraId="49DD8672" w14:textId="38D6B3F2"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El Director Ejecutivo del Fondo Nacional de Vivienda o quien este delegue.  </w:t>
      </w:r>
    </w:p>
    <w:p w14:paraId="390CDE20" w14:textId="77777777" w:rsidR="005A1FCF" w:rsidRPr="009342F9" w:rsidRDefault="005A1FCF" w:rsidP="00FC79C1">
      <w:pPr>
        <w:spacing w:after="0" w:line="240" w:lineRule="auto"/>
        <w:jc w:val="both"/>
        <w:rPr>
          <w:rFonts w:ascii="Arial" w:eastAsia="Times New Roman" w:hAnsi="Arial" w:cs="Arial"/>
          <w:color w:val="000000"/>
          <w:lang w:eastAsia="es-CO"/>
        </w:rPr>
      </w:pPr>
    </w:p>
    <w:p w14:paraId="527BABA3" w14:textId="3C4EE0A5"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El Director de Asuntos Indígenas Rom y Minorías del Ministerio del Interior o quien este delegue  </w:t>
      </w:r>
    </w:p>
    <w:p w14:paraId="7DB51280" w14:textId="77777777" w:rsidR="005A1FCF" w:rsidRPr="009342F9" w:rsidRDefault="005A1FCF" w:rsidP="00FC79C1">
      <w:pPr>
        <w:spacing w:after="0" w:line="240" w:lineRule="auto"/>
        <w:jc w:val="both"/>
        <w:rPr>
          <w:rFonts w:ascii="Arial" w:eastAsia="Times New Roman" w:hAnsi="Arial" w:cs="Arial"/>
          <w:color w:val="000000"/>
          <w:lang w:eastAsia="es-CO"/>
        </w:rPr>
      </w:pPr>
    </w:p>
    <w:p w14:paraId="6D747F74" w14:textId="3DB256B4"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El personero municipal o quien este delegue  </w:t>
      </w:r>
    </w:p>
    <w:p w14:paraId="294A6CE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7413CE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1°. En el evento en que se convoque la diligencia de sorteo dos (2) veces y no sea posible realizarla por falta de quórum, la tercera podrá realizarse solamente con la presencia del Director Ejecutivo del Fondo Nacional de Vivienda o quien este delegue y el Director de Asuntos Indígenas Rom y Minorías del Ministerio del Interior o quien este delegue. En este caso, se invitará un delegado de la Procuraduría General de la Nación, para que acompañe el sorteo.  </w:t>
      </w:r>
    </w:p>
    <w:p w14:paraId="0CC93E7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F6EDE1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2°. Fonvivienda levantará un acta del resultado del sorteo, la cual será firmada por los testigos e invitados presentes. </w:t>
      </w:r>
    </w:p>
    <w:p w14:paraId="33231E78"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439" w:name="ver_30110932"/>
      <w:bookmarkEnd w:id="439"/>
    </w:p>
    <w:p w14:paraId="6554B0B7" w14:textId="4E667024"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2.1.1.2.7.3.11.</w:t>
      </w:r>
      <w:r w:rsidR="006C03C2">
        <w:rPr>
          <w:rFonts w:ascii="Arial" w:eastAsia="Times New Roman" w:hAnsi="Arial" w:cs="Arial"/>
          <w:color w:val="000000"/>
          <w:lang w:eastAsia="es-CO"/>
        </w:rPr>
        <w:t xml:space="preserve"> </w:t>
      </w:r>
      <w:r w:rsidRPr="009342F9">
        <w:rPr>
          <w:rFonts w:ascii="Arial" w:eastAsia="Times New Roman" w:hAnsi="Arial" w:cs="Arial"/>
          <w:color w:val="000000"/>
          <w:lang w:eastAsia="es-CO"/>
        </w:rPr>
        <w:t>Acceso y aplicación del subsidio familiar de vivienda en especie. Los demás requisitos de acceso y aplicación del subsidio familiar de vivienda para áreas urbanas de que trata la presente subsección se efectuarán en los términos y condiciones que defina el Fondo Nacional de Vivienda”. </w:t>
      </w:r>
    </w:p>
    <w:p w14:paraId="7D0C557C" w14:textId="77777777" w:rsidR="00FC79C1" w:rsidRPr="009342F9" w:rsidRDefault="00FC79C1" w:rsidP="00FC79C1">
      <w:pPr>
        <w:spacing w:after="0" w:line="240" w:lineRule="auto"/>
        <w:jc w:val="both"/>
        <w:rPr>
          <w:rFonts w:ascii="Arial" w:eastAsia="Times New Roman" w:hAnsi="Arial" w:cs="Arial"/>
          <w:color w:val="000000"/>
          <w:lang w:eastAsia="es-CO"/>
        </w:rPr>
      </w:pPr>
    </w:p>
    <w:p w14:paraId="5C1FCFEC" w14:textId="598690E7" w:rsidR="00FC79C1" w:rsidRPr="002B70CD" w:rsidRDefault="00FC79C1" w:rsidP="005A1FCF">
      <w:pPr>
        <w:spacing w:after="0" w:line="240" w:lineRule="auto"/>
        <w:jc w:val="center"/>
        <w:rPr>
          <w:rFonts w:ascii="Arial" w:eastAsia="Times New Roman" w:hAnsi="Arial" w:cs="Arial"/>
          <w:b/>
          <w:bCs/>
          <w:color w:val="000000"/>
          <w:lang w:eastAsia="es-CO"/>
        </w:rPr>
      </w:pPr>
      <w:bookmarkStart w:id="440" w:name="ver_30210149"/>
      <w:bookmarkEnd w:id="440"/>
      <w:r w:rsidRPr="002B70CD">
        <w:rPr>
          <w:rFonts w:ascii="Arial" w:eastAsia="Times New Roman" w:hAnsi="Arial" w:cs="Arial"/>
          <w:b/>
          <w:bCs/>
          <w:color w:val="000000"/>
          <w:lang w:eastAsia="es-CO"/>
        </w:rPr>
        <w:t>SUBSECCIÓN 4</w:t>
      </w:r>
    </w:p>
    <w:p w14:paraId="4B786F4B" w14:textId="77777777" w:rsidR="00FC79C1" w:rsidRPr="002B70CD" w:rsidRDefault="00FC79C1" w:rsidP="005A1FCF">
      <w:pPr>
        <w:spacing w:after="0" w:line="240" w:lineRule="auto"/>
        <w:jc w:val="center"/>
        <w:rPr>
          <w:rFonts w:ascii="Arial" w:eastAsia="Times New Roman" w:hAnsi="Arial" w:cs="Arial"/>
          <w:b/>
          <w:bCs/>
          <w:color w:val="000000"/>
          <w:lang w:eastAsia="es-CO"/>
        </w:rPr>
      </w:pPr>
      <w:r w:rsidRPr="002B70CD">
        <w:rPr>
          <w:rFonts w:ascii="Arial" w:eastAsia="Times New Roman" w:hAnsi="Arial" w:cs="Arial"/>
          <w:b/>
          <w:bCs/>
          <w:color w:val="000000"/>
          <w:lang w:eastAsia="es-CO"/>
        </w:rPr>
        <w:t>CRITERIO DE FOCALIZACIÓN PARA EL ACCESO AL SUBSIDIO FAMILIAR DE VIVIENDA PARA ÁREAS URBANAS EN ESPECIE A LOS HOGARES QUE PERTENEZCAN AL PUEBLO RROM O GITANO EN ATENCIÓN A SU SITUACIÓN DE VULNERABILIDAD</w:t>
      </w:r>
    </w:p>
    <w:p w14:paraId="040FD068"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441" w:name="ver_30210150"/>
      <w:bookmarkEnd w:id="441"/>
    </w:p>
    <w:p w14:paraId="6DBAE53E" w14:textId="0B69AB6B"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2.1.1.2.7.4.1. Criterio de focalización. Establézcase como criterio de focalización para el acceso al subsidio familiar de vivienda en especie para áreas urbanas de que trata la Ley 1537 de 2012, a las familias que pertenezcan al pueblo </w:t>
      </w:r>
      <w:proofErr w:type="spellStart"/>
      <w:r w:rsidRPr="009342F9">
        <w:rPr>
          <w:rFonts w:ascii="Arial" w:eastAsia="Times New Roman" w:hAnsi="Arial" w:cs="Arial"/>
          <w:color w:val="000000"/>
          <w:lang w:eastAsia="es-CO"/>
        </w:rPr>
        <w:t>Rrom</w:t>
      </w:r>
      <w:proofErr w:type="spellEnd"/>
      <w:r w:rsidRPr="009342F9">
        <w:rPr>
          <w:rFonts w:ascii="Arial" w:eastAsia="Times New Roman" w:hAnsi="Arial" w:cs="Arial"/>
          <w:color w:val="000000"/>
          <w:lang w:eastAsia="es-CO"/>
        </w:rPr>
        <w:t xml:space="preserve"> o Gitano en atención a su situación de vulnerabilidad, con el fin de facilitar el acceso a una solución habitacional en condiciones dignas y adecuadas a sus usos y costumbres.  </w:t>
      </w:r>
    </w:p>
    <w:p w14:paraId="6FE1DD11" w14:textId="77777777" w:rsidR="005A1FCF" w:rsidRPr="009342F9" w:rsidRDefault="005A1FCF" w:rsidP="00FC79C1">
      <w:pPr>
        <w:spacing w:after="0" w:line="240" w:lineRule="auto"/>
        <w:jc w:val="both"/>
        <w:rPr>
          <w:rFonts w:ascii="Arial" w:eastAsia="Times New Roman" w:hAnsi="Arial" w:cs="Arial"/>
          <w:color w:val="000000"/>
          <w:lang w:eastAsia="es-CO"/>
        </w:rPr>
      </w:pPr>
    </w:p>
    <w:p w14:paraId="35F975F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Parágrafo. La asignación del subsidio familiar de vivienda en especie para áreas urbanas de que trata la presente </w:t>
      </w:r>
      <w:proofErr w:type="gramStart"/>
      <w:r w:rsidRPr="009342F9">
        <w:rPr>
          <w:rFonts w:ascii="Arial" w:eastAsia="Times New Roman" w:hAnsi="Arial" w:cs="Arial"/>
          <w:color w:val="000000"/>
          <w:lang w:eastAsia="es-CO"/>
        </w:rPr>
        <w:t>Subsección,</w:t>
      </w:r>
      <w:proofErr w:type="gramEnd"/>
      <w:r w:rsidRPr="009342F9">
        <w:rPr>
          <w:rFonts w:ascii="Arial" w:eastAsia="Times New Roman" w:hAnsi="Arial" w:cs="Arial"/>
          <w:color w:val="000000"/>
          <w:lang w:eastAsia="es-CO"/>
        </w:rPr>
        <w:t xml:space="preserve"> se sujetará a la disponibilidad de recursos con que cuente el Fondo Nacional de Vivienda en su calidad de otorgante del subsidio.  </w:t>
      </w:r>
    </w:p>
    <w:p w14:paraId="5E42008A" w14:textId="2693B3E9"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442" w:name="ver_30210151"/>
      <w:bookmarkEnd w:id="442"/>
    </w:p>
    <w:p w14:paraId="251BA725" w14:textId="46EAD40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2.1.1.2.7.4.2. Condiciones especiales de las viviendas. En el marco de la presente Subsección, podrán adelantarse convocatorias especiales encaminadas al desarrollo de proyectos que contemplen especificaciones técnicas para las viviendas en condiciones adecuadas a los usos y costumbres del pueblo </w:t>
      </w:r>
      <w:proofErr w:type="spellStart"/>
      <w:r w:rsidRPr="009342F9">
        <w:rPr>
          <w:rFonts w:ascii="Arial" w:eastAsia="Times New Roman" w:hAnsi="Arial" w:cs="Arial"/>
          <w:color w:val="000000"/>
          <w:lang w:eastAsia="es-CO"/>
        </w:rPr>
        <w:t>Rrom</w:t>
      </w:r>
      <w:proofErr w:type="spellEnd"/>
      <w:r w:rsidRPr="009342F9">
        <w:rPr>
          <w:rFonts w:ascii="Arial" w:eastAsia="Times New Roman" w:hAnsi="Arial" w:cs="Arial"/>
          <w:color w:val="000000"/>
          <w:lang w:eastAsia="es-CO"/>
        </w:rPr>
        <w:t xml:space="preserve"> o Gitano. En todo caso, el valor de las viviendas no podrá exceder el valor tope para la vivienda de interés social prioritario.  </w:t>
      </w:r>
    </w:p>
    <w:p w14:paraId="39D4FE50" w14:textId="77777777" w:rsidR="005A1FCF" w:rsidRPr="009342F9" w:rsidRDefault="005A1FCF" w:rsidP="00FC79C1">
      <w:pPr>
        <w:spacing w:after="0" w:line="240" w:lineRule="auto"/>
        <w:jc w:val="both"/>
        <w:rPr>
          <w:rFonts w:ascii="Arial" w:eastAsia="Times New Roman" w:hAnsi="Arial" w:cs="Arial"/>
          <w:color w:val="000000"/>
          <w:lang w:eastAsia="es-CO"/>
        </w:rPr>
      </w:pPr>
    </w:p>
    <w:p w14:paraId="30E7F75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El Ministerio de Vivienda, Ciudad y Territorio, en el marco de la Comisión Nacional de Diálogo con el Pueblo </w:t>
      </w:r>
      <w:proofErr w:type="spellStart"/>
      <w:r w:rsidRPr="009342F9">
        <w:rPr>
          <w:rFonts w:ascii="Arial" w:eastAsia="Times New Roman" w:hAnsi="Arial" w:cs="Arial"/>
          <w:color w:val="000000"/>
          <w:lang w:eastAsia="es-CO"/>
        </w:rPr>
        <w:t>Rrom</w:t>
      </w:r>
      <w:proofErr w:type="spellEnd"/>
      <w:r w:rsidRPr="009342F9">
        <w:rPr>
          <w:rFonts w:ascii="Arial" w:eastAsia="Times New Roman" w:hAnsi="Arial" w:cs="Arial"/>
          <w:color w:val="000000"/>
          <w:lang w:eastAsia="es-CO"/>
        </w:rPr>
        <w:t xml:space="preserve"> o Gitano, definirá las condiciones técnicas de las viviendas, en concordancia con los usos y costumbres del pueblo </w:t>
      </w:r>
      <w:proofErr w:type="spellStart"/>
      <w:r w:rsidRPr="009342F9">
        <w:rPr>
          <w:rFonts w:ascii="Arial" w:eastAsia="Times New Roman" w:hAnsi="Arial" w:cs="Arial"/>
          <w:color w:val="000000"/>
          <w:lang w:eastAsia="es-CO"/>
        </w:rPr>
        <w:t>Rrom</w:t>
      </w:r>
      <w:proofErr w:type="spellEnd"/>
      <w:r w:rsidRPr="009342F9">
        <w:rPr>
          <w:rFonts w:ascii="Arial" w:eastAsia="Times New Roman" w:hAnsi="Arial" w:cs="Arial"/>
          <w:color w:val="000000"/>
          <w:lang w:eastAsia="es-CO"/>
        </w:rPr>
        <w:t xml:space="preserve"> o Gitano, y los mecanismos para adelantar estas convocatorias.  </w:t>
      </w:r>
    </w:p>
    <w:p w14:paraId="3A1E6B9B" w14:textId="3B2D20E0"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443" w:name="ver_30210152"/>
      <w:bookmarkEnd w:id="443"/>
    </w:p>
    <w:p w14:paraId="3C12DFD1" w14:textId="4D52F4BC"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xml:space="preserve">Artículo 2.1.1.2.7.4.3. Familias potencialmente beneficiarias del subsidio familiar de vivienda en especie. Para efectos de lo establecido en la presente Subsección, entiéndase por familia </w:t>
      </w:r>
      <w:proofErr w:type="spellStart"/>
      <w:r w:rsidRPr="009342F9">
        <w:rPr>
          <w:rFonts w:ascii="Arial" w:eastAsia="Times New Roman" w:hAnsi="Arial" w:cs="Arial"/>
          <w:color w:val="000000"/>
          <w:lang w:eastAsia="es-CO"/>
        </w:rPr>
        <w:t>Rrom</w:t>
      </w:r>
      <w:proofErr w:type="spellEnd"/>
      <w:r w:rsidRPr="009342F9">
        <w:rPr>
          <w:rFonts w:ascii="Arial" w:eastAsia="Times New Roman" w:hAnsi="Arial" w:cs="Arial"/>
          <w:color w:val="000000"/>
          <w:lang w:eastAsia="es-CO"/>
        </w:rPr>
        <w:t xml:space="preserve"> o Gitana, el vínculo conformado por los cónyuges o uniones maritales de hecho, las familias unipersonales y/o el grupo de personas unidas por vínculos de parentesco hasta tercer grado de consanguinidad, segundo de afinidad y primero civil, que compartan un mismo espacio habitacional y se encuentren asentadas en </w:t>
      </w:r>
      <w:proofErr w:type="spellStart"/>
      <w:r w:rsidRPr="009342F9">
        <w:rPr>
          <w:rFonts w:ascii="Arial" w:eastAsia="Times New Roman" w:hAnsi="Arial" w:cs="Arial"/>
          <w:color w:val="000000"/>
          <w:lang w:eastAsia="es-CO"/>
        </w:rPr>
        <w:t>Kumpania</w:t>
      </w:r>
      <w:proofErr w:type="spellEnd"/>
      <w:r w:rsidRPr="009342F9">
        <w:rPr>
          <w:rFonts w:ascii="Arial" w:eastAsia="Times New Roman" w:hAnsi="Arial" w:cs="Arial"/>
          <w:color w:val="000000"/>
          <w:lang w:eastAsia="es-CO"/>
        </w:rPr>
        <w:t>, con el objeto de vivir cerca para conservar su cultura o para itinerar de manera conjunta.  </w:t>
      </w:r>
    </w:p>
    <w:p w14:paraId="0283B574" w14:textId="77777777" w:rsidR="005A1FCF" w:rsidRPr="009342F9" w:rsidRDefault="005A1FCF" w:rsidP="00FC79C1">
      <w:pPr>
        <w:spacing w:after="0" w:line="240" w:lineRule="auto"/>
        <w:jc w:val="both"/>
        <w:rPr>
          <w:rFonts w:ascii="Arial" w:eastAsia="Times New Roman" w:hAnsi="Arial" w:cs="Arial"/>
          <w:color w:val="000000"/>
          <w:lang w:eastAsia="es-CO"/>
        </w:rPr>
      </w:pPr>
    </w:p>
    <w:p w14:paraId="3B212BD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Parágrafo. Para efectos de lo establecido en la presente Subsección, entiéndase por </w:t>
      </w:r>
      <w:proofErr w:type="spellStart"/>
      <w:r w:rsidRPr="009342F9">
        <w:rPr>
          <w:rFonts w:ascii="Arial" w:eastAsia="Times New Roman" w:hAnsi="Arial" w:cs="Arial"/>
          <w:color w:val="000000"/>
          <w:lang w:eastAsia="es-CO"/>
        </w:rPr>
        <w:t>Kumpania</w:t>
      </w:r>
      <w:proofErr w:type="spellEnd"/>
      <w:r w:rsidRPr="009342F9">
        <w:rPr>
          <w:rFonts w:ascii="Arial" w:eastAsia="Times New Roman" w:hAnsi="Arial" w:cs="Arial"/>
          <w:color w:val="000000"/>
          <w:lang w:eastAsia="es-CO"/>
        </w:rPr>
        <w:t xml:space="preserve"> la definición consagrada en el numeral 2.1 del artículo 2.5.2.1.4 del Decreto 1066 de 2015. </w:t>
      </w:r>
    </w:p>
    <w:p w14:paraId="029BCBEC" w14:textId="77777777" w:rsidR="00FC79C1" w:rsidRPr="009342F9" w:rsidRDefault="00FC79C1" w:rsidP="00FC79C1">
      <w:pPr>
        <w:spacing w:after="0" w:line="240" w:lineRule="auto"/>
        <w:jc w:val="both"/>
        <w:rPr>
          <w:rFonts w:ascii="Arial" w:eastAsia="Times New Roman" w:hAnsi="Arial" w:cs="Arial"/>
          <w:color w:val="000000"/>
          <w:lang w:eastAsia="es-CO"/>
        </w:rPr>
      </w:pPr>
    </w:p>
    <w:p w14:paraId="583BA053"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444" w:name="ver_30210153"/>
      <w:bookmarkEnd w:id="444"/>
      <w:r w:rsidRPr="009342F9">
        <w:rPr>
          <w:rFonts w:ascii="Arial" w:eastAsia="Times New Roman" w:hAnsi="Arial" w:cs="Arial"/>
          <w:color w:val="000000"/>
          <w:lang w:eastAsia="es-CO"/>
        </w:rPr>
        <w:t>Artículo 2.1.1.2.7.4.4. Condiciones para el acceso al subsidio familiar de vivienda. Podrá acceder al subsidio familiar de vivienda en especie para áreas urbanas de que trata la presente Subsección, la familia que cumpla con las siguientes condiciones:  </w:t>
      </w:r>
    </w:p>
    <w:p w14:paraId="2E766ED9" w14:textId="77777777" w:rsidR="005A1FCF" w:rsidRPr="009342F9" w:rsidRDefault="005A1FCF" w:rsidP="00FC79C1">
      <w:pPr>
        <w:spacing w:after="0" w:line="240" w:lineRule="auto"/>
        <w:jc w:val="both"/>
        <w:rPr>
          <w:rFonts w:ascii="Arial" w:eastAsia="Times New Roman" w:hAnsi="Arial" w:cs="Arial"/>
          <w:color w:val="000000"/>
          <w:lang w:eastAsia="es-CO"/>
        </w:rPr>
      </w:pPr>
    </w:p>
    <w:p w14:paraId="02827768" w14:textId="11D4DEDD"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 Que la </w:t>
      </w:r>
      <w:proofErr w:type="spellStart"/>
      <w:r w:rsidRPr="009342F9">
        <w:rPr>
          <w:rFonts w:ascii="Arial" w:eastAsia="Times New Roman" w:hAnsi="Arial" w:cs="Arial"/>
          <w:color w:val="000000"/>
          <w:lang w:eastAsia="es-CO"/>
        </w:rPr>
        <w:t>Kumpania</w:t>
      </w:r>
      <w:proofErr w:type="spellEnd"/>
      <w:r w:rsidRPr="009342F9">
        <w:rPr>
          <w:rFonts w:ascii="Arial" w:eastAsia="Times New Roman" w:hAnsi="Arial" w:cs="Arial"/>
          <w:color w:val="000000"/>
          <w:lang w:eastAsia="es-CO"/>
        </w:rPr>
        <w:t xml:space="preserve"> u organización </w:t>
      </w:r>
      <w:proofErr w:type="spellStart"/>
      <w:r w:rsidRPr="009342F9">
        <w:rPr>
          <w:rFonts w:ascii="Arial" w:eastAsia="Times New Roman" w:hAnsi="Arial" w:cs="Arial"/>
          <w:color w:val="000000"/>
          <w:lang w:eastAsia="es-CO"/>
        </w:rPr>
        <w:t>Rrom</w:t>
      </w:r>
      <w:proofErr w:type="spellEnd"/>
      <w:r w:rsidRPr="009342F9">
        <w:rPr>
          <w:rFonts w:ascii="Arial" w:eastAsia="Times New Roman" w:hAnsi="Arial" w:cs="Arial"/>
          <w:color w:val="000000"/>
          <w:lang w:eastAsia="es-CO"/>
        </w:rPr>
        <w:t xml:space="preserve"> o Gitana a la que pertenece la familia esté debidamente registrada en la Dirección de Asuntos Indígenas, </w:t>
      </w:r>
      <w:proofErr w:type="spellStart"/>
      <w:r w:rsidRPr="009342F9">
        <w:rPr>
          <w:rFonts w:ascii="Arial" w:eastAsia="Times New Roman" w:hAnsi="Arial" w:cs="Arial"/>
          <w:color w:val="000000"/>
          <w:lang w:eastAsia="es-CO"/>
        </w:rPr>
        <w:t>Rrom</w:t>
      </w:r>
      <w:proofErr w:type="spellEnd"/>
      <w:r w:rsidRPr="009342F9">
        <w:rPr>
          <w:rFonts w:ascii="Arial" w:eastAsia="Times New Roman" w:hAnsi="Arial" w:cs="Arial"/>
          <w:color w:val="000000"/>
          <w:lang w:eastAsia="es-CO"/>
        </w:rPr>
        <w:t xml:space="preserve"> y Minorías del Ministerio del Interior o la que haga sus veces;  </w:t>
      </w:r>
    </w:p>
    <w:p w14:paraId="3177CB4A" w14:textId="77777777" w:rsidR="005A1FCF" w:rsidRPr="009342F9" w:rsidRDefault="005A1FCF" w:rsidP="00FC79C1">
      <w:pPr>
        <w:spacing w:after="0" w:line="240" w:lineRule="auto"/>
        <w:jc w:val="both"/>
        <w:rPr>
          <w:rFonts w:ascii="Arial" w:eastAsia="Times New Roman" w:hAnsi="Arial" w:cs="Arial"/>
          <w:color w:val="000000"/>
          <w:lang w:eastAsia="es-CO"/>
        </w:rPr>
      </w:pPr>
    </w:p>
    <w:p w14:paraId="622B8FCB" w14:textId="10874BE8"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b) Que la familia </w:t>
      </w:r>
      <w:proofErr w:type="spellStart"/>
      <w:r w:rsidRPr="009342F9">
        <w:rPr>
          <w:rFonts w:ascii="Arial" w:eastAsia="Times New Roman" w:hAnsi="Arial" w:cs="Arial"/>
          <w:color w:val="000000"/>
          <w:lang w:eastAsia="es-CO"/>
        </w:rPr>
        <w:t>Rrom</w:t>
      </w:r>
      <w:proofErr w:type="spellEnd"/>
      <w:r w:rsidRPr="009342F9">
        <w:rPr>
          <w:rFonts w:ascii="Arial" w:eastAsia="Times New Roman" w:hAnsi="Arial" w:cs="Arial"/>
          <w:color w:val="000000"/>
          <w:lang w:eastAsia="es-CO"/>
        </w:rPr>
        <w:t xml:space="preserve"> o Gitana esté incluida en el censo del pueblo </w:t>
      </w:r>
      <w:proofErr w:type="spellStart"/>
      <w:r w:rsidRPr="009342F9">
        <w:rPr>
          <w:rFonts w:ascii="Arial" w:eastAsia="Times New Roman" w:hAnsi="Arial" w:cs="Arial"/>
          <w:color w:val="000000"/>
          <w:lang w:eastAsia="es-CO"/>
        </w:rPr>
        <w:t>Rrom</w:t>
      </w:r>
      <w:proofErr w:type="spellEnd"/>
      <w:r w:rsidRPr="009342F9">
        <w:rPr>
          <w:rFonts w:ascii="Arial" w:eastAsia="Times New Roman" w:hAnsi="Arial" w:cs="Arial"/>
          <w:color w:val="000000"/>
          <w:lang w:eastAsia="es-CO"/>
        </w:rPr>
        <w:t xml:space="preserve"> o Gitano que administra el Ministerio del Interior;  </w:t>
      </w:r>
    </w:p>
    <w:p w14:paraId="23EF1E41" w14:textId="77777777" w:rsidR="005A1FCF" w:rsidRPr="009342F9" w:rsidRDefault="005A1FCF" w:rsidP="00FC79C1">
      <w:pPr>
        <w:spacing w:after="0" w:line="240" w:lineRule="auto"/>
        <w:jc w:val="both"/>
        <w:rPr>
          <w:rFonts w:ascii="Arial" w:eastAsia="Times New Roman" w:hAnsi="Arial" w:cs="Arial"/>
          <w:color w:val="000000"/>
          <w:lang w:eastAsia="es-CO"/>
        </w:rPr>
      </w:pPr>
    </w:p>
    <w:p w14:paraId="3C3855BC" w14:textId="0C012B84"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c) Que la familia </w:t>
      </w:r>
      <w:proofErr w:type="spellStart"/>
      <w:r w:rsidRPr="009342F9">
        <w:rPr>
          <w:rFonts w:ascii="Arial" w:eastAsia="Times New Roman" w:hAnsi="Arial" w:cs="Arial"/>
          <w:color w:val="000000"/>
          <w:lang w:eastAsia="es-CO"/>
        </w:rPr>
        <w:t>Rrom</w:t>
      </w:r>
      <w:proofErr w:type="spellEnd"/>
      <w:r w:rsidRPr="009342F9">
        <w:rPr>
          <w:rFonts w:ascii="Arial" w:eastAsia="Times New Roman" w:hAnsi="Arial" w:cs="Arial"/>
          <w:color w:val="000000"/>
          <w:lang w:eastAsia="es-CO"/>
        </w:rPr>
        <w:t xml:space="preserve"> o Gitana esté incluida en el listado de familias potencial</w:t>
      </w:r>
      <w:r w:rsidRPr="009342F9">
        <w:rPr>
          <w:rFonts w:ascii="Arial" w:eastAsia="Times New Roman" w:hAnsi="Arial" w:cs="Arial"/>
          <w:color w:val="000000"/>
          <w:lang w:eastAsia="es-CO"/>
        </w:rPr>
        <w:softHyphen/>
        <w:t xml:space="preserve">mente beneficiarias del subsidio familiar de vivienda elaborado y aprobado en Asamblea General de cada </w:t>
      </w:r>
      <w:proofErr w:type="spellStart"/>
      <w:r w:rsidRPr="009342F9">
        <w:rPr>
          <w:rFonts w:ascii="Arial" w:eastAsia="Times New Roman" w:hAnsi="Arial" w:cs="Arial"/>
          <w:color w:val="000000"/>
          <w:lang w:eastAsia="es-CO"/>
        </w:rPr>
        <w:t>Kumpania</w:t>
      </w:r>
      <w:proofErr w:type="spellEnd"/>
      <w:r w:rsidRPr="009342F9">
        <w:rPr>
          <w:rFonts w:ascii="Arial" w:eastAsia="Times New Roman" w:hAnsi="Arial" w:cs="Arial"/>
          <w:color w:val="000000"/>
          <w:lang w:eastAsia="es-CO"/>
        </w:rPr>
        <w:t xml:space="preserve"> u organización.  </w:t>
      </w:r>
    </w:p>
    <w:p w14:paraId="692C9BAA" w14:textId="77777777" w:rsidR="005A1FCF" w:rsidRPr="009342F9" w:rsidRDefault="005A1FCF" w:rsidP="00FC79C1">
      <w:pPr>
        <w:spacing w:after="0" w:line="240" w:lineRule="auto"/>
        <w:jc w:val="both"/>
        <w:rPr>
          <w:rFonts w:ascii="Arial" w:eastAsia="Times New Roman" w:hAnsi="Arial" w:cs="Arial"/>
          <w:color w:val="000000"/>
          <w:lang w:eastAsia="es-CO"/>
        </w:rPr>
      </w:pPr>
    </w:p>
    <w:p w14:paraId="583DE8DC" w14:textId="2768590A"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Parágrafo 1°. La Dirección de Asuntos Indígenas, </w:t>
      </w:r>
      <w:proofErr w:type="spellStart"/>
      <w:r w:rsidRPr="009342F9">
        <w:rPr>
          <w:rFonts w:ascii="Arial" w:eastAsia="Times New Roman" w:hAnsi="Arial" w:cs="Arial"/>
          <w:color w:val="000000"/>
          <w:lang w:eastAsia="es-CO"/>
        </w:rPr>
        <w:t>Rrom</w:t>
      </w:r>
      <w:proofErr w:type="spellEnd"/>
      <w:r w:rsidRPr="009342F9">
        <w:rPr>
          <w:rFonts w:ascii="Arial" w:eastAsia="Times New Roman" w:hAnsi="Arial" w:cs="Arial"/>
          <w:color w:val="000000"/>
          <w:lang w:eastAsia="es-CO"/>
        </w:rPr>
        <w:t xml:space="preserve"> y Minorías del Ministerio del Interior, o la que haga sus veces, deberá realizar los cruces de información necesarios para garantizar y certificar los requisitos previstos en el presente artículo.  </w:t>
      </w:r>
    </w:p>
    <w:p w14:paraId="50F60C52" w14:textId="77777777" w:rsidR="005A1FCF" w:rsidRPr="009342F9" w:rsidRDefault="005A1FCF" w:rsidP="00FC79C1">
      <w:pPr>
        <w:spacing w:after="0" w:line="240" w:lineRule="auto"/>
        <w:jc w:val="both"/>
        <w:rPr>
          <w:rFonts w:ascii="Arial" w:eastAsia="Times New Roman" w:hAnsi="Arial" w:cs="Arial"/>
          <w:color w:val="000000"/>
          <w:lang w:eastAsia="es-CO"/>
        </w:rPr>
      </w:pPr>
    </w:p>
    <w:p w14:paraId="5A1B1869" w14:textId="6F5CAA16"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Parágrafo 2°. La Asamblea General de que trata el literal c) del presente artículo será convocada por el representante legal de cada </w:t>
      </w:r>
      <w:proofErr w:type="spellStart"/>
      <w:r w:rsidRPr="009342F9">
        <w:rPr>
          <w:rFonts w:ascii="Arial" w:eastAsia="Times New Roman" w:hAnsi="Arial" w:cs="Arial"/>
          <w:color w:val="000000"/>
          <w:lang w:eastAsia="es-CO"/>
        </w:rPr>
        <w:t>Kumpania</w:t>
      </w:r>
      <w:proofErr w:type="spellEnd"/>
      <w:r w:rsidRPr="009342F9">
        <w:rPr>
          <w:rFonts w:ascii="Arial" w:eastAsia="Times New Roman" w:hAnsi="Arial" w:cs="Arial"/>
          <w:color w:val="000000"/>
          <w:lang w:eastAsia="es-CO"/>
        </w:rPr>
        <w:t xml:space="preserve"> u organización. En el marco de esta reunión, se elaborará y aprobará el listado de familias potenciales beneficiarias del subsidio familiar de vivienda, del cual se dejará constancia en acta suscrita por los asistentes y avalada por el representante legal de la </w:t>
      </w:r>
      <w:proofErr w:type="spellStart"/>
      <w:r w:rsidRPr="009342F9">
        <w:rPr>
          <w:rFonts w:ascii="Arial" w:eastAsia="Times New Roman" w:hAnsi="Arial" w:cs="Arial"/>
          <w:color w:val="000000"/>
          <w:lang w:eastAsia="es-CO"/>
        </w:rPr>
        <w:t>Kumpania</w:t>
      </w:r>
      <w:proofErr w:type="spellEnd"/>
      <w:r w:rsidRPr="009342F9">
        <w:rPr>
          <w:rFonts w:ascii="Arial" w:eastAsia="Times New Roman" w:hAnsi="Arial" w:cs="Arial"/>
          <w:color w:val="000000"/>
          <w:lang w:eastAsia="es-CO"/>
        </w:rPr>
        <w:t xml:space="preserve"> u organización, quien la remitirá a la Dirección de Asuntos Indígenas, </w:t>
      </w:r>
      <w:proofErr w:type="spellStart"/>
      <w:r w:rsidRPr="009342F9">
        <w:rPr>
          <w:rFonts w:ascii="Arial" w:eastAsia="Times New Roman" w:hAnsi="Arial" w:cs="Arial"/>
          <w:color w:val="000000"/>
          <w:lang w:eastAsia="es-CO"/>
        </w:rPr>
        <w:t>Rrom</w:t>
      </w:r>
      <w:proofErr w:type="spellEnd"/>
      <w:r w:rsidRPr="009342F9">
        <w:rPr>
          <w:rFonts w:ascii="Arial" w:eastAsia="Times New Roman" w:hAnsi="Arial" w:cs="Arial"/>
          <w:color w:val="000000"/>
          <w:lang w:eastAsia="es-CO"/>
        </w:rPr>
        <w:t xml:space="preserve"> y Minorías del Ministerio del Interior, o la que haga sus veces. </w:t>
      </w:r>
    </w:p>
    <w:p w14:paraId="693070C2"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445" w:name="ver_30210154"/>
      <w:bookmarkEnd w:id="445"/>
    </w:p>
    <w:p w14:paraId="0262A74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2.1.1.2.7.4.5. Información de subsidios familiares de vivienda en especie a asignar. El Fondo Nacional de Vivienda informará a la Dirección de Asuntos Indígenas, </w:t>
      </w:r>
      <w:proofErr w:type="spellStart"/>
      <w:r w:rsidRPr="009342F9">
        <w:rPr>
          <w:rFonts w:ascii="Arial" w:eastAsia="Times New Roman" w:hAnsi="Arial" w:cs="Arial"/>
          <w:color w:val="000000"/>
          <w:lang w:eastAsia="es-CO"/>
        </w:rPr>
        <w:t>Rrom</w:t>
      </w:r>
      <w:proofErr w:type="spellEnd"/>
      <w:r w:rsidRPr="009342F9">
        <w:rPr>
          <w:rFonts w:ascii="Arial" w:eastAsia="Times New Roman" w:hAnsi="Arial" w:cs="Arial"/>
          <w:color w:val="000000"/>
          <w:lang w:eastAsia="es-CO"/>
        </w:rPr>
        <w:t xml:space="preserve"> y Minorías del Ministerio del Interior, o la que haga sus veces, el número de subsidios familiares de vivienda en especie que asignará en el marco de la presente Subsección, de acuerdo con la disponibilidad de recursos con que cuente para cada vigencia fiscal, para efectos de adelantar el proceso de selección de las familias </w:t>
      </w:r>
      <w:proofErr w:type="spellStart"/>
      <w:r w:rsidRPr="009342F9">
        <w:rPr>
          <w:rFonts w:ascii="Arial" w:eastAsia="Times New Roman" w:hAnsi="Arial" w:cs="Arial"/>
          <w:color w:val="000000"/>
          <w:lang w:eastAsia="es-CO"/>
        </w:rPr>
        <w:t>Rrom</w:t>
      </w:r>
      <w:proofErr w:type="spellEnd"/>
      <w:r w:rsidRPr="009342F9">
        <w:rPr>
          <w:rFonts w:ascii="Arial" w:eastAsia="Times New Roman" w:hAnsi="Arial" w:cs="Arial"/>
          <w:color w:val="000000"/>
          <w:lang w:eastAsia="es-CO"/>
        </w:rPr>
        <w:t xml:space="preserve"> o Gitanas beneficiarias del subsidio familiar de vivienda en especie. </w:t>
      </w:r>
    </w:p>
    <w:p w14:paraId="708265C9"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446" w:name="ver_30210155"/>
      <w:bookmarkEnd w:id="446"/>
    </w:p>
    <w:p w14:paraId="5587CFF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2.1.1.2.7.4.6. Selección de familias </w:t>
      </w:r>
      <w:proofErr w:type="spellStart"/>
      <w:r w:rsidRPr="009342F9">
        <w:rPr>
          <w:rFonts w:ascii="Arial" w:eastAsia="Times New Roman" w:hAnsi="Arial" w:cs="Arial"/>
          <w:color w:val="000000"/>
          <w:lang w:eastAsia="es-CO"/>
        </w:rPr>
        <w:t>Rrom</w:t>
      </w:r>
      <w:proofErr w:type="spellEnd"/>
      <w:r w:rsidRPr="009342F9">
        <w:rPr>
          <w:rFonts w:ascii="Arial" w:eastAsia="Times New Roman" w:hAnsi="Arial" w:cs="Arial"/>
          <w:color w:val="000000"/>
          <w:lang w:eastAsia="es-CO"/>
        </w:rPr>
        <w:t xml:space="preserve"> o Gitanas beneficiarias del subsidio familiar de vivienda en especie. La Comisión Nacional de Diálogo con el Pueblo </w:t>
      </w:r>
      <w:proofErr w:type="spellStart"/>
      <w:r w:rsidRPr="009342F9">
        <w:rPr>
          <w:rFonts w:ascii="Arial" w:eastAsia="Times New Roman" w:hAnsi="Arial" w:cs="Arial"/>
          <w:color w:val="000000"/>
          <w:lang w:eastAsia="es-CO"/>
        </w:rPr>
        <w:t>Rrom</w:t>
      </w:r>
      <w:proofErr w:type="spellEnd"/>
      <w:r w:rsidRPr="009342F9">
        <w:rPr>
          <w:rFonts w:ascii="Arial" w:eastAsia="Times New Roman" w:hAnsi="Arial" w:cs="Arial"/>
          <w:color w:val="000000"/>
          <w:lang w:eastAsia="es-CO"/>
        </w:rPr>
        <w:t xml:space="preserve"> elaborará un listado con las familias </w:t>
      </w:r>
      <w:proofErr w:type="spellStart"/>
      <w:r w:rsidRPr="009342F9">
        <w:rPr>
          <w:rFonts w:ascii="Arial" w:eastAsia="Times New Roman" w:hAnsi="Arial" w:cs="Arial"/>
          <w:color w:val="000000"/>
          <w:lang w:eastAsia="es-CO"/>
        </w:rPr>
        <w:t>Rrom</w:t>
      </w:r>
      <w:proofErr w:type="spellEnd"/>
      <w:r w:rsidRPr="009342F9">
        <w:rPr>
          <w:rFonts w:ascii="Arial" w:eastAsia="Times New Roman" w:hAnsi="Arial" w:cs="Arial"/>
          <w:color w:val="000000"/>
          <w:lang w:eastAsia="es-CO"/>
        </w:rPr>
        <w:t xml:space="preserve"> o Gitanas seleccionadas para ser beneficiarias del subsidio familiar de vivienda en especie de que trata la presente Subsección. Este listado deberá ser equivalente al ciento cincuenta por ciento (150%) del total de subsidios familiares de vivienda en especie a </w:t>
      </w:r>
      <w:r w:rsidRPr="009342F9">
        <w:rPr>
          <w:rFonts w:ascii="Arial" w:eastAsia="Times New Roman" w:hAnsi="Arial" w:cs="Arial"/>
          <w:color w:val="000000"/>
          <w:lang w:eastAsia="es-CO"/>
        </w:rPr>
        <w:lastRenderedPageBreak/>
        <w:t>asignar, conforme a la información reportada por el Fondo Nacional de Vivienda en cumplimiento del artículo 2.1.1.2.7.4.5 del presente decreto.  </w:t>
      </w:r>
    </w:p>
    <w:p w14:paraId="5BF4049B" w14:textId="77777777" w:rsidR="005A1FCF" w:rsidRPr="009342F9" w:rsidRDefault="005A1FCF" w:rsidP="00FC79C1">
      <w:pPr>
        <w:spacing w:after="0" w:line="240" w:lineRule="auto"/>
        <w:jc w:val="both"/>
        <w:rPr>
          <w:rFonts w:ascii="Arial" w:eastAsia="Times New Roman" w:hAnsi="Arial" w:cs="Arial"/>
          <w:color w:val="000000"/>
          <w:lang w:eastAsia="es-CO"/>
        </w:rPr>
      </w:pPr>
    </w:p>
    <w:p w14:paraId="56434CC4" w14:textId="0A438939"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La selección de las familias </w:t>
      </w:r>
      <w:proofErr w:type="spellStart"/>
      <w:r w:rsidRPr="009342F9">
        <w:rPr>
          <w:rFonts w:ascii="Arial" w:eastAsia="Times New Roman" w:hAnsi="Arial" w:cs="Arial"/>
          <w:color w:val="000000"/>
          <w:lang w:eastAsia="es-CO"/>
        </w:rPr>
        <w:t>Rrom</w:t>
      </w:r>
      <w:proofErr w:type="spellEnd"/>
      <w:r w:rsidRPr="009342F9">
        <w:rPr>
          <w:rFonts w:ascii="Arial" w:eastAsia="Times New Roman" w:hAnsi="Arial" w:cs="Arial"/>
          <w:color w:val="000000"/>
          <w:lang w:eastAsia="es-CO"/>
        </w:rPr>
        <w:t xml:space="preserve"> o Gitanas deberá efectuarse teniendo en cuenta los siguientes criterios de priorización:  </w:t>
      </w:r>
    </w:p>
    <w:p w14:paraId="290F9BB3" w14:textId="77777777" w:rsidR="005A1FCF" w:rsidRPr="009342F9" w:rsidRDefault="005A1FCF" w:rsidP="00FC79C1">
      <w:pPr>
        <w:spacing w:after="0" w:line="240" w:lineRule="auto"/>
        <w:jc w:val="both"/>
        <w:rPr>
          <w:rFonts w:ascii="Arial" w:eastAsia="Times New Roman" w:hAnsi="Arial" w:cs="Arial"/>
          <w:color w:val="000000"/>
          <w:lang w:eastAsia="es-CO"/>
        </w:rPr>
      </w:pPr>
    </w:p>
    <w:p w14:paraId="6EE4E0F4" w14:textId="3B61914A"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 La situación de pobreza extrema de la familia </w:t>
      </w:r>
      <w:proofErr w:type="spellStart"/>
      <w:r w:rsidRPr="009342F9">
        <w:rPr>
          <w:rFonts w:ascii="Arial" w:eastAsia="Times New Roman" w:hAnsi="Arial" w:cs="Arial"/>
          <w:color w:val="000000"/>
          <w:lang w:eastAsia="es-CO"/>
        </w:rPr>
        <w:t>Rrom</w:t>
      </w:r>
      <w:proofErr w:type="spellEnd"/>
      <w:r w:rsidRPr="009342F9">
        <w:rPr>
          <w:rFonts w:ascii="Arial" w:eastAsia="Times New Roman" w:hAnsi="Arial" w:cs="Arial"/>
          <w:color w:val="000000"/>
          <w:lang w:eastAsia="es-CO"/>
        </w:rPr>
        <w:t xml:space="preserve"> o Gitana;  </w:t>
      </w:r>
    </w:p>
    <w:p w14:paraId="4322CD14" w14:textId="77777777" w:rsidR="005A1FCF" w:rsidRPr="009342F9" w:rsidRDefault="005A1FCF" w:rsidP="00FC79C1">
      <w:pPr>
        <w:spacing w:after="0" w:line="240" w:lineRule="auto"/>
        <w:jc w:val="both"/>
        <w:rPr>
          <w:rFonts w:ascii="Arial" w:eastAsia="Times New Roman" w:hAnsi="Arial" w:cs="Arial"/>
          <w:color w:val="000000"/>
          <w:lang w:eastAsia="es-CO"/>
        </w:rPr>
      </w:pPr>
    </w:p>
    <w:p w14:paraId="5D96E41B" w14:textId="56D4F75F"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b) La ubicación de las familias </w:t>
      </w:r>
      <w:proofErr w:type="spellStart"/>
      <w:r w:rsidRPr="009342F9">
        <w:rPr>
          <w:rFonts w:ascii="Arial" w:eastAsia="Times New Roman" w:hAnsi="Arial" w:cs="Arial"/>
          <w:color w:val="000000"/>
          <w:lang w:eastAsia="es-CO"/>
        </w:rPr>
        <w:t>Rrom</w:t>
      </w:r>
      <w:proofErr w:type="spellEnd"/>
      <w:r w:rsidRPr="009342F9">
        <w:rPr>
          <w:rFonts w:ascii="Arial" w:eastAsia="Times New Roman" w:hAnsi="Arial" w:cs="Arial"/>
          <w:color w:val="000000"/>
          <w:lang w:eastAsia="es-CO"/>
        </w:rPr>
        <w:t xml:space="preserve"> o Gitanas en zonas de alto riesgo no mitigable;  </w:t>
      </w:r>
    </w:p>
    <w:p w14:paraId="2732CAC6" w14:textId="77777777" w:rsidR="005A1FCF" w:rsidRPr="009342F9" w:rsidRDefault="005A1FCF" w:rsidP="00FC79C1">
      <w:pPr>
        <w:spacing w:after="0" w:line="240" w:lineRule="auto"/>
        <w:jc w:val="both"/>
        <w:rPr>
          <w:rFonts w:ascii="Arial" w:eastAsia="Times New Roman" w:hAnsi="Arial" w:cs="Arial"/>
          <w:color w:val="000000"/>
          <w:lang w:eastAsia="es-CO"/>
        </w:rPr>
      </w:pPr>
    </w:p>
    <w:p w14:paraId="00B9B635" w14:textId="292262BE"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c) El número de integrantes de la familia </w:t>
      </w:r>
      <w:proofErr w:type="spellStart"/>
      <w:r w:rsidRPr="009342F9">
        <w:rPr>
          <w:rFonts w:ascii="Arial" w:eastAsia="Times New Roman" w:hAnsi="Arial" w:cs="Arial"/>
          <w:color w:val="000000"/>
          <w:lang w:eastAsia="es-CO"/>
        </w:rPr>
        <w:t>Rrom</w:t>
      </w:r>
      <w:proofErr w:type="spellEnd"/>
      <w:r w:rsidRPr="009342F9">
        <w:rPr>
          <w:rFonts w:ascii="Arial" w:eastAsia="Times New Roman" w:hAnsi="Arial" w:cs="Arial"/>
          <w:color w:val="000000"/>
          <w:lang w:eastAsia="es-CO"/>
        </w:rPr>
        <w:t xml:space="preserve"> o Gitana;  </w:t>
      </w:r>
    </w:p>
    <w:p w14:paraId="406C7B24" w14:textId="77777777" w:rsidR="005A1FCF" w:rsidRPr="009342F9" w:rsidRDefault="005A1FCF" w:rsidP="00FC79C1">
      <w:pPr>
        <w:spacing w:after="0" w:line="240" w:lineRule="auto"/>
        <w:jc w:val="both"/>
        <w:rPr>
          <w:rFonts w:ascii="Arial" w:eastAsia="Times New Roman" w:hAnsi="Arial" w:cs="Arial"/>
          <w:color w:val="000000"/>
          <w:lang w:eastAsia="es-CO"/>
        </w:rPr>
      </w:pPr>
    </w:p>
    <w:p w14:paraId="6F8FACEC" w14:textId="6299C6CC"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d) El estado de salud o condición de discapacidad física o mental de los integrantes de la familia </w:t>
      </w:r>
      <w:proofErr w:type="spellStart"/>
      <w:r w:rsidRPr="009342F9">
        <w:rPr>
          <w:rFonts w:ascii="Arial" w:eastAsia="Times New Roman" w:hAnsi="Arial" w:cs="Arial"/>
          <w:color w:val="000000"/>
          <w:lang w:eastAsia="es-CO"/>
        </w:rPr>
        <w:t>Rrom</w:t>
      </w:r>
      <w:proofErr w:type="spellEnd"/>
      <w:r w:rsidRPr="009342F9">
        <w:rPr>
          <w:rFonts w:ascii="Arial" w:eastAsia="Times New Roman" w:hAnsi="Arial" w:cs="Arial"/>
          <w:color w:val="000000"/>
          <w:lang w:eastAsia="es-CO"/>
        </w:rPr>
        <w:t xml:space="preserve"> o Gitana;  </w:t>
      </w:r>
    </w:p>
    <w:p w14:paraId="1875D13C" w14:textId="77777777" w:rsidR="005A1FCF" w:rsidRPr="009342F9" w:rsidRDefault="005A1FCF" w:rsidP="00FC79C1">
      <w:pPr>
        <w:spacing w:after="0" w:line="240" w:lineRule="auto"/>
        <w:jc w:val="both"/>
        <w:rPr>
          <w:rFonts w:ascii="Arial" w:eastAsia="Times New Roman" w:hAnsi="Arial" w:cs="Arial"/>
          <w:color w:val="000000"/>
          <w:lang w:eastAsia="es-CO"/>
        </w:rPr>
      </w:pPr>
    </w:p>
    <w:p w14:paraId="75E9D73D" w14:textId="1CBCF7A9"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e) La pertenencia de integrantes adultos mayores o madres cabeza de familia de la familia </w:t>
      </w:r>
      <w:proofErr w:type="spellStart"/>
      <w:r w:rsidRPr="009342F9">
        <w:rPr>
          <w:rFonts w:ascii="Arial" w:eastAsia="Times New Roman" w:hAnsi="Arial" w:cs="Arial"/>
          <w:color w:val="000000"/>
          <w:lang w:eastAsia="es-CO"/>
        </w:rPr>
        <w:t>Rrom</w:t>
      </w:r>
      <w:proofErr w:type="spellEnd"/>
      <w:r w:rsidRPr="009342F9">
        <w:rPr>
          <w:rFonts w:ascii="Arial" w:eastAsia="Times New Roman" w:hAnsi="Arial" w:cs="Arial"/>
          <w:color w:val="000000"/>
          <w:lang w:eastAsia="es-CO"/>
        </w:rPr>
        <w:t xml:space="preserve"> o Gitana;  </w:t>
      </w:r>
    </w:p>
    <w:p w14:paraId="492F338D" w14:textId="77777777" w:rsidR="005A1FCF" w:rsidRPr="009342F9" w:rsidRDefault="005A1FCF" w:rsidP="00FC79C1">
      <w:pPr>
        <w:spacing w:after="0" w:line="240" w:lineRule="auto"/>
        <w:jc w:val="both"/>
        <w:rPr>
          <w:rFonts w:ascii="Arial" w:eastAsia="Times New Roman" w:hAnsi="Arial" w:cs="Arial"/>
          <w:color w:val="000000"/>
          <w:lang w:eastAsia="es-CO"/>
        </w:rPr>
      </w:pPr>
    </w:p>
    <w:p w14:paraId="26F32E21" w14:textId="7AE89F2B"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f) El número de familias </w:t>
      </w:r>
      <w:proofErr w:type="spellStart"/>
      <w:r w:rsidRPr="009342F9">
        <w:rPr>
          <w:rFonts w:ascii="Arial" w:eastAsia="Times New Roman" w:hAnsi="Arial" w:cs="Arial"/>
          <w:color w:val="000000"/>
          <w:lang w:eastAsia="es-CO"/>
        </w:rPr>
        <w:t>Rrom</w:t>
      </w:r>
      <w:proofErr w:type="spellEnd"/>
      <w:r w:rsidRPr="009342F9">
        <w:rPr>
          <w:rFonts w:ascii="Arial" w:eastAsia="Times New Roman" w:hAnsi="Arial" w:cs="Arial"/>
          <w:color w:val="000000"/>
          <w:lang w:eastAsia="es-CO"/>
        </w:rPr>
        <w:t xml:space="preserve"> o Gitanas que integran la </w:t>
      </w:r>
      <w:proofErr w:type="spellStart"/>
      <w:r w:rsidRPr="009342F9">
        <w:rPr>
          <w:rFonts w:ascii="Arial" w:eastAsia="Times New Roman" w:hAnsi="Arial" w:cs="Arial"/>
          <w:color w:val="000000"/>
          <w:lang w:eastAsia="es-CO"/>
        </w:rPr>
        <w:t>Kumpania</w:t>
      </w:r>
      <w:proofErr w:type="spellEnd"/>
      <w:r w:rsidRPr="009342F9">
        <w:rPr>
          <w:rFonts w:ascii="Arial" w:eastAsia="Times New Roman" w:hAnsi="Arial" w:cs="Arial"/>
          <w:color w:val="000000"/>
          <w:lang w:eastAsia="es-CO"/>
        </w:rPr>
        <w:t>.  </w:t>
      </w:r>
    </w:p>
    <w:p w14:paraId="2C5445F5" w14:textId="32D976AC"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447" w:name="ver_30210156"/>
      <w:bookmarkEnd w:id="447"/>
    </w:p>
    <w:p w14:paraId="380CA4F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2.1.1.2.7.4.7. Remisión de Listado de hogares seleccionados. La Dirección de Asuntos Indígenas, </w:t>
      </w:r>
      <w:proofErr w:type="spellStart"/>
      <w:r w:rsidRPr="009342F9">
        <w:rPr>
          <w:rFonts w:ascii="Arial" w:eastAsia="Times New Roman" w:hAnsi="Arial" w:cs="Arial"/>
          <w:color w:val="000000"/>
          <w:lang w:eastAsia="es-CO"/>
        </w:rPr>
        <w:t>Rrom</w:t>
      </w:r>
      <w:proofErr w:type="spellEnd"/>
      <w:r w:rsidRPr="009342F9">
        <w:rPr>
          <w:rFonts w:ascii="Arial" w:eastAsia="Times New Roman" w:hAnsi="Arial" w:cs="Arial"/>
          <w:color w:val="000000"/>
          <w:lang w:eastAsia="es-CO"/>
        </w:rPr>
        <w:t xml:space="preserve"> y Minorías del Ministerio del Interior, remitirá al Fondo Nacional de Vivienda el listado de hogares seleccionados que cumplan con las condiciones y criterios establecidos en los artículos 2.1.1.2.7.4.4 y 2.1.1.2.7.4.6. del presente decreto. </w:t>
      </w:r>
    </w:p>
    <w:p w14:paraId="5C6A4D55"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448" w:name="ver_30210157"/>
      <w:bookmarkEnd w:id="448"/>
    </w:p>
    <w:p w14:paraId="7525AD8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2.1.1.2.7.4.8. Acceso y aplicación del subsidio familiar de vivienda en especie. Los demás requisitos de acceso y aplicación del subsidio familiar de vivienda para áreas urbanas de que trata la presente </w:t>
      </w:r>
      <w:proofErr w:type="gramStart"/>
      <w:r w:rsidRPr="009342F9">
        <w:rPr>
          <w:rFonts w:ascii="Arial" w:eastAsia="Times New Roman" w:hAnsi="Arial" w:cs="Arial"/>
          <w:color w:val="000000"/>
          <w:lang w:eastAsia="es-CO"/>
        </w:rPr>
        <w:t>subsección,</w:t>
      </w:r>
      <w:proofErr w:type="gramEnd"/>
      <w:r w:rsidRPr="009342F9">
        <w:rPr>
          <w:rFonts w:ascii="Arial" w:eastAsia="Times New Roman" w:hAnsi="Arial" w:cs="Arial"/>
          <w:color w:val="000000"/>
          <w:lang w:eastAsia="es-CO"/>
        </w:rPr>
        <w:t xml:space="preserve"> se efectuarán en los términos y condiciones que defina el Fondo Nacional de Vivienda. </w:t>
      </w:r>
    </w:p>
    <w:p w14:paraId="417F640B" w14:textId="77777777" w:rsidR="00FC79C1" w:rsidRPr="009342F9" w:rsidRDefault="00FC79C1" w:rsidP="00FC79C1">
      <w:pPr>
        <w:spacing w:after="0" w:line="240" w:lineRule="auto"/>
        <w:jc w:val="both"/>
        <w:rPr>
          <w:rFonts w:ascii="Arial" w:eastAsia="Times New Roman" w:hAnsi="Arial" w:cs="Arial"/>
          <w:color w:val="000000"/>
          <w:lang w:eastAsia="es-CO"/>
        </w:rPr>
      </w:pPr>
    </w:p>
    <w:p w14:paraId="2D7D7AE5" w14:textId="77777777" w:rsidR="00FC79C1" w:rsidRPr="009342F9" w:rsidRDefault="00FC79C1" w:rsidP="005A1FCF">
      <w:pPr>
        <w:spacing w:after="0" w:line="240" w:lineRule="auto"/>
        <w:jc w:val="center"/>
        <w:rPr>
          <w:rFonts w:ascii="Arial" w:eastAsia="Times New Roman" w:hAnsi="Arial" w:cs="Arial"/>
          <w:b/>
          <w:bCs/>
          <w:color w:val="000000"/>
          <w:lang w:eastAsia="es-CO"/>
        </w:rPr>
      </w:pPr>
      <w:bookmarkStart w:id="449" w:name="ver_30070925"/>
      <w:bookmarkEnd w:id="449"/>
      <w:r w:rsidRPr="009342F9">
        <w:rPr>
          <w:rFonts w:ascii="Arial" w:eastAsia="Times New Roman" w:hAnsi="Arial" w:cs="Arial"/>
          <w:b/>
          <w:bCs/>
          <w:color w:val="000000"/>
          <w:lang w:eastAsia="es-CO"/>
        </w:rPr>
        <w:t>CAPÍTULO 3</w:t>
      </w:r>
    </w:p>
    <w:p w14:paraId="41E080C7" w14:textId="732419E9" w:rsidR="00FC79C1" w:rsidRDefault="00FC79C1" w:rsidP="005A1FCF">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 xml:space="preserve">PROGRAMA VIVIENDA DE INTERÉS PRIORITARIO PARA AHORRADORES </w:t>
      </w:r>
      <w:r w:rsidR="006162BD">
        <w:rPr>
          <w:rFonts w:ascii="Arial" w:eastAsia="Times New Roman" w:hAnsi="Arial" w:cs="Arial"/>
          <w:b/>
          <w:bCs/>
          <w:color w:val="000000"/>
          <w:lang w:eastAsia="es-CO"/>
        </w:rPr>
        <w:t>–</w:t>
      </w:r>
      <w:r w:rsidRPr="009342F9">
        <w:rPr>
          <w:rFonts w:ascii="Arial" w:eastAsia="Times New Roman" w:hAnsi="Arial" w:cs="Arial"/>
          <w:b/>
          <w:bCs/>
          <w:color w:val="000000"/>
          <w:lang w:eastAsia="es-CO"/>
        </w:rPr>
        <w:t xml:space="preserve"> VIPA</w:t>
      </w:r>
    </w:p>
    <w:p w14:paraId="2C769BDA" w14:textId="77777777" w:rsidR="006162BD" w:rsidRPr="009342F9" w:rsidRDefault="006162BD" w:rsidP="005A1FCF">
      <w:pPr>
        <w:spacing w:after="0" w:line="240" w:lineRule="auto"/>
        <w:jc w:val="center"/>
        <w:rPr>
          <w:rFonts w:ascii="Arial" w:eastAsia="Times New Roman" w:hAnsi="Arial" w:cs="Arial"/>
          <w:b/>
          <w:bCs/>
          <w:color w:val="000000"/>
          <w:lang w:eastAsia="es-CO"/>
        </w:rPr>
      </w:pPr>
    </w:p>
    <w:p w14:paraId="5CB9271C" w14:textId="77777777" w:rsidR="00FC79C1" w:rsidRPr="009342F9" w:rsidRDefault="00FC79C1" w:rsidP="005A1FCF">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SECCIÓN 1</w:t>
      </w:r>
    </w:p>
    <w:p w14:paraId="461E4EB0" w14:textId="77777777" w:rsidR="00FC79C1" w:rsidRDefault="00FC79C1" w:rsidP="005A1FCF">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VIVIENDA DE INTERES PRIORITARIO PARA AHORRADORES – VIPA</w:t>
      </w:r>
    </w:p>
    <w:p w14:paraId="4C718157" w14:textId="77777777" w:rsidR="006162BD" w:rsidRPr="009342F9" w:rsidRDefault="006162BD" w:rsidP="005A1FCF">
      <w:pPr>
        <w:spacing w:after="0" w:line="240" w:lineRule="auto"/>
        <w:jc w:val="center"/>
        <w:rPr>
          <w:rFonts w:ascii="Arial" w:eastAsia="Times New Roman" w:hAnsi="Arial" w:cs="Arial"/>
          <w:b/>
          <w:bCs/>
          <w:color w:val="000000"/>
          <w:lang w:eastAsia="es-CO"/>
        </w:rPr>
      </w:pPr>
    </w:p>
    <w:p w14:paraId="13BD96E6" w14:textId="77777777" w:rsidR="00FC79C1" w:rsidRPr="009342F9" w:rsidRDefault="00FC79C1" w:rsidP="005A1FCF">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SUBSECCIÓN 1</w:t>
      </w:r>
    </w:p>
    <w:p w14:paraId="6B52AAAD" w14:textId="77777777" w:rsidR="00FC79C1" w:rsidRPr="009342F9" w:rsidRDefault="00FC79C1" w:rsidP="005A1FCF">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DEL PATRIMONIO AUTÓNOMO DESCRITO EN EL PARÁGRAFO 4° DEL ARTÍCULO 68 DE LA LEY 49 DE 1990, ADICIONADO POR EL ARTÍCULO 185 DE LA LEY 1607 DE 2012</w:t>
      </w:r>
    </w:p>
    <w:p w14:paraId="5D6AA6BB"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450" w:name="ver_30070928"/>
      <w:bookmarkEnd w:id="450"/>
    </w:p>
    <w:p w14:paraId="5F8B45C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2.1.1.3.1.1.1. Contrato de fiducia mercantil. El Fondo Nacional de Vivienda (FONVIVIENDA) y las Cajas de Compensación Familiar, de acuerdo con lo establecido en el parágrafo 4° del artículo 68 de la Ley 49 de 1990, adicionado por el artículo 185 de la Ley 1607 de 2012, celebrarán un contrato de fiducia mercantil con el objeto de que el patrimonio autónomo que se constituya, administre los recursos para ejecutar un Programa de Vivienda de Interés Prioritario para la población que se encuentre dentro de las condiciones señaladas en la presente sección, el cual en adelante se denominará “Programa de Vivienda de Interés Prioritario para Ahorradores”. Dicho contrato de fiducia mercantil se someterá a las condiciones y requisitos señalados en la presente sección. </w:t>
      </w:r>
    </w:p>
    <w:p w14:paraId="7CFFAD3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7A5085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Parágrafo 1°. FONVIVIENDA y las Cajas de Compensación Familiar seleccionarán a la sociedad fiduciaria vocera del patrimonio autónomo y celebrarán y ejecutarán el respectivo contrato de fiducia mercantil, con sujeción al régimen previsto en el artículo 6° de la Ley 1537 de 2012. </w:t>
      </w:r>
    </w:p>
    <w:p w14:paraId="113E116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52F6D6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2°. En caso de requerirse, FONVIVIENDA y las Cajas de Compensación Familiar podrán constituir nuevos patrimonios autónomos para ejecutar el programa reglamentado en preséntela presente sección, con el fin de dar cumplimiento a lo dispuesto en el parágrafo 4° del artículo 68 de la Ley 49 de 1990, adicionado por el artículo 185 de la Ley 1607 de 2012. En este caso, los patrimonios autónomos que se constituyan se regirán por lo establecido en preséntela presente sección. </w:t>
      </w:r>
    </w:p>
    <w:p w14:paraId="18809C79" w14:textId="77777777" w:rsidR="00D25E1B" w:rsidRDefault="00D25E1B" w:rsidP="00FC79C1">
      <w:pPr>
        <w:spacing w:after="0" w:line="240" w:lineRule="auto"/>
        <w:jc w:val="both"/>
        <w:rPr>
          <w:rFonts w:ascii="Arial" w:eastAsia="Times New Roman" w:hAnsi="Arial" w:cs="Arial"/>
          <w:color w:val="000000"/>
          <w:lang w:eastAsia="es-CO"/>
        </w:rPr>
      </w:pPr>
      <w:bookmarkStart w:id="451" w:name="ver_30070935"/>
      <w:bookmarkEnd w:id="451"/>
    </w:p>
    <w:p w14:paraId="1A2DF7AE" w14:textId="04785C7B"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2.1.1.3.1.1.2. Fideicomitentes del contrato de fiducia mercantil y órganos de decisión del patrimonio autónomo. Serán fideicomitentes del contrato de fiducia mercantil al que se refiere el artículo 2.1.1.3.1.1.1 de esta sección, FONVIVIENDA y las Cajas de Compensación Familiar que deban transferir recursos al patrimonio autónomo, de acuerdo con lo establecido en esta sección. </w:t>
      </w:r>
    </w:p>
    <w:p w14:paraId="7083994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39C85E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Las Cajas de Compensación Familiar actuarán en la selección de la sociedad fiduciaria vocera del patrimonio autónomo, en la celebración del contrato de fiducia mercantil y en los órganos contractuales que se establezcan para el fideicomiso, a través de un solo representante, elegido por ellas, al cual deberán dar todas las facultades necesarias para dar cumplimiento a lo establecido en la presente sección y en el contrato de fiducia mercantil que se suscriba. </w:t>
      </w:r>
    </w:p>
    <w:p w14:paraId="26C89BB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909D3C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El patrimonio autónomo tendrá los órganos de decisión que se establezcan en el contrato de fiducia mercantil y como mínimo los siguientes: </w:t>
      </w:r>
    </w:p>
    <w:p w14:paraId="090E6A8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918E8C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Un Comité Fiduciario que se encargará como mínimo de: a) Impartir las instrucciones a la sociedad fiduciaria para la ejecución del contrato, y b) Emitir recomendaciones para que el Ministerio de Vivienda, Ciudad y Territorio defina criterios para la redistribución de recursos en el territorio nacional, teniendo en cuenta el resultado de las convocatorias que adelante el patrimonio autónomo para la selección de proyectos de vivienda. </w:t>
      </w:r>
    </w:p>
    <w:p w14:paraId="1BA5DA5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4B5946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Un Comité Técnico que se encargará como mínimo de: a) Establecer las condiciones para la selección de los proyectos que harán parte del programa que se ejecute en el marco de la presente sección, b) Seleccionar los proyectos antes mencionados, teniendo en consideración los informes de evaluación emitidos por la entidad que se encargue de evaluar los proyectos, c) Definir las condiciones para la selección de los evaluadores y supervisores de los proyectos a los que se refiere la presente sección, d) Pronunciarse sobre la posibilidad de prorrogar los plazos establecidos en los términos de referencia para la terminación, escrituración, y/o entrega de las viviendas que se ejecuten en los proyectos seleccionados, para el desembolso de los créditos y para las demás actuaciones a que haya lugar. </w:t>
      </w:r>
    </w:p>
    <w:p w14:paraId="050BA6C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B0A45A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Un Comité Financiero que se encargará como mínimo de: a) Tomar decisiones sobre la administración financiera de los recursos, en el marco de lo establecido para la inversión de los recursos de las entidades estatales del orden nacional en el Decreto Único del Sector de Hacienda y Crédito Público o las normas que lo modifiquen, adicionen o sustituyan y b) Ordenar los pagos que deban realizarse en el marco del contrato de fiducia mercantil. En desarrollo de esta función, el comité financiero podrá definir los procedimientos, requisitos y condiciones a que se sujetarán cada uno de los pagos que realice la fiduciaria en desarrollo del contrato. </w:t>
      </w:r>
    </w:p>
    <w:p w14:paraId="441F39A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CF3FD5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el contrato de fiducia mercantil se podrán establecer obligaciones adicionales para los Comités, sin perjuicio de las funciones que se señalan en la presente sección. </w:t>
      </w:r>
    </w:p>
    <w:p w14:paraId="374B7AA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w:t>
      </w:r>
    </w:p>
    <w:p w14:paraId="65AD366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El Comité Fiduciario estará conformado por el Viceministro de Vivienda o su delegado, el Director Ejecutivo del Fondo Nacional de Vivienda o su delegado y el representante de las Cajas de Compensación Familiar, los cuales tendrán voz y voto en las decisiones que se adopten. </w:t>
      </w:r>
    </w:p>
    <w:p w14:paraId="410CF02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866B14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El Comité Financiero estará conformado por un delegado o un funcionario designado por el Viceministro de Vivienda, un delegado o un funcionario designado por el Director Ejecutivo del Fondo Nacional de Vivienda y el representante de las Cajas de Compensación Familiar. Todos los miembros tendrán voz y voto en las decisiones que se adopten. </w:t>
      </w:r>
    </w:p>
    <w:p w14:paraId="06AB12B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BF8980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El Comité Técnico estará conformado por dos (2) delegados o funcionarios designados por el Viceministro de Vivienda y un delegado o un funcionario designado por el Director Ejecutivo del Fondo Nacional de Vivienda, los cuales tendrán voz y voto en las decisiones que se adopten. </w:t>
      </w:r>
    </w:p>
    <w:p w14:paraId="3AECC67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8879F2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La sociedad fiduciaria vocera del patrimonio autónomo será parte de los tres (3) Comités antes mencionados y actuará en todos ellos con </w:t>
      </w:r>
      <w:proofErr w:type="gramStart"/>
      <w:r w:rsidRPr="009342F9">
        <w:rPr>
          <w:rFonts w:ascii="Arial" w:eastAsia="Times New Roman" w:hAnsi="Arial" w:cs="Arial"/>
          <w:color w:val="000000"/>
          <w:lang w:eastAsia="es-CO"/>
        </w:rPr>
        <w:t>voz</w:t>
      </w:r>
      <w:proofErr w:type="gramEnd"/>
      <w:r w:rsidRPr="009342F9">
        <w:rPr>
          <w:rFonts w:ascii="Arial" w:eastAsia="Times New Roman" w:hAnsi="Arial" w:cs="Arial"/>
          <w:color w:val="000000"/>
          <w:lang w:eastAsia="es-CO"/>
        </w:rPr>
        <w:t xml:space="preserve"> pero sin voto. </w:t>
      </w:r>
    </w:p>
    <w:p w14:paraId="75F04FC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F32B97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Las decisiones de los Comités Fiduciario y Financiero serán unánimes, sin embargo, en el evento en que no sea posible llegar a una decisión en el marco de los Comités Fiduciario y/o Financiero, FONVIVIENDA podrá continuar ejecutando el contrato de fiducia mercantil, comprometiendo solamente los recursos aportados por el Gobierno Nacional y por entidades públicas o privadas que hayan realizado aportes a título gratuito. </w:t>
      </w:r>
    </w:p>
    <w:p w14:paraId="7F931A56" w14:textId="5FAA97D3"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452" w:name="ver_30070943"/>
      <w:bookmarkEnd w:id="452"/>
    </w:p>
    <w:p w14:paraId="4966632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2.1.1.3.1.1.3. Activos del patrimonio autónomo. Serán activos del patrimonio autónomo que se constituya, de conformidad con lo establecido en la presente sección, los siguientes recursos: </w:t>
      </w:r>
    </w:p>
    <w:p w14:paraId="77F6D09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2AC3F1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 Aquellos de que trata el artículo 2.1.1.3.1.1.4 de esta sección; </w:t>
      </w:r>
    </w:p>
    <w:p w14:paraId="34FE1FD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419437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b) Aquellos recursos que a la fecha de </w:t>
      </w:r>
      <w:proofErr w:type="gramStart"/>
      <w:r w:rsidRPr="009342F9">
        <w:rPr>
          <w:rFonts w:ascii="Arial" w:eastAsia="Times New Roman" w:hAnsi="Arial" w:cs="Arial"/>
          <w:color w:val="000000"/>
          <w:lang w:eastAsia="es-CO"/>
        </w:rPr>
        <w:t>entrada en vigencia</w:t>
      </w:r>
      <w:proofErr w:type="gramEnd"/>
      <w:r w:rsidRPr="009342F9">
        <w:rPr>
          <w:rFonts w:ascii="Arial" w:eastAsia="Times New Roman" w:hAnsi="Arial" w:cs="Arial"/>
          <w:color w:val="000000"/>
          <w:lang w:eastAsia="es-CO"/>
        </w:rPr>
        <w:t xml:space="preserve"> de la Ley 1607 de 2012 correspondan a subsidios familiares de vivienda otorgados por las Cajas de Compensación Familiar que no hubieren sido aplicados dentro del término de su vigencia. El monto de estos recursos será certificado por la Superintendencia del Subsidio Familiar dentro de los treinta (30) días hábiles, al 5 de julio de 2013, indicando expresamente el valor que cada una de las Cajas de Compensación Familiar deberá transferir al patrimonio autónomo; </w:t>
      </w:r>
    </w:p>
    <w:p w14:paraId="283D1DF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BB282D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 Los que en ejercicio de las facultades otorgadas por el parágrafo 4° del artículo 68 de la Ley 49 de 1990, adicionado por el artículo 185 de la Ley 1607 de 2012 transfiera FONVIVIENDA; </w:t>
      </w:r>
    </w:p>
    <w:p w14:paraId="1A5329B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374D5C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d) Los demás recursos del Fondo para el Subsidio de Vivienda de Interés Social (</w:t>
      </w:r>
      <w:proofErr w:type="spellStart"/>
      <w:r w:rsidRPr="009342F9">
        <w:rPr>
          <w:rFonts w:ascii="Arial" w:eastAsia="Times New Roman" w:hAnsi="Arial" w:cs="Arial"/>
          <w:color w:val="000000"/>
          <w:lang w:eastAsia="es-CO"/>
        </w:rPr>
        <w:t>Fovis</w:t>
      </w:r>
      <w:proofErr w:type="spellEnd"/>
      <w:r w:rsidRPr="009342F9">
        <w:rPr>
          <w:rFonts w:ascii="Arial" w:eastAsia="Times New Roman" w:hAnsi="Arial" w:cs="Arial"/>
          <w:color w:val="000000"/>
          <w:lang w:eastAsia="es-CO"/>
        </w:rPr>
        <w:t>), que decidan transferir las Cajas de Compensación Familiar voluntariamente, en ejercicio de las facultades otorgadas por el parágrafo 4° del artículo 68 de la Ley 49 de 1990, adicionado por el artículo 185 de la Ley 1607 de 2012; </w:t>
      </w:r>
    </w:p>
    <w:p w14:paraId="343A343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7F31F8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 Los recursos de los subsidios familiares de vivienda otorgados por FONVIVIENDA antes del 05 de julio de 2013, que sean transferidos a solicitud de sus beneficiarios, de conformidad con lo establecido en el artículo 2.1.1.3.1.3.2 de la presente sección; </w:t>
      </w:r>
    </w:p>
    <w:p w14:paraId="050CE18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A33971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f) Los rendimientos financieros que produzcan los recursos fideicomitidos; </w:t>
      </w:r>
    </w:p>
    <w:p w14:paraId="0838DC1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85F82A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g) Los que aporte cualquier persona natural o jurídica, a título gratuito. </w:t>
      </w:r>
    </w:p>
    <w:p w14:paraId="1DE04947" w14:textId="7EFB7FE0"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w:t>
      </w:r>
      <w:bookmarkStart w:id="453" w:name="ver_30070947"/>
      <w:bookmarkEnd w:id="453"/>
    </w:p>
    <w:p w14:paraId="4067DE71" w14:textId="7F0B59F9"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2.1.1.3.1.1.4. Giro de recursos de las cajas de compensación familiar. A partir del 05 de julio de 2013 y hasta el 31 de diciembre de 2015, las Cajas de Compensación Familiar, de acuerdo con su </w:t>
      </w:r>
      <w:proofErr w:type="spellStart"/>
      <w:r w:rsidRPr="009342F9">
        <w:rPr>
          <w:rFonts w:ascii="Arial" w:eastAsia="Times New Roman" w:hAnsi="Arial" w:cs="Arial"/>
          <w:color w:val="000000"/>
          <w:lang w:eastAsia="es-CO"/>
        </w:rPr>
        <w:t>cuociente</w:t>
      </w:r>
      <w:proofErr w:type="spellEnd"/>
      <w:r w:rsidRPr="009342F9">
        <w:rPr>
          <w:rFonts w:ascii="Arial" w:eastAsia="Times New Roman" w:hAnsi="Arial" w:cs="Arial"/>
          <w:color w:val="000000"/>
          <w:lang w:eastAsia="es-CO"/>
        </w:rPr>
        <w:t xml:space="preserve"> particular de recaudo y a las apropiaciones mensuales del </w:t>
      </w:r>
      <w:proofErr w:type="spellStart"/>
      <w:r w:rsidRPr="009342F9">
        <w:rPr>
          <w:rFonts w:ascii="Arial" w:eastAsia="Times New Roman" w:hAnsi="Arial" w:cs="Arial"/>
          <w:color w:val="000000"/>
          <w:lang w:eastAsia="es-CO"/>
        </w:rPr>
        <w:t>Fovis</w:t>
      </w:r>
      <w:proofErr w:type="spellEnd"/>
      <w:r w:rsidRPr="009342F9">
        <w:rPr>
          <w:rFonts w:ascii="Arial" w:eastAsia="Times New Roman" w:hAnsi="Arial" w:cs="Arial"/>
          <w:color w:val="000000"/>
          <w:lang w:eastAsia="es-CO"/>
        </w:rPr>
        <w:t xml:space="preserve"> obligatorio, componente vivienda, deberán girar mensualmente al patrimonio autónomo que se constituya según lo establecido en la presente sección, la suma que resulte de la aplicación de los siguientes porcentajes:</w:t>
      </w:r>
    </w:p>
    <w:p w14:paraId="43746EE1" w14:textId="37C29C0E"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4CE86F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Para el año 2013 las Cajas de Compensación Familiar con </w:t>
      </w:r>
      <w:proofErr w:type="spellStart"/>
      <w:r w:rsidRPr="009342F9">
        <w:rPr>
          <w:rFonts w:ascii="Arial" w:eastAsia="Times New Roman" w:hAnsi="Arial" w:cs="Arial"/>
          <w:color w:val="000000"/>
          <w:lang w:eastAsia="es-CO"/>
        </w:rPr>
        <w:t>cuociente</w:t>
      </w:r>
      <w:proofErr w:type="spellEnd"/>
      <w:r w:rsidRPr="009342F9">
        <w:rPr>
          <w:rFonts w:ascii="Arial" w:eastAsia="Times New Roman" w:hAnsi="Arial" w:cs="Arial"/>
          <w:color w:val="000000"/>
          <w:lang w:eastAsia="es-CO"/>
        </w:rPr>
        <w:t xml:space="preserve"> particular de recaudo superior al ciento diez por ciento (110%) destinarán mensualmente el treinta y cinco por ciento (35%) de las apropiaciones del </w:t>
      </w:r>
      <w:proofErr w:type="spellStart"/>
      <w:r w:rsidRPr="009342F9">
        <w:rPr>
          <w:rFonts w:ascii="Arial" w:eastAsia="Times New Roman" w:hAnsi="Arial" w:cs="Arial"/>
          <w:color w:val="000000"/>
          <w:lang w:eastAsia="es-CO"/>
        </w:rPr>
        <w:t>Fovis</w:t>
      </w:r>
      <w:proofErr w:type="spellEnd"/>
      <w:r w:rsidRPr="009342F9">
        <w:rPr>
          <w:rFonts w:ascii="Arial" w:eastAsia="Times New Roman" w:hAnsi="Arial" w:cs="Arial"/>
          <w:color w:val="000000"/>
          <w:lang w:eastAsia="es-CO"/>
        </w:rPr>
        <w:t xml:space="preserve"> obligatorio, componente vivienda y las Cajas de Compensación Familiar con </w:t>
      </w:r>
      <w:proofErr w:type="spellStart"/>
      <w:r w:rsidRPr="009342F9">
        <w:rPr>
          <w:rFonts w:ascii="Arial" w:eastAsia="Times New Roman" w:hAnsi="Arial" w:cs="Arial"/>
          <w:color w:val="000000"/>
          <w:lang w:eastAsia="es-CO"/>
        </w:rPr>
        <w:t>cuociente</w:t>
      </w:r>
      <w:proofErr w:type="spellEnd"/>
      <w:r w:rsidRPr="009342F9">
        <w:rPr>
          <w:rFonts w:ascii="Arial" w:eastAsia="Times New Roman" w:hAnsi="Arial" w:cs="Arial"/>
          <w:color w:val="000000"/>
          <w:lang w:eastAsia="es-CO"/>
        </w:rPr>
        <w:t xml:space="preserve"> particular de recaudo inferior al ciento diez por ciento (110%) destinarán mensualmente el veinticinco por ciento (25%) de las mismas apropiaciones, para ser girado al patrimonio autónomo que se constituya de acuerdo con lo establecido en la presente sección. </w:t>
      </w:r>
    </w:p>
    <w:p w14:paraId="621D0B7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F4DF4F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Para el año 2014 las Cajas de Compensación Familiar con </w:t>
      </w:r>
      <w:proofErr w:type="spellStart"/>
      <w:r w:rsidRPr="009342F9">
        <w:rPr>
          <w:rFonts w:ascii="Arial" w:eastAsia="Times New Roman" w:hAnsi="Arial" w:cs="Arial"/>
          <w:color w:val="000000"/>
          <w:lang w:eastAsia="es-CO"/>
        </w:rPr>
        <w:t>cuociente</w:t>
      </w:r>
      <w:proofErr w:type="spellEnd"/>
      <w:r w:rsidRPr="009342F9">
        <w:rPr>
          <w:rFonts w:ascii="Arial" w:eastAsia="Times New Roman" w:hAnsi="Arial" w:cs="Arial"/>
          <w:color w:val="000000"/>
          <w:lang w:eastAsia="es-CO"/>
        </w:rPr>
        <w:t xml:space="preserve"> particular de recaudo superior al ciento diez por ciento (110%) destinarán mensualmente el treinta y siete por ciento (37%) de las apropiaciones del </w:t>
      </w:r>
      <w:proofErr w:type="spellStart"/>
      <w:r w:rsidRPr="009342F9">
        <w:rPr>
          <w:rFonts w:ascii="Arial" w:eastAsia="Times New Roman" w:hAnsi="Arial" w:cs="Arial"/>
          <w:color w:val="000000"/>
          <w:lang w:eastAsia="es-CO"/>
        </w:rPr>
        <w:t>Fovis</w:t>
      </w:r>
      <w:proofErr w:type="spellEnd"/>
      <w:r w:rsidRPr="009342F9">
        <w:rPr>
          <w:rFonts w:ascii="Arial" w:eastAsia="Times New Roman" w:hAnsi="Arial" w:cs="Arial"/>
          <w:color w:val="000000"/>
          <w:lang w:eastAsia="es-CO"/>
        </w:rPr>
        <w:t xml:space="preserve"> obligatorio, componente vivienda y las Cajas de Compensación Familiar con </w:t>
      </w:r>
      <w:proofErr w:type="spellStart"/>
      <w:r w:rsidRPr="009342F9">
        <w:rPr>
          <w:rFonts w:ascii="Arial" w:eastAsia="Times New Roman" w:hAnsi="Arial" w:cs="Arial"/>
          <w:color w:val="000000"/>
          <w:lang w:eastAsia="es-CO"/>
        </w:rPr>
        <w:t>cuociente</w:t>
      </w:r>
      <w:proofErr w:type="spellEnd"/>
      <w:r w:rsidRPr="009342F9">
        <w:rPr>
          <w:rFonts w:ascii="Arial" w:eastAsia="Times New Roman" w:hAnsi="Arial" w:cs="Arial"/>
          <w:color w:val="000000"/>
          <w:lang w:eastAsia="es-CO"/>
        </w:rPr>
        <w:t xml:space="preserve"> particular de recaudo inferior al ciento diez por ciento (110%) destinarán mensualmente el treinta por ciento (30%) de las mismas apropiaciones, para ser girado al patrimonio autónomo que se constituya, de acuerdo con lo establecido en la presente sección. </w:t>
      </w:r>
    </w:p>
    <w:p w14:paraId="3CBAFFD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CF6CF9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Para el año 2015 las Cajas de Compensación Familiar con </w:t>
      </w:r>
      <w:proofErr w:type="spellStart"/>
      <w:r w:rsidRPr="009342F9">
        <w:rPr>
          <w:rFonts w:ascii="Arial" w:eastAsia="Times New Roman" w:hAnsi="Arial" w:cs="Arial"/>
          <w:color w:val="000000"/>
          <w:lang w:eastAsia="es-CO"/>
        </w:rPr>
        <w:t>cuociente</w:t>
      </w:r>
      <w:proofErr w:type="spellEnd"/>
      <w:r w:rsidRPr="009342F9">
        <w:rPr>
          <w:rFonts w:ascii="Arial" w:eastAsia="Times New Roman" w:hAnsi="Arial" w:cs="Arial"/>
          <w:color w:val="000000"/>
          <w:lang w:eastAsia="es-CO"/>
        </w:rPr>
        <w:t xml:space="preserve"> particular de recaudo superior al ciento diez por ciento (110%) destinarán mensualmente el catorce por ciento (14%) de las apropiaciones del </w:t>
      </w:r>
      <w:proofErr w:type="spellStart"/>
      <w:r w:rsidRPr="009342F9">
        <w:rPr>
          <w:rFonts w:ascii="Arial" w:eastAsia="Times New Roman" w:hAnsi="Arial" w:cs="Arial"/>
          <w:color w:val="000000"/>
          <w:lang w:eastAsia="es-CO"/>
        </w:rPr>
        <w:t>Fovis</w:t>
      </w:r>
      <w:proofErr w:type="spellEnd"/>
      <w:r w:rsidRPr="009342F9">
        <w:rPr>
          <w:rFonts w:ascii="Arial" w:eastAsia="Times New Roman" w:hAnsi="Arial" w:cs="Arial"/>
          <w:color w:val="000000"/>
          <w:lang w:eastAsia="es-CO"/>
        </w:rPr>
        <w:t xml:space="preserve"> obligatorio, componente vivienda y las Cajas de Compensación Familiar con </w:t>
      </w:r>
      <w:proofErr w:type="spellStart"/>
      <w:r w:rsidRPr="009342F9">
        <w:rPr>
          <w:rFonts w:ascii="Arial" w:eastAsia="Times New Roman" w:hAnsi="Arial" w:cs="Arial"/>
          <w:color w:val="000000"/>
          <w:lang w:eastAsia="es-CO"/>
        </w:rPr>
        <w:t>cuociente</w:t>
      </w:r>
      <w:proofErr w:type="spellEnd"/>
      <w:r w:rsidRPr="009342F9">
        <w:rPr>
          <w:rFonts w:ascii="Arial" w:eastAsia="Times New Roman" w:hAnsi="Arial" w:cs="Arial"/>
          <w:color w:val="000000"/>
          <w:lang w:eastAsia="es-CO"/>
        </w:rPr>
        <w:t xml:space="preserve"> particular de recaudo inferior al ciento diez por ciento (110%) destinarán mensualmente el ocho por ciento (8%) de las mismas apropiaciones, para ser girado al patrimonio autónomo que se constituya de acuerdo con lo establecido en la presente sección. </w:t>
      </w:r>
    </w:p>
    <w:p w14:paraId="004050E8" w14:textId="36078133"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454" w:name="ver_30070954"/>
      <w:bookmarkEnd w:id="454"/>
    </w:p>
    <w:p w14:paraId="3E6C8DE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2.1.1.3.1.1.5. Condiciones para los aportes de las cajas de compensación familiar. La obligación de las Cajas de Compensación de realizar los aportes de que tratan los literales a) y b) del artículo 2.1.1.3.1.1.3 de la presente sección constará en forma expresa en el contrato de fiducia mercantil que se celebre para dar cumplimiento a la presente sección. </w:t>
      </w:r>
    </w:p>
    <w:p w14:paraId="658CA48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F91579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La cuantificación del aporte a realizarse en cumplimiento del literal b) al patrimonio autónomo que se constituya, constará en el documento de incorporación de recursos a suscribirse entre las Cajas y el fiduciario seleccionado, de acuerdo con los montos indicados por la Superintendencia del Subsidio Familiar. El documento de incorporación de recursos y el giro de </w:t>
      </w:r>
      <w:proofErr w:type="gramStart"/>
      <w:r w:rsidRPr="009342F9">
        <w:rPr>
          <w:rFonts w:ascii="Arial" w:eastAsia="Times New Roman" w:hAnsi="Arial" w:cs="Arial"/>
          <w:color w:val="000000"/>
          <w:lang w:eastAsia="es-CO"/>
        </w:rPr>
        <w:t>los mismos</w:t>
      </w:r>
      <w:proofErr w:type="gramEnd"/>
      <w:r w:rsidRPr="009342F9">
        <w:rPr>
          <w:rFonts w:ascii="Arial" w:eastAsia="Times New Roman" w:hAnsi="Arial" w:cs="Arial"/>
          <w:color w:val="000000"/>
          <w:lang w:eastAsia="es-CO"/>
        </w:rPr>
        <w:t xml:space="preserve"> se deberá realizar dentro de los treinta (30) días calendario, siguientes a la expedición del acto administrativo que emita la Superintendencia. </w:t>
      </w:r>
    </w:p>
    <w:p w14:paraId="65DB0A2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F22995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Con respecto a los recursos mencionados en el artículo 2.1.1.3.1.1.4 de la presente sección, tratándose de una suma no determinada en el momento de su </w:t>
      </w:r>
      <w:proofErr w:type="gramStart"/>
      <w:r w:rsidRPr="009342F9">
        <w:rPr>
          <w:rFonts w:ascii="Arial" w:eastAsia="Times New Roman" w:hAnsi="Arial" w:cs="Arial"/>
          <w:color w:val="000000"/>
          <w:lang w:eastAsia="es-CO"/>
        </w:rPr>
        <w:t>celebración</w:t>
      </w:r>
      <w:proofErr w:type="gramEnd"/>
      <w:r w:rsidRPr="009342F9">
        <w:rPr>
          <w:rFonts w:ascii="Arial" w:eastAsia="Times New Roman" w:hAnsi="Arial" w:cs="Arial"/>
          <w:color w:val="000000"/>
          <w:lang w:eastAsia="es-CO"/>
        </w:rPr>
        <w:t xml:space="preserve"> pero determinable, el representante de las Cajas de Compensación Familiar suscribirá mensualmente documentos que soporten la incorporación de los respectivos recursos. </w:t>
      </w:r>
    </w:p>
    <w:p w14:paraId="0D61B0D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7CAFDB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Una vez perfeccionado el contrato de fiducia mercantil, dentro de los cinco (5) días siguientes a la apropiación de los recursos de los </w:t>
      </w:r>
      <w:proofErr w:type="spellStart"/>
      <w:r w:rsidRPr="009342F9">
        <w:rPr>
          <w:rFonts w:ascii="Arial" w:eastAsia="Times New Roman" w:hAnsi="Arial" w:cs="Arial"/>
          <w:color w:val="000000"/>
          <w:lang w:eastAsia="es-CO"/>
        </w:rPr>
        <w:t>Fovis</w:t>
      </w:r>
      <w:proofErr w:type="spellEnd"/>
      <w:r w:rsidRPr="009342F9">
        <w:rPr>
          <w:rFonts w:ascii="Arial" w:eastAsia="Times New Roman" w:hAnsi="Arial" w:cs="Arial"/>
          <w:color w:val="000000"/>
          <w:lang w:eastAsia="es-CO"/>
        </w:rPr>
        <w:t xml:space="preserve">, a la cual hace referencia el artículo 2.1.1.1.1.6.1.4 del presente decreto o las normas que lo modifiquen, adicionen o sustituyan, las Cajas de </w:t>
      </w:r>
      <w:r w:rsidRPr="009342F9">
        <w:rPr>
          <w:rFonts w:ascii="Arial" w:eastAsia="Times New Roman" w:hAnsi="Arial" w:cs="Arial"/>
          <w:color w:val="000000"/>
          <w:lang w:eastAsia="es-CO"/>
        </w:rPr>
        <w:lastRenderedPageBreak/>
        <w:t>Compensación Familiar girarán mensualmente al patrimonio autónomo al que se refiere esta sección, los porcentajes indicados en el artículo 2.1.1.3.1.1.4 de la presente sección. </w:t>
      </w:r>
    </w:p>
    <w:p w14:paraId="4173C00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09B8EA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Cada mes las Cajas de Compensación Familiar deberán reportar a la Superintendencia del Subsidio Familiar, en las condiciones y fecha que esta defina, el cumplimiento del giro mensual destinado al patrimonio autónomo de que trata la presente sección. La Superintendencia de Subsidio Familiar ejercerá, en cualquier momento, sus facultades de inspección, vigilancia y control sobre la obligatoriedad de la transferencia de los recursos e informará al FONVIVIENDA si considera, por cualquier situación, que no se está dando cabal cumplimiento a lo establecido en el presente artículo. </w:t>
      </w:r>
    </w:p>
    <w:p w14:paraId="26104018" w14:textId="6233A1BC"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455" w:name="ver_30070960"/>
      <w:bookmarkEnd w:id="455"/>
    </w:p>
    <w:p w14:paraId="58778E9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2.1.1.3.1.1.6. Obligaciones de la sociedad fiduciaria. Corresponderá a la sociedad fiduciaria que se seleccione para el efecto, actuando como vocera del patrimonio autónomo constituido de acuerdo con la presente sección ejecutar, además de las obligaciones que se señalen en el contrato de fiducia mercantil, las siguientes: </w:t>
      </w:r>
    </w:p>
    <w:p w14:paraId="7DA627B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A4DC6A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 Recaudar los recursos que deban ser transferidos por las Cajas de Compensación Familiar y los que estas aporten voluntariamente, de acuerdo con lo establecido en esta sección; </w:t>
      </w:r>
    </w:p>
    <w:p w14:paraId="44CA0F2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6B3AD3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b) Recibir los recursos que transfiera FONVIVIENDA, de acuerdo con lo establecido en la presente sección y con las normas presupuestales vigentes; </w:t>
      </w:r>
    </w:p>
    <w:p w14:paraId="06083E3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546AE4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 Invertir transitoriamente los recursos administrados, de acuerdo con la ley, con la normativa para la inversión de los recursos de las entidades estatales del orden nacional del Decreto Único Sectorial de Hacienda y Crédito Público o las normas que lo modifiquen, adicionen o sustituyan, y con las instrucciones que imparta el Comité Financiero en el marco de las normas antes citadas; </w:t>
      </w:r>
    </w:p>
    <w:p w14:paraId="0398906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EE91C4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d) Administrar los recursos de conformidad con las obligaciones que se señalen en el contrato de fiducia mercantil y las instrucciones impartidas por los órganos de decisión que se constituyan al interior del patrimonio autónomo; </w:t>
      </w:r>
    </w:p>
    <w:p w14:paraId="1FEFC87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CEA0E7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 Adelantar los procedimientos y elaborar y suscribir los documentos necesarios para que el Comité Técnico del Fideicomiso, con fundamento en los términos de referencia que defina el mismo, seleccione los proyectos de vivienda nueva urbana de interés prioritario que se ejecutarán en el marco del programa a que se refiere la presente sección; </w:t>
      </w:r>
    </w:p>
    <w:p w14:paraId="4A39BC8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40263F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f) Certificar a los proponentes de los proyectos seleccionados, que cuentan con un cupo para la asignación de subsidios familiares de vivienda en un número igual al número de viviendas del proyecto seleccionado, los cuales les serán desembolsados en los términos y condiciones que se señalen en los términos de referencia del proceso de selección; </w:t>
      </w:r>
    </w:p>
    <w:p w14:paraId="0AC16A7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91E6DD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g) Desembolsar a los oferentes de los proyectos seleccionados que hayan cumplido con los requisitos establecidos en los términos de referencia respectivos, los recursos de los subsidios familiares de vivienda para los hogares que haya propuesto el oferente y que hayan cumplido los requisitos establecidos en la presente sección. Los recursos se podrán desembolsar a quienes hayan actuado como financiadores o </w:t>
      </w:r>
      <w:proofErr w:type="spellStart"/>
      <w:r w:rsidRPr="009342F9">
        <w:rPr>
          <w:rFonts w:ascii="Arial" w:eastAsia="Times New Roman" w:hAnsi="Arial" w:cs="Arial"/>
          <w:color w:val="000000"/>
          <w:lang w:eastAsia="es-CO"/>
        </w:rPr>
        <w:t>cofinanciadores</w:t>
      </w:r>
      <w:proofErr w:type="spellEnd"/>
      <w:r w:rsidRPr="009342F9">
        <w:rPr>
          <w:rFonts w:ascii="Arial" w:eastAsia="Times New Roman" w:hAnsi="Arial" w:cs="Arial"/>
          <w:color w:val="000000"/>
          <w:lang w:eastAsia="es-CO"/>
        </w:rPr>
        <w:t xml:space="preserve"> de los proyectos, cuando los oferentes así lo indiquen; </w:t>
      </w:r>
    </w:p>
    <w:p w14:paraId="5F68885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842D35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h) Emitir a favor de los beneficiarios del programa y de las entidades de crédito, certificaciones sobre los plazos otorgados en los términos de referencia de los procesos de selección, o por el supervisor de los proyectos y/o el Comité Técnico del Fideicomiso, para la terminación de las </w:t>
      </w:r>
      <w:r w:rsidRPr="009342F9">
        <w:rPr>
          <w:rFonts w:ascii="Arial" w:eastAsia="Times New Roman" w:hAnsi="Arial" w:cs="Arial"/>
          <w:color w:val="000000"/>
          <w:lang w:eastAsia="es-CO"/>
        </w:rPr>
        <w:lastRenderedPageBreak/>
        <w:t>viviendas, su comercialización, el desembolso de los créditos y/o la escrituración de las viviendas a sus beneficiarios, y las demás actuaciones a que haya lugar; </w:t>
      </w:r>
    </w:p>
    <w:p w14:paraId="46B2556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282E4A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i) Llevar una contabilidad separada del negocio, de conformidad con las disposiciones que regulan la materia; </w:t>
      </w:r>
    </w:p>
    <w:p w14:paraId="328A8FC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8BB304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j) Controlar la ejecución de los recursos y realizar los desembolsos que autorice el Comité Financiero del Fideicomiso, el cual podrá definir los procedimientos, requisitos y condiciones a que se sujetarán cada uno de los pagos que realice la fiduciaria; </w:t>
      </w:r>
    </w:p>
    <w:p w14:paraId="1037928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EFCCEC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k) Crear subcuentas para el manejo de recursos de cada proyecto de vivienda nueva de interés prioritario y/o para el manejo de los recursos aportados por cada Caja de Compensación Familiar y por FONVIVIENDA; </w:t>
      </w:r>
    </w:p>
    <w:p w14:paraId="0395C00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2F4793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 Las demás obligaciones necesarias para dar cumplimiento al objeto del contrato de fiducia mercantil. </w:t>
      </w:r>
    </w:p>
    <w:p w14:paraId="17DA7D4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4041DC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Una vez el oferente acredite los requisitos de viabilidad financiera que se soliciten en los términos de referencia del respectivo proceso de selección, el Comité Financiero deberá emitir una instrucción irrevocable a la sociedad fiduciaria, de desembolsar los recursos cuando se cumplan los requisitos señalados en los términos de referencia. La instrucción se entenderá resuelta de pleno derecho si el proponente incumple los plazos y/o condiciones que se determinen en los términos de referencia o en las prórrogas que otorgue el supervisor de los proyectos y/o el Comité Técnico del Fideicomiso, cuando sea el caso. </w:t>
      </w:r>
    </w:p>
    <w:p w14:paraId="53C65D26" w14:textId="15BAD1CA"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456" w:name="ver_30070962"/>
      <w:bookmarkEnd w:id="456"/>
    </w:p>
    <w:p w14:paraId="7BF04AA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2.1.1.3.1.1.7. Gastos de administración. Con cargo a los recursos administrados por el patrimonio autónomo al que hace referencia la presente sección, se sufragarán los costos en que se incurra para el manejo y control de los recursos, los gastos de operación y cualquier otro gasto que se requiera para el desarrollo, implementación y divulgación del programa destinado a los hogares a que hace referencia la presente sección. </w:t>
      </w:r>
    </w:p>
    <w:p w14:paraId="4C6DC0D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98AD00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De los recursos que aporte FONVIVIENDA al patrimonio autónomo se podrá destinar, para cubrir los gastos a los que hace referencia el presente artículo, un mayor valor que aquel destinado por las Cajas de Compensación Familiar. De los recursos aportados por las Cajas de Compensación Familiar se destinará hasta un cinco por ciento (5%) para cubrir los referidos gastos. </w:t>
      </w:r>
    </w:p>
    <w:p w14:paraId="4D5BFFB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D6E523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De otra parte, los rendimientos financieros que generen los recursos fideicomitidos también serán destinados a la ejecución del programa, incluyendo el pago de los gastos a los que se refiere el presente artículo. </w:t>
      </w:r>
    </w:p>
    <w:p w14:paraId="01BC0DAD" w14:textId="3F399733" w:rsidR="005A1FCF"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457" w:name="ver_30070964"/>
      <w:bookmarkEnd w:id="457"/>
    </w:p>
    <w:p w14:paraId="37877627" w14:textId="3FE9A718" w:rsidR="00FC79C1" w:rsidRPr="009342F9" w:rsidRDefault="00FC79C1" w:rsidP="005A1FCF">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SUBSECCIÓN 2</w:t>
      </w:r>
    </w:p>
    <w:p w14:paraId="62CC751B" w14:textId="77777777" w:rsidR="00FC79C1" w:rsidRPr="009342F9" w:rsidRDefault="00FC79C1" w:rsidP="005A1FCF">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BENEFICIOS PARA LOS HOGARES OBJETO DEL PROGRAMA QUE SE DESARROLLE A TRAVÉS DEL PATRIMONIO AUTÓNOMO</w:t>
      </w:r>
    </w:p>
    <w:p w14:paraId="58B57CD3"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458" w:name="ver_30070967"/>
      <w:bookmarkEnd w:id="458"/>
    </w:p>
    <w:p w14:paraId="458299B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2.1.1.3.1.2.1. Valor del subsidio familiar de vivienda. El monto de los subsidios familiares de vivienda que FONVIVIENDA y las Cajas de Compensación Familiar asignen a los hogares que cumplan las condiciones señaladas en la presente sección, dependerá de los ingresos del hogar objeto del subsidio, de acuerdo con los siguientes parámetros: </w:t>
      </w:r>
    </w:p>
    <w:p w14:paraId="3E4F22D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CF8A8D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A los hogares con ingresos hasta de 1.6 SMLMV, podrá asignarse un subsidio hasta por el monto equivalente a 30 SMLMV, al momento del desembolso al oferente. </w:t>
      </w:r>
    </w:p>
    <w:p w14:paraId="6A72EB7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w:t>
      </w:r>
    </w:p>
    <w:p w14:paraId="55BF411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A los hogares con ingresos de más de 1.6 y hasta 2 SMLMV, podrá asignarse un subsidio hasta por el monto equivalente a 25 SMLMV, al momento del desembolso al oferente. </w:t>
      </w:r>
    </w:p>
    <w:p w14:paraId="252FFC0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CE52E2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En los actos de asignación del subsidio familiar de vivienda a que se refiere el presente artículo, se indicará expresamente que el subsidio ha sido emitido en el marco del Programa de Vivienda de Interés Prioritario para Ahorradores y que en esa medida su vigencia, las condiciones para su aplicación y los demás beneficios a que tiene derecho el hogar por ser beneficiario del programa, se sujetarán a lo establecido en la presente sección y en los términos de referencia del proceso de selección del proyecto en el que deba ser aplicado. </w:t>
      </w:r>
    </w:p>
    <w:p w14:paraId="27CF23A6" w14:textId="513B33AE"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459" w:name="ver_30070970"/>
      <w:bookmarkEnd w:id="459"/>
    </w:p>
    <w:p w14:paraId="5097616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2.1.1.3.1.2.2. Vigencia del subsidio familiar de vivienda. La vigencia de los subsidios de vivienda destinados a la adquisición de vivienda de interés prioritario urbana nueva de que trata la presente sección, será de doce (12) meses contados a partir del primer día del mes siguiente a la fecha de su asignación. </w:t>
      </w:r>
    </w:p>
    <w:p w14:paraId="5A80C54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91CD6E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 entidad otorgante del subsidio podrá prorrogar hasta por doce (12) meses la vigencia anteriormente señalada, siempre y cuando dentro del plazo inicial de la vigencia del subsidio, el oferente haya suscrito promesa de compraventa de la vivienda respectiva con el beneficiario del subsidio y la escrituración y entrega de la vivienda se haya pactado para ser realizada dentro del término de la prórroga del subsidio. El oferente deberá remitir a la entidad otorgante, dentro de los plazos que establezca esta última, la respectiva copia de la promesa de compraventa. </w:t>
      </w:r>
    </w:p>
    <w:p w14:paraId="026C8EB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9ACE56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Los subsidios familiares de vivienda otorgados por las Cajas de Compensación Familiar que no se apliquen dentro del término de su vigencia, serán reintegrados al Fondo de Vivienda de la respectiva entidad otorgante. </w:t>
      </w:r>
    </w:p>
    <w:p w14:paraId="18E9FDE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3BE9B6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De acuerdo con lo establecido en el inciso segundo del artículo 8° de la Ley 1537 de 2012, los recursos correspondientes a subsidios familiares de vivienda otorgados por FONVIVIENDA, que sean objeto de renuncia por parte de su beneficiario, que se venzan o que correspondan a aquellos recuperados mediante actuaciones administrativas, podrán ser transferidos directamente, total o parcialmente, por parte de la entidad que los tenga a su cargo, al patrimonio autónomo al que se refiere la presente sección. </w:t>
      </w:r>
    </w:p>
    <w:p w14:paraId="72CBFE27" w14:textId="4E32CD76"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460" w:name="ver_30070972"/>
      <w:bookmarkEnd w:id="460"/>
    </w:p>
    <w:p w14:paraId="16E2151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2.1.1.3.1.2.3. Cobertura de tasa de interés. Los potenciales deudores de crédito pertenecientes a los hogares que resulten beneficiarios del subsidio familiar de vivienda a que se refiere el artículo 2.1.13.1.2.1 de esta sección, podrán acceder a la cobertura de tasa de interés prevista en el artículo 123 de la Ley 1450 de 2011, a través de créditos otorgados por los establecimientos de crédito para compra de vivienda, en las condiciones y términos que establezca el Gobierno Nacional. </w:t>
      </w:r>
    </w:p>
    <w:p w14:paraId="7A4F844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7931DE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La cobertura a que se refiere el presente </w:t>
      </w:r>
      <w:proofErr w:type="gramStart"/>
      <w:r w:rsidRPr="009342F9">
        <w:rPr>
          <w:rFonts w:ascii="Arial" w:eastAsia="Times New Roman" w:hAnsi="Arial" w:cs="Arial"/>
          <w:color w:val="000000"/>
          <w:lang w:eastAsia="es-CO"/>
        </w:rPr>
        <w:t>artículo,</w:t>
      </w:r>
      <w:proofErr w:type="gramEnd"/>
      <w:r w:rsidRPr="009342F9">
        <w:rPr>
          <w:rFonts w:ascii="Arial" w:eastAsia="Times New Roman" w:hAnsi="Arial" w:cs="Arial"/>
          <w:color w:val="000000"/>
          <w:lang w:eastAsia="es-CO"/>
        </w:rPr>
        <w:t xml:space="preserve"> estará sujeta a que el crédito se aplique en la adquisición de vivienda de interés social prioritaria nueva urbana que se ejecute en los proyectos seleccionados en el marco del “Programa de Vivienda de Interés Prioritario para Ahorradores” a que hace referencia esta sección. </w:t>
      </w:r>
    </w:p>
    <w:p w14:paraId="41EE9C5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9F1117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En todo caso, para que los potenciales deudores de crédito pertenecientes a los hogares beneficiarios del programa </w:t>
      </w:r>
      <w:proofErr w:type="gramStart"/>
      <w:r w:rsidRPr="009342F9">
        <w:rPr>
          <w:rFonts w:ascii="Arial" w:eastAsia="Times New Roman" w:hAnsi="Arial" w:cs="Arial"/>
          <w:color w:val="000000"/>
          <w:lang w:eastAsia="es-CO"/>
        </w:rPr>
        <w:t>mencionado,</w:t>
      </w:r>
      <w:proofErr w:type="gramEnd"/>
      <w:r w:rsidRPr="009342F9">
        <w:rPr>
          <w:rFonts w:ascii="Arial" w:eastAsia="Times New Roman" w:hAnsi="Arial" w:cs="Arial"/>
          <w:color w:val="000000"/>
          <w:lang w:eastAsia="es-CO"/>
        </w:rPr>
        <w:t xml:space="preserve"> puedan acceder a la cobertura de tasa de interés, es necesario que la entidad otorgante del crédito cumpla con lo dispuesto en las normas vigentes, para que sus deudores obtengan este beneficio. </w:t>
      </w:r>
    </w:p>
    <w:p w14:paraId="37CEB622" w14:textId="77777777" w:rsidR="00D25E1B"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461" w:name="ver_30110568"/>
      <w:bookmarkStart w:id="462" w:name="ver_30110565"/>
      <w:bookmarkEnd w:id="461"/>
    </w:p>
    <w:p w14:paraId="290A53DE" w14:textId="419CCF6F"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Artículo 2.1.1.3.1.2.4. Garantía de créditos por el Fondo Nacional de Garantías. Las entidades financieras que otorguen créditos a los hogares que resulten beneficiarios del subsidio familiar de vivienda al que hace referencia el artículo 2.1.1.3.1.2.1 de esta sección, serán beneficiarias de una garantía, cuya prima pagará Fonvivienda con cargo a su presupuesto de inversión, la cual cubrirá hasta el setenta por ciento (70%) de la pérdida estimada del crédito obtenido a su favor para la adquisición de la vivienda de interés prioritario, en los términos establecidos por el Fondo Nacional de Garantías para este producto de garantía. Lo anterior, siempre y cuando los créditos se desembolsen dentro de los plazos que definan los términos de referencia de los procesos de selección de los proyectos que se oferten al patrimonio autónomo a que hace referencia la presente sección. Estos plazos solo podrán ser modificados por autorización del supervisor del proyecto y/o del Comité Técnico, de acuerdo con las condiciones que se establezcan en los mismos términos de referencia.  </w:t>
      </w:r>
    </w:p>
    <w:p w14:paraId="0C403C6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75ACDB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Las entidades financieras podrán solicitar directamente al Fondo Nacional de Garantías, el otorgamiento de la garantía a la que hace referencia el presente artículo, solamente cuando se haya verificado que el potencial deudor es beneficiario del Programa de Vivienda de Interés Prioritario para Ahorradores y que el desembolso del crédito se realice dentro de los plazos otorgados en los términos de referencia del proceso de selección o en los autorizados por el supervisor del proyecto y/o el Comité Técnico del Fideicomiso”. </w:t>
      </w:r>
    </w:p>
    <w:p w14:paraId="11935840" w14:textId="77777777" w:rsidR="00FC79C1" w:rsidRPr="009342F9" w:rsidRDefault="00FC79C1" w:rsidP="00FC79C1">
      <w:pPr>
        <w:spacing w:after="0" w:line="240" w:lineRule="auto"/>
        <w:jc w:val="both"/>
        <w:rPr>
          <w:rFonts w:ascii="Arial" w:eastAsia="Times New Roman" w:hAnsi="Arial" w:cs="Arial"/>
          <w:color w:val="000000"/>
          <w:lang w:eastAsia="es-CO"/>
        </w:rPr>
      </w:pPr>
    </w:p>
    <w:p w14:paraId="1FB18EC4" w14:textId="77777777" w:rsidR="00FC79C1" w:rsidRPr="009342F9" w:rsidRDefault="00FC79C1" w:rsidP="005A1FCF">
      <w:pPr>
        <w:spacing w:after="0" w:line="240" w:lineRule="auto"/>
        <w:jc w:val="center"/>
        <w:rPr>
          <w:rFonts w:ascii="Arial" w:eastAsia="Times New Roman" w:hAnsi="Arial" w:cs="Arial"/>
          <w:b/>
          <w:bCs/>
          <w:color w:val="000000"/>
          <w:lang w:eastAsia="es-CO"/>
        </w:rPr>
      </w:pPr>
      <w:bookmarkStart w:id="463" w:name="ver_30070976"/>
      <w:bookmarkEnd w:id="462"/>
      <w:bookmarkEnd w:id="463"/>
      <w:r w:rsidRPr="009342F9">
        <w:rPr>
          <w:rFonts w:ascii="Arial" w:eastAsia="Times New Roman" w:hAnsi="Arial" w:cs="Arial"/>
          <w:b/>
          <w:bCs/>
          <w:color w:val="000000"/>
          <w:lang w:eastAsia="es-CO"/>
        </w:rPr>
        <w:t>SUBSECCIÓN 3</w:t>
      </w:r>
    </w:p>
    <w:p w14:paraId="79BEC376" w14:textId="77777777" w:rsidR="00FC79C1" w:rsidRPr="009342F9" w:rsidRDefault="00FC79C1" w:rsidP="005A1FCF">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CONDICIONES DE LOS BENEFICIARIOS DEL PROGRAMA QUE SE DESARROLLE A TRAVÉS DEL PATRIMONIO AUTÓNOMO</w:t>
      </w:r>
    </w:p>
    <w:p w14:paraId="265D8EA7"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464" w:name="ver_30110517"/>
      <w:bookmarkStart w:id="465" w:name="ver_30110510"/>
      <w:bookmarkEnd w:id="464"/>
    </w:p>
    <w:p w14:paraId="6E36537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2.1.1.3.1.3.1. Beneficiarios del programa. Podrán ser beneficiarios del programa que se desarrolle a través del patrimonio autónomo a que se refiere la presente sección, los hogares que cumplan las siguientes condiciones:</w:t>
      </w:r>
    </w:p>
    <w:p w14:paraId="352BE76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059FE4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 Tener ingresos totales mensuales no superiores al equivalente a dos (2) salarios mínimos legales mensuales vigentes; </w:t>
      </w:r>
    </w:p>
    <w:p w14:paraId="477C3CF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0D54A3D" w14:textId="77777777" w:rsidR="004E425A"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b) </w:t>
      </w:r>
      <w:r w:rsidR="004E425A" w:rsidRPr="004E425A">
        <w:rPr>
          <w:rFonts w:ascii="Arial" w:eastAsia="Times New Roman" w:hAnsi="Arial" w:cs="Arial"/>
          <w:color w:val="000000"/>
          <w:lang w:eastAsia="es-CO"/>
        </w:rPr>
        <w:t>No ser propietarios de una vivienda en el territorio nacional, salvo que esta i) haya sido abandonada o despojada en el marco del conflicto armado interno, o ii) se encuentre en zonas de riesgo por la ocurrencia de eventos físicos peligrosos de origen tecnológico o en zonas de afectación, por el diseño, ejecución u operación de obras de infraestructura o proyectos de interés nacional y/o estratégicos desarrollados por el Gobierno Nacional, de conformidad con los análisis específicos de riesgos y los planes de emergencia y contingencia de que trata el artículo 42 de la Ley 1523 de 2012 o las normas que lo modifiquen, adicionen o sustituyan.</w:t>
      </w:r>
    </w:p>
    <w:p w14:paraId="1ED7334B" w14:textId="624CA14F"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7F44F0D" w14:textId="77777777" w:rsidR="00D41493" w:rsidRDefault="00FC79C1" w:rsidP="00B00C4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c) </w:t>
      </w:r>
      <w:r w:rsidR="00D41493" w:rsidRPr="00D41493">
        <w:rPr>
          <w:rFonts w:ascii="Arial" w:eastAsia="Times New Roman" w:hAnsi="Arial" w:cs="Arial"/>
          <w:color w:val="000000"/>
          <w:lang w:eastAsia="es-CO"/>
        </w:rPr>
        <w:t>No haber sido beneficiarios de un subsidio familiar de vivienda que haya sido efectivamente aplicado, salvo quienes hayan perdido la vivienda por imposibilidad de pago, de acuerdo con lo establecido en el artículo 33 de la Ley 546 de 1999 o cuando la vivienda en la cual se haya aplicado el subsidio haya resultado totalmente destruida o quedado inhabitable como consecuencia de desastres naturales, calamidades públicas, emergencias, o atentados terroristas, o haya sido abandonada o despojada en el marco del conflicto armado interno, o se encuentre en las zonas de riesgo o afectación a que se refiere el literal b) del presente artículo.</w:t>
      </w:r>
    </w:p>
    <w:p w14:paraId="25956816" w14:textId="77777777" w:rsidR="00D41493" w:rsidRDefault="00D41493" w:rsidP="00B00C41">
      <w:pPr>
        <w:spacing w:after="0" w:line="240" w:lineRule="auto"/>
        <w:jc w:val="both"/>
        <w:rPr>
          <w:rFonts w:ascii="Arial" w:eastAsia="Times New Roman" w:hAnsi="Arial" w:cs="Arial"/>
          <w:color w:val="000000"/>
          <w:lang w:eastAsia="es-CO"/>
        </w:rPr>
      </w:pPr>
    </w:p>
    <w:p w14:paraId="09466C52" w14:textId="77777777" w:rsidR="00D41493" w:rsidRDefault="00B00C41" w:rsidP="00FC79C1">
      <w:pPr>
        <w:spacing w:after="0" w:line="240" w:lineRule="auto"/>
        <w:jc w:val="both"/>
        <w:rPr>
          <w:rFonts w:ascii="Arial" w:eastAsia="Times New Roman" w:hAnsi="Arial" w:cs="Arial"/>
          <w:color w:val="000000"/>
          <w:lang w:eastAsia="es-CO"/>
        </w:rPr>
      </w:pPr>
      <w:r>
        <w:rPr>
          <w:rFonts w:ascii="Arial" w:eastAsia="Times New Roman" w:hAnsi="Arial" w:cs="Arial"/>
          <w:color w:val="000000"/>
          <w:lang w:eastAsia="es-CO"/>
        </w:rPr>
        <w:t xml:space="preserve">d) </w:t>
      </w:r>
      <w:r w:rsidR="00FC79C1" w:rsidRPr="009342F9">
        <w:rPr>
          <w:rFonts w:ascii="Arial" w:eastAsia="Times New Roman" w:hAnsi="Arial" w:cs="Arial"/>
          <w:color w:val="000000"/>
          <w:lang w:eastAsia="es-CO"/>
        </w:rPr>
        <w:t> </w:t>
      </w:r>
      <w:r w:rsidR="00D41493" w:rsidRPr="00D41493">
        <w:rPr>
          <w:rFonts w:ascii="Arial" w:eastAsia="Times New Roman" w:hAnsi="Arial" w:cs="Arial"/>
          <w:color w:val="000000"/>
          <w:lang w:eastAsia="es-CO"/>
        </w:rPr>
        <w:t>No haber sido beneficiario a cualquier título de coberturas de tasa de interés otorgadas en desarrollo de lo dispuesto en los capítulos 2.10.1.4 Y 2.10.1.5 del Decreto 1068 de 2015 y el capítulo 2.1.3.1 y la sección 2.1.1.3.3 del presente decreto.</w:t>
      </w:r>
    </w:p>
    <w:p w14:paraId="59437351" w14:textId="10904226"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BABE13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e) Aportar al oferente, para la adquisición de la vivienda, el valor al que se refiere el artículo 2.1.1.3.1.3.4. de esta sección, que constituirá el ahorro del hogar, el cual podrá acreditarse como requisito para la asignación del subsidio familiar de vivienda a que hace referencia el artículo 2.1.1.3.1.2.1. de esta sección; </w:t>
      </w:r>
    </w:p>
    <w:p w14:paraId="5BEAC47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87F840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f) Contar con un crédito preaprobado por el valor correspondiente a los recursos faltantes para acceder a la solución de vivienda a adquirir. La carta de preaprobación de crédito deberá consistir en una evaluación crediticia favorable previa emitida por un establecimiento de crédito, una cooperativa de ahorro y crédito, las Cajas de Compensación Familiar, el Fondo Nacional de Ahorro, los Fondos de Empleados y demás entidades autorizadas para ello por la ley. </w:t>
      </w:r>
    </w:p>
    <w:p w14:paraId="2EFA1F3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C8BA2A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1°. El límite de ingresos a que se refiere el literal a) del presente artículo podrá ser verificado teniendo en consideración solamente el salario básico de los miembros del hogar, es decir, lo que constituye remuneración ordinaria o fija. </w:t>
      </w:r>
    </w:p>
    <w:p w14:paraId="23EB79D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BAE2E8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2°. La acreditación de que la vivienda se encuentra en algunas de las situaciones a que se refiere el numeral ii) del literal b) del presente artículo, se realizará mediante certificación emitida por la entidad encargada del diseño, ejecución u operación de la obra e inclusión de los hogares en los censos elaborados por los Consejos Municipales para la Gestión del Riesgo de Desastres, avalados por los Consejos Departamentales para la Gestión del Riesgo de Desastres y refrendados por la Unidad Nacional para la Gestión del Riesgo de Desastres. </w:t>
      </w:r>
    </w:p>
    <w:p w14:paraId="043AFF4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661112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este caso, para la asignación del subsidio familiar de vivienda de que trata el artículo 2.1.1.3.1.2.1 el hogar o el oferente del proyecto deberán acreditar la transferencia del derecho de dominio del inmueble desalojado a la entidad que corresponda de acuerdo con las normas vigentes, mediante la presentación del certificado de libertad y tradición respectivo o con certificación emitida por la entidad adquirente”. </w:t>
      </w:r>
    </w:p>
    <w:p w14:paraId="5EB5D465"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466" w:name="ver_30110535"/>
      <w:bookmarkStart w:id="467" w:name="ver_30110525"/>
      <w:bookmarkEnd w:id="465"/>
      <w:bookmarkEnd w:id="466"/>
    </w:p>
    <w:p w14:paraId="6C751C13" w14:textId="7E66C829"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2.1.1.3.1.3.2. Beneficiarios con subsidio familiar de vivienda sin aplicar. Los beneficiarios del programa reglamentado en la presente sección tendrán derecho a un solo subsidio a otorgarse en el marco </w:t>
      </w:r>
      <w:proofErr w:type="gramStart"/>
      <w:r w:rsidRPr="009342F9">
        <w:rPr>
          <w:rFonts w:ascii="Arial" w:eastAsia="Times New Roman" w:hAnsi="Arial" w:cs="Arial"/>
          <w:color w:val="000000"/>
          <w:lang w:eastAsia="es-CO"/>
        </w:rPr>
        <w:t>del mismo</w:t>
      </w:r>
      <w:proofErr w:type="gramEnd"/>
      <w:r w:rsidRPr="009342F9">
        <w:rPr>
          <w:rFonts w:ascii="Arial" w:eastAsia="Times New Roman" w:hAnsi="Arial" w:cs="Arial"/>
          <w:color w:val="000000"/>
          <w:lang w:eastAsia="es-CO"/>
        </w:rPr>
        <w:t>. Cuando los hogares beneficiarios cuenten con subsidios familiares de vivienda en dinero, otorgados por parte de las Cajas de Compensación Familiar o Fonvivienda, que se encuentren pendientes de aplicación, se emplearán las siguientes reglas: </w:t>
      </w:r>
    </w:p>
    <w:p w14:paraId="63C2F31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8F5CD9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 Quienes hayan sido beneficiarios de subsidios familiares de vivienda para la adquisición de vivienda urbana que se encuentren vigentes y sin aplicar, asignados por Fonvivienda, antes de la entrada en vigencia de la presente sección, siempre que resulten beneficiarios del subsidio familiar de vivienda a que se refiere el artículo 2.1.1.3.1.2.1 de la presente sección, autorizarán su desembolso al patrimonio autónomo que se constituya de acuerdo con lo establecido en esta sección, sin que tal desembolso les otorgue la calidad de fideicomitentes. En todo caso, para el desembolso, el beneficiario deberá contar con autorización previa de la entidad otorgante del subsidio. </w:t>
      </w:r>
    </w:p>
    <w:p w14:paraId="18DD183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4F5A65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Los subsidios familiares de vivienda que se otorguen a los hogares mencionados </w:t>
      </w:r>
      <w:proofErr w:type="gramStart"/>
      <w:r w:rsidRPr="009342F9">
        <w:rPr>
          <w:rFonts w:ascii="Arial" w:eastAsia="Times New Roman" w:hAnsi="Arial" w:cs="Arial"/>
          <w:color w:val="000000"/>
          <w:lang w:eastAsia="es-CO"/>
        </w:rPr>
        <w:t>anteriormente,</w:t>
      </w:r>
      <w:proofErr w:type="gramEnd"/>
      <w:r w:rsidRPr="009342F9">
        <w:rPr>
          <w:rFonts w:ascii="Arial" w:eastAsia="Times New Roman" w:hAnsi="Arial" w:cs="Arial"/>
          <w:color w:val="000000"/>
          <w:lang w:eastAsia="es-CO"/>
        </w:rPr>
        <w:t xml:space="preserve"> tendrán los valores señalados en la presente sección, cuando el valor del subsidio otorgado, que se encuentre sin aplicar, sea inferior, en caso contrario, tendrán derecho al subsidio familiar de vivienda de mayor valor. </w:t>
      </w:r>
    </w:p>
    <w:p w14:paraId="0EFBBE6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AC3A0D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Cuando el hogar beneficiario se encuentre inscrito en el Registro Único de Población Desplazada (RUPD), o el que haga sus veces, se podrá sumar el subsidio familiar de vivienda inicialmente asignado, que se encuentre sin aplicar, y el subsidio familiar de vivienda a que se refiere el artículo </w:t>
      </w:r>
      <w:r w:rsidRPr="009342F9">
        <w:rPr>
          <w:rFonts w:ascii="Arial" w:eastAsia="Times New Roman" w:hAnsi="Arial" w:cs="Arial"/>
          <w:color w:val="000000"/>
          <w:lang w:eastAsia="es-CO"/>
        </w:rPr>
        <w:lastRenderedPageBreak/>
        <w:t>2.1.1.3.1.2.1 de esta sección, para la adquisición de una vivienda en el marco del Programa VIPA. En todo caso, el subsidio familiar de vivienda de Fonvivienda no podrá superar los 66.5 SMLMV, pues el hogar deberá aportar el ahorro a que se refiere el artículo 2.1.1.3.1.3.4 de esta sección. </w:t>
      </w:r>
    </w:p>
    <w:p w14:paraId="6DFD95B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918EE6E" w14:textId="15611B09"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b) Quienes hayan sido beneficiarios de subsidios familiares de vivienda para la adquisición de vivienda urbana, que se encuentren vigentes y sin aplicar, asignados en cualquier momento por las Cajas de Compensación Familiar, siempre que resulten beneficiarios del subsidio familiar de vivienda a que se refiere el artículo 2.1.1.3.1.2.1 de la presente sección, solicitarán su aplicación en el marco del programa a que se refiere el mismo. En este caso, las Cajas de Compensación realizarán los trámites correspondientes al interior de los </w:t>
      </w:r>
      <w:proofErr w:type="spellStart"/>
      <w:r w:rsidRPr="009342F9">
        <w:rPr>
          <w:rFonts w:ascii="Arial" w:eastAsia="Times New Roman" w:hAnsi="Arial" w:cs="Arial"/>
          <w:color w:val="000000"/>
          <w:lang w:eastAsia="es-CO"/>
        </w:rPr>
        <w:t>Fovis</w:t>
      </w:r>
      <w:proofErr w:type="spellEnd"/>
      <w:r w:rsidRPr="009342F9">
        <w:rPr>
          <w:rFonts w:ascii="Arial" w:eastAsia="Times New Roman" w:hAnsi="Arial" w:cs="Arial"/>
          <w:color w:val="000000"/>
          <w:lang w:eastAsia="es-CO"/>
        </w:rPr>
        <w:t xml:space="preserve"> para que estos recursos hagan parte de aquellos de que trata el artículo 2.1.1.3.1.1.4 de esta sección, de manera que no constituyan recursos adicionales a girar. </w:t>
      </w:r>
    </w:p>
    <w:p w14:paraId="0C7FC8C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D474E5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Los subsidios familiares de vivienda que se otorguen a los hogares mencionados </w:t>
      </w:r>
      <w:proofErr w:type="gramStart"/>
      <w:r w:rsidRPr="009342F9">
        <w:rPr>
          <w:rFonts w:ascii="Arial" w:eastAsia="Times New Roman" w:hAnsi="Arial" w:cs="Arial"/>
          <w:color w:val="000000"/>
          <w:lang w:eastAsia="es-CO"/>
        </w:rPr>
        <w:t>anteriormente,</w:t>
      </w:r>
      <w:proofErr w:type="gramEnd"/>
      <w:r w:rsidRPr="009342F9">
        <w:rPr>
          <w:rFonts w:ascii="Arial" w:eastAsia="Times New Roman" w:hAnsi="Arial" w:cs="Arial"/>
          <w:color w:val="000000"/>
          <w:lang w:eastAsia="es-CO"/>
        </w:rPr>
        <w:t xml:space="preserve"> tendrán los valores señalados en el artículo 2.1.1.3.1.2.1 de la presente sección, cuando el valor del subsidio otorgado, que se encuentre sin aplicar, sea inferior, en caso contrario, tendrán derecho al subsidio familiar de vivienda de mayor valor. </w:t>
      </w:r>
    </w:p>
    <w:p w14:paraId="53945E3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DEED67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 Si los hogares potencialmente beneficiarios del programa a que se refiere esta sección cuentan con un subsidio familiar para la adquisición de vivienda urbana nueva, asignado en cualquier momento por una entidad otorgante diferente de Fonvivienda o las Cajas de Compensación Familiar, previa autorización de la entidad otorgante, los respectivos hogares podrán autorizar su desembolso a los oferentes de los proyectos que resulten seleccionados de acuerdo con lo establecido en la presente sección. La entidad otorgante del subsidio definirá las condiciones para el desembolso del subsidio al oferente de los proyectos, siempre y cuando dichas condiciones no contraríen lo establecido en esta sección ni las determinaciones adoptadas por los órganos de decisión del patrimonio autónomo al que se refiere la presente sección. </w:t>
      </w:r>
    </w:p>
    <w:p w14:paraId="4EA7854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BB1B99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el evento en que otras entidades otorgantes de subsidios familiares de vivienda decidan autorizar el desembolso de recursos a los oferentes de proyectos seleccionados de acuerdo con lo establecido en la presente sección, ni Fonvivienda, ni las Cajas de Compensación Familiar, ni el patrimonio autónomo que se constituya de acuerdo con lo establecido en esta sección, serán responsables por la debida ejecución de los mencionados recursos. Los recursos aportados por autorización de la mencionada entidad otorgante, en todo caso, contribuirán al pago de la vivienda, junto con los demás recursos previstos en la presente sección”. </w:t>
      </w:r>
    </w:p>
    <w:p w14:paraId="2856C5E9" w14:textId="2665640A"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468" w:name="ver_30110558"/>
      <w:bookmarkStart w:id="469" w:name="ver_30110556"/>
      <w:bookmarkEnd w:id="467"/>
      <w:bookmarkEnd w:id="468"/>
    </w:p>
    <w:p w14:paraId="23F339C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2.1.1.3.1.3.3. Listado de potenciales beneficiarios. Los oferentes de proyectos de vivienda de interés prioritaria que resulten seleccionados de acuerdo con lo establecido en la presente sección, presentarán ante el patrimonio autónomo un listado conformado por un número de hogares igual o mayor al número de viviendas del proyecto seleccionado, que se hayan postulado con el propósito de ser beneficiarios del mencionado proyecto y que reúnan los requisitos señalados en el artículo 2.1.1.3.1.3.1 de la presente sección, el cual deberá contener como mínimo el nombre completo y el documento de identificación de cada uno de los miembros del hogar propuesto por el oferente.  </w:t>
      </w:r>
    </w:p>
    <w:p w14:paraId="44FBC31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97767D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Junto con la presentación del listado, el oferente deberá adjuntar la documentación que indique el patrimonio autónomo, de acuerdo con las instrucciones emitidas por los órganos de decisión </w:t>
      </w:r>
      <w:proofErr w:type="gramStart"/>
      <w:r w:rsidRPr="009342F9">
        <w:rPr>
          <w:rFonts w:ascii="Arial" w:eastAsia="Times New Roman" w:hAnsi="Arial" w:cs="Arial"/>
          <w:color w:val="000000"/>
          <w:lang w:eastAsia="es-CO"/>
        </w:rPr>
        <w:t>del mismo</w:t>
      </w:r>
      <w:proofErr w:type="gramEnd"/>
      <w:r w:rsidRPr="009342F9">
        <w:rPr>
          <w:rFonts w:ascii="Arial" w:eastAsia="Times New Roman" w:hAnsi="Arial" w:cs="Arial"/>
          <w:color w:val="000000"/>
          <w:lang w:eastAsia="es-CO"/>
        </w:rPr>
        <w:t>, para verificar que los hogares incorporados en el listado cumplan las condiciones señaladas en los literales a), e) y f) del artículo 2.1.1.3.1.3.1 de la presente sección. En todo caso, deberá anexar la documentación a la que hace referencia el artículo 2.1.1.3.1.5.1 de la presente sección.  </w:t>
      </w:r>
    </w:p>
    <w:p w14:paraId="44D75A4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w:t>
      </w:r>
    </w:p>
    <w:p w14:paraId="29FD6238" w14:textId="77777777" w:rsidR="00FB6CBF"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En el evento en que el oferente presente un listado con un número de hogares superior al número de viviendas a ejecutar en el proyecto seleccionado y el número de hogares que cumpla las condiciones señaladas en esta sección supere el número de viviendas mencionado, las entidades otorgantes del subsidio priorizarán en la asignación a los hogares </w:t>
      </w:r>
      <w:proofErr w:type="gramStart"/>
      <w:r w:rsidRPr="009342F9">
        <w:rPr>
          <w:rFonts w:ascii="Arial" w:eastAsia="Times New Roman" w:hAnsi="Arial" w:cs="Arial"/>
          <w:color w:val="000000"/>
          <w:lang w:eastAsia="es-CO"/>
        </w:rPr>
        <w:t>que</w:t>
      </w:r>
      <w:proofErr w:type="gramEnd"/>
      <w:r w:rsidRPr="009342F9">
        <w:rPr>
          <w:rFonts w:ascii="Arial" w:eastAsia="Times New Roman" w:hAnsi="Arial" w:cs="Arial"/>
          <w:color w:val="000000"/>
          <w:lang w:eastAsia="es-CO"/>
        </w:rPr>
        <w:t xml:space="preserve"> habiendo cumplido las referidas condiciones, cuenten con mayor ahorro.</w:t>
      </w:r>
    </w:p>
    <w:p w14:paraId="3CBC1DBE" w14:textId="77777777" w:rsidR="00FB6CBF" w:rsidRDefault="00FB6CBF" w:rsidP="00FC79C1">
      <w:pPr>
        <w:spacing w:after="0" w:line="240" w:lineRule="auto"/>
        <w:jc w:val="both"/>
        <w:rPr>
          <w:rFonts w:ascii="Arial" w:eastAsia="Times New Roman" w:hAnsi="Arial" w:cs="Arial"/>
          <w:color w:val="000000"/>
          <w:lang w:eastAsia="es-CO"/>
        </w:rPr>
      </w:pPr>
    </w:p>
    <w:p w14:paraId="14AE3D77" w14:textId="7CAD1360"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S</w:t>
      </w:r>
      <w:r w:rsidR="00FB6CBF">
        <w:rPr>
          <w:rFonts w:ascii="Arial" w:eastAsia="Times New Roman" w:hAnsi="Arial" w:cs="Arial"/>
          <w:color w:val="000000"/>
          <w:lang w:eastAsia="es-CO"/>
        </w:rPr>
        <w:t>i</w:t>
      </w:r>
      <w:r w:rsidRPr="009342F9">
        <w:rPr>
          <w:rFonts w:ascii="Arial" w:eastAsia="Times New Roman" w:hAnsi="Arial" w:cs="Arial"/>
          <w:color w:val="000000"/>
          <w:lang w:eastAsia="es-CO"/>
        </w:rPr>
        <w:t xml:space="preserve"> una vez verificado el mayor ahorro, se presenta empate entre uno o varios hogares, se asignarán los subsidios de acuerdo con el orden de radicación de las postulaciones ante el oferente del proyecto. Este orden deberá ser indicado por este último”. </w:t>
      </w:r>
    </w:p>
    <w:p w14:paraId="0FDBBE42"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470" w:name="ver_30110576"/>
      <w:bookmarkStart w:id="471" w:name="ver_30110574"/>
      <w:bookmarkEnd w:id="469"/>
      <w:bookmarkEnd w:id="470"/>
    </w:p>
    <w:p w14:paraId="7C1EAC0F" w14:textId="102E03E8" w:rsidR="00FC79C1"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2.1.1.3.1.3.4. Acreditación de ahorro. Los hogares acreditarán un ahorro mínimo equivalente al cinco por ciento (5%) del valor de la vivienda. El documento que acredite el ahorro podrá ser aportado al patrimonio autónomo respectivo, por el oferente del proyecto seleccionado, como anexo del formulario de postulación, de acuerdo con lo establecido en el artículo 2.1.1.3.1.5.1 de esta sección, pero también se aceptará que se aporte como requisito previo a la asignación del subsidio familiar de vivienda, la cual deberá efectuarse en el plazo indicado en los términos de referencia del respectivo proceso de selección. </w:t>
      </w:r>
    </w:p>
    <w:p w14:paraId="50588EAE" w14:textId="77777777" w:rsidR="00D25E1B" w:rsidRPr="009342F9" w:rsidRDefault="00D25E1B" w:rsidP="00FC79C1">
      <w:pPr>
        <w:spacing w:after="0" w:line="240" w:lineRule="auto"/>
        <w:jc w:val="both"/>
        <w:rPr>
          <w:rFonts w:ascii="Arial" w:eastAsia="Times New Roman" w:hAnsi="Arial" w:cs="Arial"/>
          <w:color w:val="000000"/>
          <w:lang w:eastAsia="es-CO"/>
        </w:rPr>
      </w:pPr>
    </w:p>
    <w:p w14:paraId="3FBBC39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el evento en que entidades otorgantes de subsidios familiares de vivienda, diferentes al Fondo Nacional de Vivienda y las Cajas de Compensación Familiar, decidan autorizar el desembolso de recursos a los oferentes de proyectos seleccionados de acuerdo con lo establecido en la presente sección, el ahorro del hogar podrá disminuir en el valor del respectivo subsidio, sin que, en ningún caso, el aporte del hogar pueda ser inferior al dos por ciento (2%) del valor de la vivienda. </w:t>
      </w:r>
    </w:p>
    <w:p w14:paraId="214B79B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788E64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El ahorro, en los porcentajes antes señalados, podrá acreditarse en cualquiera de las siguientes modalidades: </w:t>
      </w:r>
    </w:p>
    <w:p w14:paraId="09F6FD4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35E305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 Cuentas de ahorro programado para la vivienda; </w:t>
      </w:r>
    </w:p>
    <w:p w14:paraId="2F71DE1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E60DED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b) Cuentas de ahorro programado contractual para vivienda con evaluación crediticia favorable previa; </w:t>
      </w:r>
    </w:p>
    <w:p w14:paraId="2551751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10683F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 Aportes periódicos de ahorro; </w:t>
      </w:r>
    </w:p>
    <w:p w14:paraId="3200AD6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F096E7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d) Cuota inicial; </w:t>
      </w:r>
    </w:p>
    <w:p w14:paraId="07DF6C2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143D78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 Cesantías. </w:t>
      </w:r>
    </w:p>
    <w:p w14:paraId="42AF151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1C96AD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Los recursos del ahorro podrán ser girados por parte del potencial beneficiario directamente al oferente o a las entidades que este defina como esquema de ejecución del proyecto. El oferente de los proyectos seleccionados en el marco del programa a que se refiere esta sección podrá establecer mecanismos que le permitan garantizar que los recursos señalados en el presente artículo estén dispuestos de manera efectiva por parte de los hogares, será responsable del debido manejo de los referidos recursos de acuerdo con las normas vigentes e igualmente, deberá informar oportunamente a los hogares, las condiciones y requisitos establecidos para recibir los beneficios del Programa. </w:t>
      </w:r>
    </w:p>
    <w:p w14:paraId="3714EFF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9465DC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La definición de las modalidades señaladas en el presente artículo se sujetará a lo establecido por el artículo 2.1.1.1.1.3.2.3 del presente decreto o las normas que lo modifiquen, adicionen o sustituyan”. </w:t>
      </w:r>
    </w:p>
    <w:p w14:paraId="2B9C3369" w14:textId="77777777" w:rsidR="005A1FCF" w:rsidRDefault="005A1FCF" w:rsidP="00FC79C1">
      <w:pPr>
        <w:spacing w:after="0" w:line="240" w:lineRule="auto"/>
        <w:jc w:val="both"/>
        <w:rPr>
          <w:rFonts w:ascii="Arial" w:eastAsia="Times New Roman" w:hAnsi="Arial" w:cs="Arial"/>
          <w:color w:val="000000"/>
          <w:lang w:eastAsia="es-CO"/>
        </w:rPr>
      </w:pPr>
      <w:bookmarkStart w:id="472" w:name="ver_30070991"/>
      <w:bookmarkEnd w:id="471"/>
      <w:bookmarkEnd w:id="472"/>
    </w:p>
    <w:p w14:paraId="5A668C9E" w14:textId="77777777" w:rsidR="00FB6CBF" w:rsidRDefault="00FB6CBF" w:rsidP="00FC79C1">
      <w:pPr>
        <w:spacing w:after="0" w:line="240" w:lineRule="auto"/>
        <w:jc w:val="both"/>
        <w:rPr>
          <w:rFonts w:ascii="Arial" w:eastAsia="Times New Roman" w:hAnsi="Arial" w:cs="Arial"/>
          <w:color w:val="000000"/>
          <w:lang w:eastAsia="es-CO"/>
        </w:rPr>
      </w:pPr>
    </w:p>
    <w:p w14:paraId="09CBAFBD" w14:textId="77777777" w:rsidR="00FB6CBF" w:rsidRDefault="00FB6CBF" w:rsidP="00FC79C1">
      <w:pPr>
        <w:spacing w:after="0" w:line="240" w:lineRule="auto"/>
        <w:jc w:val="both"/>
        <w:rPr>
          <w:rFonts w:ascii="Arial" w:eastAsia="Times New Roman" w:hAnsi="Arial" w:cs="Arial"/>
          <w:color w:val="000000"/>
          <w:lang w:eastAsia="es-CO"/>
        </w:rPr>
      </w:pPr>
    </w:p>
    <w:p w14:paraId="30F1516A" w14:textId="77777777" w:rsidR="00FB6CBF" w:rsidRPr="009342F9" w:rsidRDefault="00FB6CBF" w:rsidP="00FC79C1">
      <w:pPr>
        <w:spacing w:after="0" w:line="240" w:lineRule="auto"/>
        <w:jc w:val="both"/>
        <w:rPr>
          <w:rFonts w:ascii="Arial" w:eastAsia="Times New Roman" w:hAnsi="Arial" w:cs="Arial"/>
          <w:color w:val="000000"/>
          <w:lang w:eastAsia="es-CO"/>
        </w:rPr>
      </w:pPr>
    </w:p>
    <w:p w14:paraId="614DD88D" w14:textId="1ABBA456" w:rsidR="00FC79C1" w:rsidRPr="009342F9" w:rsidRDefault="00FC79C1" w:rsidP="005A1FCF">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SUBSECCIÓN 4</w:t>
      </w:r>
    </w:p>
    <w:p w14:paraId="02797BD5" w14:textId="77777777" w:rsidR="00FC79C1" w:rsidRPr="009342F9" w:rsidRDefault="00FC79C1" w:rsidP="005A1FCF">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CONDICIONES DE LOS OFERENTES Y DE LOS PROYECTOS QUE SE DESARROLLEN A TRAVÉS DEL PATRIMONIO AUTÓNOMO</w:t>
      </w:r>
    </w:p>
    <w:p w14:paraId="09904F5B" w14:textId="77777777" w:rsidR="00FC79C1" w:rsidRPr="009342F9" w:rsidRDefault="00FC79C1" w:rsidP="005A1FCF">
      <w:pPr>
        <w:spacing w:after="0" w:line="240" w:lineRule="auto"/>
        <w:jc w:val="center"/>
        <w:rPr>
          <w:rFonts w:ascii="Arial" w:eastAsia="Times New Roman" w:hAnsi="Arial" w:cs="Arial"/>
          <w:b/>
          <w:bCs/>
          <w:color w:val="000000"/>
          <w:lang w:eastAsia="es-CO"/>
        </w:rPr>
      </w:pPr>
      <w:bookmarkStart w:id="473" w:name="ver_30070993"/>
      <w:bookmarkEnd w:id="473"/>
    </w:p>
    <w:p w14:paraId="004119A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2.1.1.3.1.4.1. Definición de los criterios para la distribución y redistribución de los recursos del programa. El Ministerio de Vivienda, Ciudad y Territorio definirá los criterios para la distribución y redistribución de los recursos del programa al que hace referencia esta sección en el territorio nacional y FONVIVIENDA los aplicará. Dentro de los criterios de distribución de recursos se considerará el nivel de desempleo que se presente en las ciudades, departamentos y/o regiones que se tengan en cuenta en la respectiva resolución. </w:t>
      </w:r>
    </w:p>
    <w:p w14:paraId="5C81B9A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7BB393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todo caso, el Comité Fiduciario del patrimonio autónomo que se constituya de acuerdo con lo establecido en esta sección revisará la oferta de proyectos recibida en cada región y podrá recomendar al Ministerio de Vivienda, Ciudad y Territorio, la redistribución de los recursos en el territorio nacional, la cual se realizará de acuerdo con los criterios definidos por el mencionado Ministerio, los cuales serán aplicados por FONVIVIENDA. </w:t>
      </w:r>
    </w:p>
    <w:p w14:paraId="433BD932" w14:textId="402BD909"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474" w:name="ver_30070994"/>
      <w:bookmarkEnd w:id="474"/>
    </w:p>
    <w:p w14:paraId="6A08369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2.1.1.3.1.4.2. Oferentes de proyectos de vivienda. Los oferentes de proyectos de vivienda nueva de interés prioritario podrán ofertar a los patrimonios autónomos de que trata la presente sección, proyectos de vivienda construidas, en construcción, o por iniciar, siempre y cuando cumplan con las condiciones y requisitos de la convocatoria. </w:t>
      </w:r>
    </w:p>
    <w:p w14:paraId="5823407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B6D91A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Los promotores, constructores y/o las Cajas de Compensación Familiar podrán ofertar los proyectos de vivienda de interés prioritario nueva urbana señalados en el presente artículo. También se podrán adelantar procesos de selección en los que las entidades públicas sean oferentes de los proyectos como miembros de consorcios o uniones temporales con promotores, constructores y/o Cajas de Compensación Familiar. </w:t>
      </w:r>
    </w:p>
    <w:p w14:paraId="1579FE9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42822C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los términos de referencia de los procesos de selección que adelante el patrimonio autónomo, deberá solicitar al oferente los documentos que acrediten la viabilidad técnica, jurídica y financiera del proyecto. </w:t>
      </w:r>
    </w:p>
    <w:p w14:paraId="12C9CEF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315511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Parágrafo. Los esquemas o procesos utilizados por las entidades públicas para la selección de los miembros de los consorcios o uniones temporales de los cuales hagan </w:t>
      </w:r>
      <w:proofErr w:type="gramStart"/>
      <w:r w:rsidRPr="009342F9">
        <w:rPr>
          <w:rFonts w:ascii="Arial" w:eastAsia="Times New Roman" w:hAnsi="Arial" w:cs="Arial"/>
          <w:color w:val="000000"/>
          <w:lang w:eastAsia="es-CO"/>
        </w:rPr>
        <w:t>parte,</w:t>
      </w:r>
      <w:proofErr w:type="gramEnd"/>
      <w:r w:rsidRPr="009342F9">
        <w:rPr>
          <w:rFonts w:ascii="Arial" w:eastAsia="Times New Roman" w:hAnsi="Arial" w:cs="Arial"/>
          <w:color w:val="000000"/>
          <w:lang w:eastAsia="es-CO"/>
        </w:rPr>
        <w:t xml:space="preserve"> deberán someterse a las normas vigentes que les sean aplicables y se adelantarán bajo la responsabilidad de la respectiva entidad pública. </w:t>
      </w:r>
    </w:p>
    <w:p w14:paraId="25862305" w14:textId="39C583FD"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475" w:name="ver_30070997"/>
      <w:bookmarkEnd w:id="475"/>
    </w:p>
    <w:p w14:paraId="25FA342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2.1.1.3.1.4.3. Convocatoria, evaluación y selección del proyecto de vivienda de interés social prioritario. En la convocatoria para el desarrollo de proyectos de Vivienda de Interés Prioritario a los que hace referencia la presente sección, el patrimonio autónomo deberá exigir, como mínimo, los requisitos a que hacen referencia los numerales 1 y 2 del artículo 6° de la Ley 1537 de 2012, de conformidad con lo establecido en la sección 2.1.1.2.3 del presente decreto o las normas que lo modifiquen, adicionen o sustituyan. </w:t>
      </w:r>
    </w:p>
    <w:p w14:paraId="0AB0BFD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9BCBA5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Los proyectos serán evaluados por la entidad evaluadora que designe o contrate el patrimonio autónomo, de acuerdo con las instrucciones impartidas por el Comité Técnico. </w:t>
      </w:r>
    </w:p>
    <w:p w14:paraId="184501D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A640FA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La selección de los proyectos la realizará el Comité Técnico del Fideicomiso y para los proyectos seleccionados de acuerdo con lo establecido en esta sección no se requerirá del trámite de elegibilidad al que hace referencia la sección 2.1.1.1.1 del presente decreto o las normas que lo adicionen, modifiquen, sustituyan o reglamenten. </w:t>
      </w:r>
    </w:p>
    <w:p w14:paraId="5BB8B01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7482DF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Los proyectos deberán ejecutarse y entregarse dentro de los plazos señalados en los términos de referencia o en los cronogramas aprobados por el supervisor y/o el Comité Técnico del patrimonio autónomo. Adicionalmente, deberán entregarse dentro del término de vigencia de tos subsidios asignados a los beneficiarios del respectivo proyecto. </w:t>
      </w:r>
    </w:p>
    <w:p w14:paraId="0717F46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D0822E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Los proyectos que se oferten al patrimonio autónomo que se constituya de acuerdo con lo establecido en esta sección, por parte de proponentes que tengan dentro de sus miembros a una entidad pública, podrán incluir como fuente de financiación recursos del Sistema General de Regalías, de conformidad con las normas que rigen dicho Sistema y con el decreto que expida para el efecto el Gobierno Nacional. </w:t>
      </w:r>
    </w:p>
    <w:p w14:paraId="1786BF26" w14:textId="5D356E45"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476" w:name="ver_30210171"/>
      <w:bookmarkStart w:id="477" w:name="ver_30071000"/>
      <w:bookmarkEnd w:id="476"/>
    </w:p>
    <w:p w14:paraId="275FCBA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2.1.1.3.1.4.4. Valor de la vivienda de interés social prioritario. El valor de la vivienda de interés prioritario nueva en la que se aplicarán los subsidios a los que hace referencia la presente sección no podrá superar los noventa (90) salarios mínimos legales mensuales vigentes. Todos los valores contenidos en los contratos adicionales que se suscriban por parte del oferente y los </w:t>
      </w:r>
      <w:proofErr w:type="gramStart"/>
      <w:r w:rsidRPr="009342F9">
        <w:rPr>
          <w:rFonts w:ascii="Arial" w:eastAsia="Times New Roman" w:hAnsi="Arial" w:cs="Arial"/>
          <w:color w:val="000000"/>
          <w:lang w:eastAsia="es-CO"/>
        </w:rPr>
        <w:t>beneficiarios,</w:t>
      </w:r>
      <w:proofErr w:type="gramEnd"/>
      <w:r w:rsidRPr="009342F9">
        <w:rPr>
          <w:rFonts w:ascii="Arial" w:eastAsia="Times New Roman" w:hAnsi="Arial" w:cs="Arial"/>
          <w:color w:val="000000"/>
          <w:lang w:eastAsia="es-CO"/>
        </w:rPr>
        <w:t xml:space="preserve"> formarán parte del valor final de la vivienda. </w:t>
      </w:r>
    </w:p>
    <w:p w14:paraId="4B070273"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478" w:name="ver_30071029"/>
      <w:bookmarkEnd w:id="477"/>
      <w:bookmarkEnd w:id="478"/>
    </w:p>
    <w:p w14:paraId="66F5DE3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2.1.1.3.1.4.5. Incumplimiento de los oferentes de proyectos de vivienda. Los oferentes de los proyectos seleccionados, que incumplan los términos o condiciones establecidos en los términos de referencia de los procesos de selección que adelanten los patrimonios autónomos a que se refiere esta sección, o los términos y condiciones señalados en su oferta, estarán sujetos a las investigaciones y sanciones a que se refiere el artículo 22 de la Ley 1537 de 2012, y las normas que la modifiquen, adicionen, sustituyan o reglamenten. En el evento en que se presente el incumplimiento al que se refiere el presente artículo y se encuentre en firme la asignación de subsidios familiares de vivienda para ser ejecutados en el proyecto en incumplimiento, las entidades que hayan financiado o cofinanciado la ejecución del proyecto, de acuerdo con las condiciones definidas en los términos de referencia respectivos, y que no sean miembros del proponente en caso de ser este plural, podrán proponer al patrimonio autónomo un oferente que tenga iguales o mejores condiciones que el proponente del proyecto seleccionado, para terminar la ejecución del proyecto. En este caso, si el Comité Técnico del fideicomiso acepta la ejecución del proyecto por parte del nuevo proponente, podrá prorrogar el término establecido para la terminación de las viviendas, su comercialización, escrituración, desembolso de los créditos, y demás actuaciones a que haya lugar de acuerdo con lo establecido en esta sección. </w:t>
      </w:r>
    </w:p>
    <w:p w14:paraId="015B38D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3A0DE9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 entidad que haya financiado o cofinanciado la ejecución del proyecto y que haya propuesto el oferente, deberá certificar la aprobación de un crédito a favor del oferente propuesto, en las condiciones establecidas en los términos de referencia. Adicionalmente, el oferente propuesto deberá ejecutar las viviendas a favor de los beneficiarios de los subsidios que hayan sido previamente asignados con destino al proyecto en incumplimiento. </w:t>
      </w:r>
    </w:p>
    <w:p w14:paraId="6D88D13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4CF7926" w14:textId="77777777" w:rsidR="00FC79C1"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Si el oferente incumple los términos o condiciones para el desarrollo del proyecto y la entidad que haya financiado o cofinanciado su ejecución no propone un nuevo oferente o el propuesto no es aceptado por el Comité Técnico del Fideicomiso, los compradores de las viviendas que se ejecuten en el marco </w:t>
      </w:r>
      <w:proofErr w:type="gramStart"/>
      <w:r w:rsidRPr="009342F9">
        <w:rPr>
          <w:rFonts w:ascii="Arial" w:eastAsia="Times New Roman" w:hAnsi="Arial" w:cs="Arial"/>
          <w:color w:val="000000"/>
          <w:lang w:eastAsia="es-CO"/>
        </w:rPr>
        <w:t>del mismo</w:t>
      </w:r>
      <w:proofErr w:type="gramEnd"/>
      <w:r w:rsidRPr="009342F9">
        <w:rPr>
          <w:rFonts w:ascii="Arial" w:eastAsia="Times New Roman" w:hAnsi="Arial" w:cs="Arial"/>
          <w:color w:val="000000"/>
          <w:lang w:eastAsia="es-CO"/>
        </w:rPr>
        <w:t xml:space="preserve"> no serán acreedores de ninguno de los beneficios a los que se refiere la presente sección. En este caso, los hogares que hayan suscrito promesas de compraventa con los </w:t>
      </w:r>
      <w:proofErr w:type="gramStart"/>
      <w:r w:rsidRPr="009342F9">
        <w:rPr>
          <w:rFonts w:ascii="Arial" w:eastAsia="Times New Roman" w:hAnsi="Arial" w:cs="Arial"/>
          <w:color w:val="000000"/>
          <w:lang w:eastAsia="es-CO"/>
        </w:rPr>
        <w:t>oferentes,</w:t>
      </w:r>
      <w:proofErr w:type="gramEnd"/>
      <w:r w:rsidRPr="009342F9">
        <w:rPr>
          <w:rFonts w:ascii="Arial" w:eastAsia="Times New Roman" w:hAnsi="Arial" w:cs="Arial"/>
          <w:color w:val="000000"/>
          <w:lang w:eastAsia="es-CO"/>
        </w:rPr>
        <w:t xml:space="preserve"> podrán acudir a los mecanismos establecidos en la ley para el </w:t>
      </w:r>
      <w:r w:rsidRPr="009342F9">
        <w:rPr>
          <w:rFonts w:ascii="Arial" w:eastAsia="Times New Roman" w:hAnsi="Arial" w:cs="Arial"/>
          <w:color w:val="000000"/>
          <w:lang w:eastAsia="es-CO"/>
        </w:rPr>
        <w:lastRenderedPageBreak/>
        <w:t>cobro de las sumas contractuales a que haya lugar y para la recuperación del ahorro que se haya girado con destino al proyecto. </w:t>
      </w:r>
    </w:p>
    <w:p w14:paraId="58B2D00D" w14:textId="77777777" w:rsidR="00CC325A" w:rsidRPr="009342F9" w:rsidRDefault="00CC325A" w:rsidP="00FC79C1">
      <w:pPr>
        <w:spacing w:after="0" w:line="240" w:lineRule="auto"/>
        <w:jc w:val="both"/>
        <w:rPr>
          <w:rFonts w:ascii="Arial" w:eastAsia="Times New Roman" w:hAnsi="Arial" w:cs="Arial"/>
          <w:color w:val="000000"/>
          <w:lang w:eastAsia="es-CO"/>
        </w:rPr>
      </w:pPr>
    </w:p>
    <w:p w14:paraId="4E2BEAA9" w14:textId="10845C2C" w:rsidR="005A1FCF"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479" w:name="ver_30071031"/>
      <w:bookmarkEnd w:id="479"/>
    </w:p>
    <w:p w14:paraId="6281FB71" w14:textId="226D1784" w:rsidR="00FC79C1" w:rsidRPr="009342F9" w:rsidRDefault="00FC79C1" w:rsidP="005A1FCF">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SUBSECCIÓN 5</w:t>
      </w:r>
    </w:p>
    <w:p w14:paraId="2F97FC9D" w14:textId="77777777" w:rsidR="00FC79C1" w:rsidRPr="009342F9" w:rsidRDefault="00FC79C1" w:rsidP="005A1FCF">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PROCEDIMIENTO PARA LA ASIGNACIÓN DEL SUBSIDIO OTORGADO EN EL MARCO DEL PROGRAMA QUE SE DESARROLLE A TRAVÉS DEL PATRIMONIO AUTÓNOMO</w:t>
      </w:r>
    </w:p>
    <w:p w14:paraId="74C2CF59"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480" w:name="ver_30071032"/>
      <w:bookmarkEnd w:id="480"/>
    </w:p>
    <w:p w14:paraId="7099920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2.1.1.3.1.5.1. Condiciones y requisitos para el acceso al subsidio familiar de vivienda. El patrimonio autónomo remitirá al representante de las Cajas de Compensación Familiar que se indique en el contrato de fiducia mercantil, el listado de los hogares propuestos por los oferentes de los proyectos seleccionados, para que se realice la verificación del cumplimiento de las condiciones establecidas en el artículo 2.1.1.3.1.3.1 de la presente sección. </w:t>
      </w:r>
    </w:p>
    <w:p w14:paraId="4E82EFD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0376C2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FONVIVIENDA podrá solicitar al patrimonio autónomo el listado antes mencionado y/o sus anexos y tendrá la facultad de revisar en cualquier momento la consistencia y/o veracidad de la información suministrada. En todos los casos, los oferentes de los proyectos deberán suministrar al patrimonio autónomo, junto con el listado al que se refiere el presente artículo, como mínimo la siguiente información: </w:t>
      </w:r>
    </w:p>
    <w:p w14:paraId="393D3A0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CE9312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 Un formulario de postulación establecido por FONVIVIENDA, debidamente diligenciado y suscrito por uno o varios miembros mayores de edad del hogar postulante, o el tutor o curador, según el caso, que señale los datos de los miembros que conforman el hogar, con indicación de su información socioeconómica y la identificación del jefe del hogar; </w:t>
      </w:r>
    </w:p>
    <w:p w14:paraId="190EBD7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5876F7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b) La identificación, por parte de quien suscriba el formulario de postulación, del proyecto de vivienda en donde aplicaría el subsidio familiar de vivienda en caso de ser otorgado en su favor. En todo caso, quien suscriba el formulario de postulación deberá manifestar que ninguno de los miembros del hogar se ha postulado para ser beneficiario en otro proyecto de vivienda de interés prioritario que haya sido seleccionado en el marco del programa a que se refiere la presente sección; </w:t>
      </w:r>
    </w:p>
    <w:p w14:paraId="17CB53D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E5D0AE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 Registro civil de matrimonio o declaración de la existencia de la unión marital de hecho, realizada de conformidad con lo establecido en la Ley 979 de 2005, cuando fuere el caso; </w:t>
      </w:r>
    </w:p>
    <w:p w14:paraId="0277C33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788EE8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d) Fotocopia de la cédula de ciudadanía de los mayores de 18 años y registro civil de nacimiento de los demás miembros del hogar que se postula; </w:t>
      </w:r>
    </w:p>
    <w:p w14:paraId="6B33407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83D893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 Carta de preaprobación de crédito por el valor correspondiente a los recursos faltantes para acceder a la solución de vivienda a adquirir, si fuere el caso, de acuerdo con lo establecido en la presente sección; </w:t>
      </w:r>
    </w:p>
    <w:p w14:paraId="5BC52D3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663651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f) La autorización de quien suscriba el formulario de postulación, para que en el evento de resultar beneficiario el hogar del subsidio al que hace referencia la presente sección, los recursos se giren al oferente en los plazos y condiciones señalados en los términos de referencia de los procesos de selección; </w:t>
      </w:r>
    </w:p>
    <w:p w14:paraId="1E2A680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BE6406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g) En caso de ser beneficiario de un subsidio familiar de vivienda para adquisición de vivienda urbana nueva, otorgado por una Caja de Compensación Familiar en cualquier tiempo, o por FONVIVIENDA con anterioridad a la </w:t>
      </w:r>
      <w:proofErr w:type="gramStart"/>
      <w:r w:rsidRPr="009342F9">
        <w:rPr>
          <w:rFonts w:ascii="Arial" w:eastAsia="Times New Roman" w:hAnsi="Arial" w:cs="Arial"/>
          <w:color w:val="000000"/>
          <w:lang w:eastAsia="es-CO"/>
        </w:rPr>
        <w:t>entrada en vigencia</w:t>
      </w:r>
      <w:proofErr w:type="gramEnd"/>
      <w:r w:rsidRPr="009342F9">
        <w:rPr>
          <w:rFonts w:ascii="Arial" w:eastAsia="Times New Roman" w:hAnsi="Arial" w:cs="Arial"/>
          <w:color w:val="000000"/>
          <w:lang w:eastAsia="es-CO"/>
        </w:rPr>
        <w:t xml:space="preserve"> de la presente sección, la autorización </w:t>
      </w:r>
      <w:r w:rsidRPr="009342F9">
        <w:rPr>
          <w:rFonts w:ascii="Arial" w:eastAsia="Times New Roman" w:hAnsi="Arial" w:cs="Arial"/>
          <w:color w:val="000000"/>
          <w:lang w:eastAsia="es-CO"/>
        </w:rPr>
        <w:lastRenderedPageBreak/>
        <w:t xml:space="preserve">del jefe del hogar beneficiario del subsidio, para que el mismo sea girado al patrimonio autónomo o al </w:t>
      </w:r>
      <w:proofErr w:type="spellStart"/>
      <w:r w:rsidRPr="009342F9">
        <w:rPr>
          <w:rFonts w:ascii="Arial" w:eastAsia="Times New Roman" w:hAnsi="Arial" w:cs="Arial"/>
          <w:color w:val="000000"/>
          <w:lang w:eastAsia="es-CO"/>
        </w:rPr>
        <w:t>Fovis</w:t>
      </w:r>
      <w:proofErr w:type="spellEnd"/>
      <w:r w:rsidRPr="009342F9">
        <w:rPr>
          <w:rFonts w:ascii="Arial" w:eastAsia="Times New Roman" w:hAnsi="Arial" w:cs="Arial"/>
          <w:color w:val="000000"/>
          <w:lang w:eastAsia="es-CO"/>
        </w:rPr>
        <w:t xml:space="preserve"> de la Caja respectiva, según sea el caso. </w:t>
      </w:r>
    </w:p>
    <w:p w14:paraId="2B421B3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21AFEB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Se podrá entregar, junto con los documentos antes mencionados, aquel que acredite la existencia del ahorro del hogar, en los porcentajes y modalidades a que se refiere la presente sección. La acreditación se sujetará a lo establecido por el artículo 2.1.1.1.1.3.2.3 del presente decreto o las normas que lo modifiquen, adicionen o sustituyan y a las condiciones que defina el patrimonio autónomo. </w:t>
      </w:r>
    </w:p>
    <w:p w14:paraId="00AACEB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3C8C4E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Se incluirá en el formulario la declaración juramentada de quienes lo suscriban, que se entenderá surtida con la firma del mismo, en la que se manifieste que el hogar cumple con las condiciones para ser beneficiario del programa a que se refiere la presente sección, que sus miembros no están incursos en inhabilidades para postularse y que los datos suministrados son ciertos, así como la autorización para verificar la información suministrada y la aceptación para ser excluido del proceso de selección en caso de verificarse que la información aportada no corresponda a la verdad. </w:t>
      </w:r>
    </w:p>
    <w:p w14:paraId="3835BE6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0D5A85C" w14:textId="40D0B3A4" w:rsidR="00FC79C1"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Los hogares deberán mantener las condiciones y requisitos para el acceso al subsidio familiar de vivienda desde la entrega por parte del oferente al patrimonio autónomo, del listado a que hace referencia este artículo, hasta el momento de la asignación del subsidio familiar de vivienda. </w:t>
      </w:r>
    </w:p>
    <w:p w14:paraId="21886223" w14:textId="77777777" w:rsidR="00D25E1B" w:rsidRPr="009342F9" w:rsidRDefault="00D25E1B" w:rsidP="00FC79C1">
      <w:pPr>
        <w:spacing w:after="0" w:line="240" w:lineRule="auto"/>
        <w:jc w:val="both"/>
        <w:rPr>
          <w:rFonts w:ascii="Arial" w:eastAsia="Times New Roman" w:hAnsi="Arial" w:cs="Arial"/>
          <w:color w:val="000000"/>
          <w:lang w:eastAsia="es-CO"/>
        </w:rPr>
      </w:pPr>
    </w:p>
    <w:p w14:paraId="1FA878B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Será responsabilidad de los miembros mayores de edad de los hogares, o el curador o tutor, según el caso, informar al oferente de los proyectos cualquier hecho que modifique de alguna manera las condiciones que le permiten ser beneficiario del programa al que se refiere la presente sección. En todo caso, todos los miembros del hogar indicados en el formulario de </w:t>
      </w:r>
      <w:proofErr w:type="gramStart"/>
      <w:r w:rsidRPr="009342F9">
        <w:rPr>
          <w:rFonts w:ascii="Arial" w:eastAsia="Times New Roman" w:hAnsi="Arial" w:cs="Arial"/>
          <w:color w:val="000000"/>
          <w:lang w:eastAsia="es-CO"/>
        </w:rPr>
        <w:t>postulación,</w:t>
      </w:r>
      <w:proofErr w:type="gramEnd"/>
      <w:r w:rsidRPr="009342F9">
        <w:rPr>
          <w:rFonts w:ascii="Arial" w:eastAsia="Times New Roman" w:hAnsi="Arial" w:cs="Arial"/>
          <w:color w:val="000000"/>
          <w:lang w:eastAsia="es-CO"/>
        </w:rPr>
        <w:t xml:space="preserve"> serán beneficiarios del subsidio familiar de vivienda, para todos los efectos. </w:t>
      </w:r>
    </w:p>
    <w:p w14:paraId="1D2AB24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A0752C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Los oferentes que tengan conocimiento, por cualquier medio y en cualquier momento, de la modificación de las condiciones de alguno de los hogares que hayan presentado dentro de los listados, o de que el hogar no cumple las condiciones señaladas para ser beneficiario del programa, tendrá la obligación de informarlo al patrimonio autónomo. </w:t>
      </w:r>
    </w:p>
    <w:p w14:paraId="49716345" w14:textId="409010E1"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481" w:name="ver_30071035"/>
      <w:bookmarkEnd w:id="481"/>
    </w:p>
    <w:p w14:paraId="1DFA3CB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2.1.1.3.1.5.2. Revisión de la información. Las entidades otorgantes del subsidio o quienes estas indiquen tendrán la facultad de revisar en cualquier momento la consistencia de la información suministrada en el listado aportado por el oferente de los proyectos o en sus anexos. Si se determina que existe imprecisión en los datos entregados por el oferente del proyecto y/o en los documentos que lo acompañan, o en las condiciones o requisitos del hogar, se solicitará al oferente </w:t>
      </w:r>
      <w:proofErr w:type="gramStart"/>
      <w:r w:rsidRPr="009342F9">
        <w:rPr>
          <w:rFonts w:ascii="Arial" w:eastAsia="Times New Roman" w:hAnsi="Arial" w:cs="Arial"/>
          <w:color w:val="000000"/>
          <w:lang w:eastAsia="es-CO"/>
        </w:rPr>
        <w:t>que</w:t>
      </w:r>
      <w:proofErr w:type="gramEnd"/>
      <w:r w:rsidRPr="009342F9">
        <w:rPr>
          <w:rFonts w:ascii="Arial" w:eastAsia="Times New Roman" w:hAnsi="Arial" w:cs="Arial"/>
          <w:color w:val="000000"/>
          <w:lang w:eastAsia="es-CO"/>
        </w:rPr>
        <w:t xml:space="preserve"> dentro de los plazos establecidos en los términos de referencia del proceso de selección respectivo, o los otorgados por los órganos competentes del patrimonio autónomo, emita las aclaraciones del caso. Si dentro del plazo establecido no se subsanan las imprecisiones o se aclaran las presuntas irregularidades que se presenten, se rechazarán los hogares respecto de los cuales se hayan advertido las inconsistencias. </w:t>
      </w:r>
    </w:p>
    <w:p w14:paraId="34545B80" w14:textId="281D012F"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482" w:name="ver_30071076"/>
      <w:bookmarkEnd w:id="482"/>
    </w:p>
    <w:p w14:paraId="23471BB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2.1.1.3.1.5.3. Falsedad o imprecisión en la información presentada. Si se adviene la presencia de presunta falsedad o imprecisión en la documentación o información presentada para acreditar los requisitos para ser beneficiario del subsidio familiar de vivienda, se solicitará al hogar y/o al oferente que dentro de los quince (15) días hábiles siguientes emita las aclaraciones del caso. Si dentro del plazo establecido no se aclaran las imprecisiones o se controvierte la presunta falsedad, habrá lugar a la restitución del subsidio familiar de vivienda otorgado, el cual se calculará al valor del salario mínimo legal mensual vigente al momento de su restitución, de </w:t>
      </w:r>
      <w:r w:rsidRPr="009342F9">
        <w:rPr>
          <w:rFonts w:ascii="Arial" w:eastAsia="Times New Roman" w:hAnsi="Arial" w:cs="Arial"/>
          <w:color w:val="000000"/>
          <w:lang w:eastAsia="es-CO"/>
        </w:rPr>
        <w:lastRenderedPageBreak/>
        <w:t>acuerdo con lo establecido en el inciso segundo del artículo 8° de la Ley 3ª de 1991, modificado por el artículo 21 de la Ley 1537 de 2012. </w:t>
      </w:r>
    </w:p>
    <w:p w14:paraId="79FDEEC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DBE18D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Si se comprueba la falsedad o la existencia de imprecisiones, de acuerdo con lo establecido en el presente artículo, con posterioridad a la asignación del subsidio, sin que se haya transferido la vivienda respectiva, se modificará el acto de asignación en el sentido de excluir el hogar respecto del cual se comprobó falsedad o existencia de imprecisiones y se solicitará al oferente proponer un nuevo hogar que cumpla con las condiciones establecidas en la presente sección. </w:t>
      </w:r>
    </w:p>
    <w:p w14:paraId="20CBD42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69608F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cualquiera de los casos señalados en este artículo, ninguno de los miembros mayores de edad del hogar respecto del cual se adviertan las inconsistencias, podrá solicitar de nuevo un subsidio familiar de vivienda durante un término de diez (10) años, de conformidad con lo estipulado en el artículo 30 de la Ley 3ª de 1991. Adicionalmente, cuando se presenten los eventos señalados en el parágrafo 2° del artículo 8° de la Ley 3ª de 1991, modificado por el artículo 21 de la Ley 1537 de 2012, FONVIVIENDA o el patrimonio autónomo respectivo, dará traslado de las actuaciones realizadas a la Fiscalía General de la Nación, para que se inicien las investigaciones a que haya lugar. </w:t>
      </w:r>
    </w:p>
    <w:p w14:paraId="04E4070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AEDD8E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En todo caso, los listados contentivos de los hogares propuestos por el oferente de los proyectos seleccionados, para ser beneficiarios del programa a que hace referencia la presente sección, deberán ser presentados dentro de los plazos que se establezcan en los respectivos términos de referencia del proceso de selección, so pena de que pierda vigencia el certificado de compromiso de los recursos al que hace referencia el literal f) del artículo 2.1.1.3.1.1.6 de la presente sección y la instrucción irrevocable mencionada en el parágrafo del mismo artículo. </w:t>
      </w:r>
    </w:p>
    <w:p w14:paraId="198E75E3" w14:textId="519E7EE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483" w:name="ver_30071084"/>
      <w:bookmarkEnd w:id="483"/>
    </w:p>
    <w:p w14:paraId="094D49C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2.1.1.3.1.5.4. Sustitución de hogares. Las Cajas de Compensación Familiar o FONVIVIENDA, cuando hagan uso de la facultad contemplada en el artículo 2.1.1.3.1.5.2 de la presente sección, una vez verificada la información, devolverán al patrimonio autónomo el listado de los hogares que presenten alguna de las siguientes condiciones, para que solicite su sustitución al oferente de los proyectos: </w:t>
      </w:r>
    </w:p>
    <w:p w14:paraId="75150A1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332407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 Cuando alguno de los miembros del hogar propuesto haya sido beneficiario de un subsidio familiar de vivienda con el cual haya adquirido una vivienda o construido una solución habitacional, aun cuando la vivienda haya sido transferida, es decir, cuando el subsidio familiar de vivienda haya sido efectivamente aplicado en una solución de vivienda; </w:t>
      </w:r>
    </w:p>
    <w:p w14:paraId="79E11E1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C4BCC3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b) Cuando alguno de los miembros del hogar propuesto haya sido beneficiario de una cobertura de la tasa de interés; </w:t>
      </w:r>
    </w:p>
    <w:p w14:paraId="12E64A0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7B1AAA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 Cuando alguno de los miembros del hogar propuesto sea propietario de una o más viviendas; </w:t>
      </w:r>
    </w:p>
    <w:p w14:paraId="65EDB66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B7B0AB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d) Cuando alguno de los miembros del hogar propuesto haya sido sancionado conforme a lo dispuesto por el artículo 30 de la Ley 3ª de 1991 o las normas que la modifiquen, adicionen o sustituyan. </w:t>
      </w:r>
    </w:p>
    <w:p w14:paraId="6A57205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B8182C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1°. Las causales señaladas en los literales a) y c) no aplicarán cuando el beneficiario haya perdido la vivienda por imposibilidad de pago del crédito con el cual la adquirió, ni cuando la vivienda haya resultado totalmente destruida o quedado inhabitable como consecuencia de desastres naturales, calamidades públicas, emergencias, o atentados terroristas. </w:t>
      </w:r>
    </w:p>
    <w:p w14:paraId="2283C55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43696C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Parágrafo 2°. En todo caso, la sustitución de hogares a que se refiere el presente artículo deberá realizarse dentro de los plazos establecidos en los términos de referencia o en los cronogramas aprobados por el supervisor del proyecto y/o el Comité Técnico del Fideicomiso. </w:t>
      </w:r>
    </w:p>
    <w:p w14:paraId="1EB40EB2" w14:textId="0C31027A"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484" w:name="ver_30071088"/>
      <w:bookmarkEnd w:id="484"/>
    </w:p>
    <w:p w14:paraId="7CA48CE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2.1.1.3.1.5.5. Criterios de desembolso. Cuando se determinen los hogares beneficiarios de cada uno de los proyectos, una vez surtido el proceso de verificación de los listados aportados por los oferentes, el patrimonio autónomo realizará los desembolsos teniendo en cuenta los siguientes criterios: </w:t>
      </w:r>
    </w:p>
    <w:p w14:paraId="4FBEED6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AA7A20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 Los recursos provenientes de las Cajas de Compensación Familiar se otorgarán de acuerdo con las prioridades señaladas en el artículo 68 de la Ley 49 de 1990; </w:t>
      </w:r>
    </w:p>
    <w:p w14:paraId="3C00A7B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02DD20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b) Los recursos provenientes de FONVIVIENDA se asignarán de manera prioritaria a los hogares independientes o informales que cumplan con las condiciones señaladas en la presente sección. Cuando los recursos a los que hace referencia el literal a) no sean suficientes para cubrir los subsidios destinados a hogares formales, estos podrán ser cubiertos por FONVIVIENDA. </w:t>
      </w:r>
    </w:p>
    <w:p w14:paraId="78DFD84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E79AF7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Parágrafo. Para efectos de la asignación y desembolso de los recursos del subsidio familiar de vivienda otorgado por las Cajas de Compensación Familiar, el representante de </w:t>
      </w:r>
      <w:proofErr w:type="gramStart"/>
      <w:r w:rsidRPr="009342F9">
        <w:rPr>
          <w:rFonts w:ascii="Arial" w:eastAsia="Times New Roman" w:hAnsi="Arial" w:cs="Arial"/>
          <w:color w:val="000000"/>
          <w:lang w:eastAsia="es-CO"/>
        </w:rPr>
        <w:t>las mismas</w:t>
      </w:r>
      <w:proofErr w:type="gramEnd"/>
      <w:r w:rsidRPr="009342F9">
        <w:rPr>
          <w:rFonts w:ascii="Arial" w:eastAsia="Times New Roman" w:hAnsi="Arial" w:cs="Arial"/>
          <w:color w:val="000000"/>
          <w:lang w:eastAsia="es-CO"/>
        </w:rPr>
        <w:t xml:space="preserve"> ante el Comité Financiero indicará los montos que deben descontarse de cada una de las subcuentas de las Cajas de Compensación Familiar, para ser desembolsados a cada oferente. El representante de FONVIVIENDA ante el mismo Comité indicará, con fundamento en el informe presentado por el representante de las Cajas de Compensación Familiar, cuál es </w:t>
      </w:r>
      <w:proofErr w:type="gramStart"/>
      <w:r w:rsidRPr="009342F9">
        <w:rPr>
          <w:rFonts w:ascii="Arial" w:eastAsia="Times New Roman" w:hAnsi="Arial" w:cs="Arial"/>
          <w:color w:val="000000"/>
          <w:lang w:eastAsia="es-CO"/>
        </w:rPr>
        <w:t>el monto a descontar</w:t>
      </w:r>
      <w:proofErr w:type="gramEnd"/>
      <w:r w:rsidRPr="009342F9">
        <w:rPr>
          <w:rFonts w:ascii="Arial" w:eastAsia="Times New Roman" w:hAnsi="Arial" w:cs="Arial"/>
          <w:color w:val="000000"/>
          <w:lang w:eastAsia="es-CO"/>
        </w:rPr>
        <w:t xml:space="preserve"> de la subcuenta de los recursos de FONVIVIENDA. </w:t>
      </w:r>
    </w:p>
    <w:p w14:paraId="31556386" w14:textId="3E5281E4"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485" w:name="ver_30071091"/>
      <w:bookmarkEnd w:id="485"/>
    </w:p>
    <w:p w14:paraId="33D7E03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2.1.1.3.1.5.6. Obligaciones de las cajas de compensación familiar. Las Cajas de Compensación Familiar deberán: </w:t>
      </w:r>
    </w:p>
    <w:p w14:paraId="7BC0DA2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07E951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 Apropiar los recursos de los subsidios a los que hace referencia la presente sección y girarlos de acuerdo con lo señalado en el mismo y en el contrato de fiducia mercantil; </w:t>
      </w:r>
    </w:p>
    <w:p w14:paraId="032960F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57937D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b) Apoyar a los oferentes en la promoción y/o venta de los proyectos seleccionados, cuando aquellos lo soliciten; </w:t>
      </w:r>
    </w:p>
    <w:p w14:paraId="765F628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454EEA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 Verificar la información presentada por los hogares propuestos por el oferente de los proyectos e informar el resultado al patrimonio autónomo; </w:t>
      </w:r>
    </w:p>
    <w:p w14:paraId="09553DE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633FB8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d) Asignar los subsidios familiares de vivienda que deban ser otorgados con cargo a sus recursos. </w:t>
      </w:r>
    </w:p>
    <w:p w14:paraId="6263204A" w14:textId="4DB9CE7F"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486" w:name="ver_30071095"/>
      <w:bookmarkEnd w:id="486"/>
    </w:p>
    <w:p w14:paraId="0FDA927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2.1.1.3.1.5.7. Comunicación de verificación de listados. El patrimonio autónomo comunicará al oferente de los proyectos el resultado de la verificación de los listados, así como la fecha de expedición del acto de asignación de los subsidios por parte de la entidad otorgante, para que el oferente informe dicho resultado a los beneficiarios. Respecto de aquellos hogares que, de acuerdo con el resultado del proceso de verificación, no cumplan los requisitos establecidos en la sección, el oferente podrá presentar observaciones tendientes a acreditar su cumplimiento, únicamente dentro de los términos definidos por el patrimonio autónomo. </w:t>
      </w:r>
    </w:p>
    <w:p w14:paraId="4F30F7E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4A3469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El desembolso del subsidio familiar de vivienda estará condicionado a que el hogar potencialmente beneficiario cumpla con las demás condiciones requeridas para el cierre financiero necesario para la adquisición de la vivienda y a que el oferente del proyecto cumpla </w:t>
      </w:r>
      <w:r w:rsidRPr="009342F9">
        <w:rPr>
          <w:rFonts w:ascii="Arial" w:eastAsia="Times New Roman" w:hAnsi="Arial" w:cs="Arial"/>
          <w:color w:val="000000"/>
          <w:lang w:eastAsia="es-CO"/>
        </w:rPr>
        <w:lastRenderedPageBreak/>
        <w:t>con las condiciones y los plazos definidos en los términos de referencia del proceso de selección o en los cronogramas aprobados por el supervisor de los proyectos y/o por el Comité Técnico del Fideicomiso. </w:t>
      </w:r>
    </w:p>
    <w:p w14:paraId="64E9CF1F" w14:textId="2725F3B9"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487" w:name="ver_30071103"/>
      <w:bookmarkEnd w:id="487"/>
    </w:p>
    <w:p w14:paraId="78BBBDD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2.1.1.3.1.5.8. Solicitud de investigación. Cuando se compruebe que se recibió el beneficio del subsidio familiar de vivienda de manera fraudulenta o utilizando documentos falsos, se solicitará a la autoridad competente el inicio de una investigación por el delito de Fraude en Subvenciones señalado en el artículo 403 A de la Ley 599 de 2000 y en el parágrafo 2° del artículo 21 de la Ley 1537 de 2012. </w:t>
      </w:r>
    </w:p>
    <w:p w14:paraId="556FACD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845863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Los beneficiarios que por sentencia ejecutoriada hubiesen sido condenados por haber presentado documentos o información falsos con el objeto de acceder a un subsidio familiar de vivienda, quedarán inhabilitados por el término de diez (10) años para volver a solicitarlo. </w:t>
      </w:r>
    </w:p>
    <w:p w14:paraId="0B9A4798" w14:textId="66FB9E52"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488" w:name="ver_30110582"/>
      <w:bookmarkStart w:id="489" w:name="ver_30110580"/>
      <w:bookmarkEnd w:id="488"/>
    </w:p>
    <w:p w14:paraId="38B93C6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2.1.1.3.1.5.9. Legalización del subsidio familiar de vivienda. El subsidio familiar de vivienda de que trata el artículo 2.1.1.3.1.2.1 de la presente sección, se entenderá legalizado con los siguientes documentos: </w:t>
      </w:r>
    </w:p>
    <w:p w14:paraId="354F1F6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773653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Copia de la escritura pública contentiva del título de adquisición del inmueble y el certificado de tradición y libertad del inmueble, con una vigencia no mayor a treinta (30) días, que permitan evidenciar la adquisición de la vivienda por el hogar beneficiario. En todo caso, el oferente será responsable por el desarrollo de las actividades necesarias para la debida inscripción de la escritura pública en el folio de matrícula inmobiliaria correspondiente. </w:t>
      </w:r>
    </w:p>
    <w:p w14:paraId="60FDCEE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3F8814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Copia del documento que acredita la asignación del subsidio familiar de vivienda. </w:t>
      </w:r>
    </w:p>
    <w:p w14:paraId="6F83CA6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DF8637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Certificado de existencia de la vivienda, emitido por el supervisor que designe o contrate el patrimonio autónomo al que se refiere la presente sección”. </w:t>
      </w:r>
    </w:p>
    <w:p w14:paraId="2D0D109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64A90A0" w14:textId="77777777" w:rsidR="00FC79C1" w:rsidRPr="009342F9" w:rsidRDefault="00FC79C1" w:rsidP="005A1FCF">
      <w:pPr>
        <w:spacing w:after="0" w:line="240" w:lineRule="auto"/>
        <w:jc w:val="center"/>
        <w:rPr>
          <w:rFonts w:ascii="Arial" w:eastAsia="Times New Roman" w:hAnsi="Arial" w:cs="Arial"/>
          <w:b/>
          <w:bCs/>
          <w:color w:val="000000"/>
          <w:lang w:eastAsia="es-CO"/>
        </w:rPr>
      </w:pPr>
      <w:bookmarkStart w:id="490" w:name="ver_30071230"/>
      <w:bookmarkEnd w:id="489"/>
      <w:bookmarkEnd w:id="490"/>
      <w:r w:rsidRPr="009342F9">
        <w:rPr>
          <w:rFonts w:ascii="Arial" w:eastAsia="Times New Roman" w:hAnsi="Arial" w:cs="Arial"/>
          <w:b/>
          <w:bCs/>
          <w:color w:val="000000"/>
          <w:lang w:eastAsia="es-CO"/>
        </w:rPr>
        <w:t>SUBSECCIÓN 6</w:t>
      </w:r>
    </w:p>
    <w:p w14:paraId="259B3BA5" w14:textId="77777777" w:rsidR="00FC79C1" w:rsidRPr="009342F9" w:rsidRDefault="00FC79C1" w:rsidP="005A1FCF">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OTRAS DISPOSICIONES</w:t>
      </w:r>
    </w:p>
    <w:p w14:paraId="4F4BE39C"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491" w:name="ver_30071234"/>
      <w:bookmarkEnd w:id="491"/>
    </w:p>
    <w:p w14:paraId="2D67BA2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2.1.1.3.1.6.1. Restitución del valor del subsidio familiar de vivienda. Cuando los beneficiarios del programa al que se refiere esta sección transfieran cualquier derecho real sobre la solución de vivienda o dejen de residir en ella antes de haber transcurrido diez (10) años desde la fecha de su transferencia, sin mediar permiso específico fundamentado en razones de fuerza mayor, en los términos a que se refiere el artículo 8° de la Ley 3ª de 1991, modificado por el artículo 21 de la Ley 1537 de 2012, previo desarrollo del procedimiento a que haya lugar, deberán girar a la cuenta que indique la entidad otorgante el monto de los subsidios asignados. Dicha entidad podrá iniciar las acciones judiciales o extrajudiciales tendientes a la recuperación efectiva de dichos recursos. </w:t>
      </w:r>
    </w:p>
    <w:p w14:paraId="7F5C516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3AB352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La disposición contenida en el presente artículo no impide la posibilidad para el beneficiario del subsidio, de constituir de acuerdo con las normas vigentes, una hipoteca a favor de la entidad otorgante del crédito requerido para lograr el cierre financiero de la vivienda. </w:t>
      </w:r>
    </w:p>
    <w:p w14:paraId="7CB18D85" w14:textId="357D6089"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492" w:name="ver_30071243"/>
      <w:bookmarkEnd w:id="492"/>
    </w:p>
    <w:p w14:paraId="428F1FC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2.1.1.3.1.6.2. Apropiación y compromisos de recursos del presupuesto nacional. Los recursos que destine el Gobierno Nacional para el desarrollo del programa al que hace referencia la presente sección, serán apropiados en el Presupuesto General de la Nación a través de FONVIVIENDA o quien haga sus veces, y serán comprometidos con cargo a su presupuesto de inversión. La apropiación de estos recursos deberá guardar concordancia con la disponibilidad </w:t>
      </w:r>
      <w:r w:rsidRPr="009342F9">
        <w:rPr>
          <w:rFonts w:ascii="Arial" w:eastAsia="Times New Roman" w:hAnsi="Arial" w:cs="Arial"/>
          <w:color w:val="000000"/>
          <w:lang w:eastAsia="es-CO"/>
        </w:rPr>
        <w:lastRenderedPageBreak/>
        <w:t>fiscal establecida tanto en el Marco de Gasto de Mediano Plazo del sector, como en el Marco Fiscal de Mediano Plazo. </w:t>
      </w:r>
    </w:p>
    <w:p w14:paraId="03E4CDB9" w14:textId="5E9FE844" w:rsidR="005A1FCF"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493" w:name="ver_30071244"/>
      <w:bookmarkEnd w:id="493"/>
    </w:p>
    <w:p w14:paraId="281FC2AE" w14:textId="77777777" w:rsidR="00847FA1" w:rsidRPr="009342F9" w:rsidRDefault="00847FA1" w:rsidP="00FC79C1">
      <w:pPr>
        <w:spacing w:after="0" w:line="240" w:lineRule="auto"/>
        <w:jc w:val="both"/>
        <w:rPr>
          <w:rFonts w:ascii="Arial" w:eastAsia="Times New Roman" w:hAnsi="Arial" w:cs="Arial"/>
          <w:color w:val="000000"/>
          <w:lang w:eastAsia="es-CO"/>
        </w:rPr>
      </w:pPr>
    </w:p>
    <w:p w14:paraId="74C3A44F" w14:textId="05D628B8" w:rsidR="00FC79C1" w:rsidRPr="009342F9" w:rsidRDefault="00FC79C1" w:rsidP="005A1FCF">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SECCIÓN 2</w:t>
      </w:r>
    </w:p>
    <w:p w14:paraId="10836E5A" w14:textId="77777777" w:rsidR="00FC79C1" w:rsidRPr="009342F9" w:rsidRDefault="00FC79C1" w:rsidP="005A1FCF">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COFINANCIACIÓN AL PROGRAMA DE VIVIENDA DE INTERÉS PRIORITARIO PARA AHORRADORES CON RECURSOS DEL SISTEMA GENERAL DE REGALÍAS</w:t>
      </w:r>
    </w:p>
    <w:p w14:paraId="1D2D2BB8"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494" w:name="ver_30071246"/>
      <w:bookmarkEnd w:id="494"/>
    </w:p>
    <w:p w14:paraId="68F2EE1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2.1.1.3.2.1. Proyectos de inversión con recursos del Sistema General de Regalías. Las Entidades Territoriales interesadas en presentar proyectos de inversión en los procesos de selección en los cuales tengan la posibilidad de ser oferentes, que se adelanten en el marco del Programa de Vivienda de Interés Prioritario para Ahorradores, y que pretendan acceder a los recursos del Sistema General de Regalías, deben someterse a lo establecido en la sección 2.1.1.3.1 del presente decreto y a los procedimientos establecidos y los que se señalen por las autoridades competentes del Sistema General de Regalías. </w:t>
      </w:r>
    </w:p>
    <w:p w14:paraId="028A6DEE" w14:textId="0D9E49F4"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495" w:name="ver_30071248"/>
      <w:bookmarkEnd w:id="495"/>
    </w:p>
    <w:p w14:paraId="13A7F2D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2.1.1.3.2.2. Acuerdo de aprobación. Los proyectos de inversión que se oferten al patrimonio autónomo a que se refiere la sección 2.1.1.3.1 del presente decreto, por los proponentes que tengan dentro de sus miembros a una entidad territorial y que incluyan como fuente de financiación recursos del Sistema General de Regalías, deben presentar como soporte de esta fuente el respectivo acuerdo de aprobación del Órgano Colegiado de Administración y Decisión - OCAD, de conformidad con las normas que rigen el mencionado Sistema. </w:t>
      </w:r>
    </w:p>
    <w:p w14:paraId="2D1B0DF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1F3F65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todo caso, los proyectos de inversión que se oferten al patrimonio autónomo, en las condiciones establecidas en este artículo, deben someterse a los términos de referencia del respectivo proceso de selección que adelante el patrimonio autónomo señalado en la sección 2.1.1.3.1 del presente decreto. </w:t>
      </w:r>
    </w:p>
    <w:p w14:paraId="073DCB7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8B22FC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La aprobación de recursos del Sistema General de Regalías para un determinado proyecto de inversión no implica la selección </w:t>
      </w:r>
      <w:proofErr w:type="gramStart"/>
      <w:r w:rsidRPr="009342F9">
        <w:rPr>
          <w:rFonts w:ascii="Arial" w:eastAsia="Times New Roman" w:hAnsi="Arial" w:cs="Arial"/>
          <w:color w:val="000000"/>
          <w:lang w:eastAsia="es-CO"/>
        </w:rPr>
        <w:t>del mismo</w:t>
      </w:r>
      <w:proofErr w:type="gramEnd"/>
      <w:r w:rsidRPr="009342F9">
        <w:rPr>
          <w:rFonts w:ascii="Arial" w:eastAsia="Times New Roman" w:hAnsi="Arial" w:cs="Arial"/>
          <w:color w:val="000000"/>
          <w:lang w:eastAsia="es-CO"/>
        </w:rPr>
        <w:t xml:space="preserve"> por parte del patrimonio autónomo que se constituya para el desarrollo del Programa de Vivienda de Interés Prioritario para Ahorradores. </w:t>
      </w:r>
    </w:p>
    <w:p w14:paraId="16DFB69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F6C3FC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1. Los proyectos de inversión que se presenten a consideración de los Órganos Colegiados de Administración y Decisión - OCAD, serán viabilizados por el Departamento Nacional de Planeación en el marco de lo dispuesto por el artículo 26 de la Ley 1530 de 2012. </w:t>
      </w:r>
    </w:p>
    <w:p w14:paraId="16D6AFD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524DE6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Parágrafo 2. Los recursos del Sistema General de Regalías que financien proyectos de inversión en el marco del Programa de Vivienda de Interés Prioritario para </w:t>
      </w:r>
      <w:proofErr w:type="gramStart"/>
      <w:r w:rsidRPr="009342F9">
        <w:rPr>
          <w:rFonts w:ascii="Arial" w:eastAsia="Times New Roman" w:hAnsi="Arial" w:cs="Arial"/>
          <w:color w:val="000000"/>
          <w:lang w:eastAsia="es-CO"/>
        </w:rPr>
        <w:t>Ahorradores,</w:t>
      </w:r>
      <w:proofErr w:type="gramEnd"/>
      <w:r w:rsidRPr="009342F9">
        <w:rPr>
          <w:rFonts w:ascii="Arial" w:eastAsia="Times New Roman" w:hAnsi="Arial" w:cs="Arial"/>
          <w:color w:val="000000"/>
          <w:lang w:eastAsia="es-CO"/>
        </w:rPr>
        <w:t xml:space="preserve"> deben ejecutarse con estricta sujeción al régimen presupuestal definido por la Ley 1530 de 2012 y al régimen contractual vigente y aplicable al ejecutor. </w:t>
      </w:r>
    </w:p>
    <w:p w14:paraId="7DDBCFD8" w14:textId="3D9939A3"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496" w:name="ver_30071251"/>
      <w:bookmarkEnd w:id="496"/>
    </w:p>
    <w:p w14:paraId="74C19A4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2.1.1.3.2.3. Ajustes del acuerdo del OCAD. Si el proyecto de inversión ofrecido en las condiciones señaladas en la presente sección se selecciona con un número de cupos para asignación de subsidios familiares de vivienda inferior al número de viviendas propuesto ante el OCAD, se deberá realizar el ajuste ante dicho órgano. En este caso, la disponibilidad de recursos para la asignación de subsidios familiares de vivienda a los hogares adquirentes de las viviendas que se ejecuten en el respectivo proyecto quedará sujeta a la expedición del Acuerdo del OCAD en la cual se demuestre la realización del respectivo ajuste, todo de conformidad con las regulaciones expedidas por la Comisión Rectora del SGR. </w:t>
      </w:r>
    </w:p>
    <w:p w14:paraId="4248D66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F573A2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Si el proyecto de inversión ofrecido al patrimonio autónomo en las condiciones señaladas en este artículo no es seleccionado, la entidad territorial competente deberá solicitar al respectivo OCAD, la liberación de los recursos, para la aprobación de otros proyectos. </w:t>
      </w:r>
    </w:p>
    <w:p w14:paraId="60F5EE29" w14:textId="38A44FC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497" w:name="ver_30071252"/>
      <w:bookmarkEnd w:id="497"/>
    </w:p>
    <w:p w14:paraId="55BE84E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2.1.1.3.2.4. Acta de selección del proyecto. Si el proyecto de inversión ofrecido en las condiciones señaladas en la presente sección es seleccionado, el ejecutor del proyecto deberá aportar a la Secretaria Técnica del OCAD, copia del acta de selección del proyecto, suscrita por el Comité Técnico del patrimonio autónomo, y para efectos del cumplimiento de lo establecido en el Título III del Acuerdo 13 de 2012, deberá acreditar los requisitos establecidos en el artículo 59 o las normas que lo modifiquen, adicionen o sustituyan. </w:t>
      </w:r>
    </w:p>
    <w:p w14:paraId="1D700F12" w14:textId="629C9C8B"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498" w:name="ver_30071254"/>
      <w:bookmarkEnd w:id="498"/>
    </w:p>
    <w:p w14:paraId="6EFEF7E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2.1.1.3.2.5. Precios de ejecución de proyectos de inversión. Los proyectos de inversión que se oferten al patrimonio autónomo a que se refiere la sección 2.1.1.3.1 del presente decreto y que incluyan como fuente de financiación recursos del Sistema General de Regalías, podrán ser ejecutados en precios de propiedad de entidades públicas o privadas, en la medida en que sean escogidos de acuerdo con lo establecido en los términos de referencia del respectivo proceso de selección. </w:t>
      </w:r>
    </w:p>
    <w:p w14:paraId="67C7C621" w14:textId="417AA670" w:rsidR="005A1FCF"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499" w:name="ver_30071259"/>
      <w:bookmarkEnd w:id="499"/>
    </w:p>
    <w:p w14:paraId="77D56BF5" w14:textId="7BB4F27E" w:rsidR="00FC79C1" w:rsidRPr="009342F9" w:rsidRDefault="00FC79C1" w:rsidP="005A1FCF">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SECCIÓN 3</w:t>
      </w:r>
    </w:p>
    <w:p w14:paraId="519B86C5" w14:textId="77777777" w:rsidR="00FC79C1" w:rsidRPr="009342F9" w:rsidRDefault="00FC79C1" w:rsidP="005A1FCF">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COBERTURA A LA TASA DE INTERÉS PARA EL PROGRAMA DE VIVIENDA DE INTERES PRIORITARIO PARA AHORRADORES</w:t>
      </w:r>
    </w:p>
    <w:p w14:paraId="568E1BA4"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500" w:name="ver_30071262"/>
      <w:bookmarkEnd w:id="500"/>
    </w:p>
    <w:p w14:paraId="24C747E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2.1.1.3.3.1. Cobertura de tasa de interés para la financiación de vivienda de interés social prioritaria nueva urbana para ahorradores. El Gobierno Nacional, a través del Fondo de Reserva para la Estabilización de la Cartera Hipotecaria (FRECH), administrado por el Banco de la República, ofrecerá coberturas de tasa de interés que faciliten la financiación de vivienda de interés social prioritaria nueva urbana, a los potenciales deudores de crédito pertenecientes a los hogares que resulten beneficiarios del “Programa de Vivienda de Interés Prioritario para Ahorradores” a que hace referencia la sección 2.1.1.3.1 del presente decreto, para la compra de viviendas que se ejecuten en los proyectos seleccionados en el marco del mencionado programa, a través de créditos otorgados por los establecimientos de crédito de acuerdo con las condiciones y términos establecidos en la presente sección, y sus modificaciones. </w:t>
      </w:r>
    </w:p>
    <w:p w14:paraId="0C1D72C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0C8452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El Banco de la República, como administrador del FRECH, creará una subcuenta para el manejo de los recursos requeridos para la cobertura a la que se refiere la presente sección, separada y diferenciada contablemente de los demás recursos del FRECH, la cual se denominará FRECH - Ley 1450 de 2011 VIP Ahorradores. </w:t>
      </w:r>
    </w:p>
    <w:p w14:paraId="7E11F0B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14C668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 cobertura consistirá en una permuta financiera calculada sobre la tasa de interés pactada en créditos nuevos otorgados por los establecimientos de crédito a deudores que cumplan las condiciones que se establecen en la presente sección y en la normativa aplicable. </w:t>
      </w:r>
    </w:p>
    <w:p w14:paraId="3B0574C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B5CB65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 cobertura solo será aplicable durante los primeros siete (7) años de vigencia contados a partir de la fecha de desembolso del crédito. </w:t>
      </w:r>
    </w:p>
    <w:p w14:paraId="0ECB806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00A62C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 permuta financiera consiste en un intercambio de flujos que se presenta cuando el establecimiento de crédito entrega al FRECH - Ley 1450 de 2011 VIP Ahorradores, el equivalente mensual de la tasa de interés pactada en el crédito, descontando lo correspondiente a la cobertura y el FRECH - Ley 1450 de 2011 VIP Ahorradores, a su vez entrega al establecimiento de crédito el equivalente mensual de la tasa de interés pactada en el crédito. </w:t>
      </w:r>
    </w:p>
    <w:p w14:paraId="197C91A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AECD5A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Cuando se trate de operaciones en UVR, el equivalente mensual de la tasa de interés pactada en el crédito se convertirá a su equivalente en pesos. </w:t>
      </w:r>
    </w:p>
    <w:p w14:paraId="4ACDA95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EE6F6A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El pago producto de la permuta financiera por parte del FRECH - Ley 1450 de 2011 VIP Ahorradores a los establecimientos de crédito se realizará por el monto neto de las obligaciones generadas mes a mes, derivadas del intercambio de flujos. </w:t>
      </w:r>
    </w:p>
    <w:p w14:paraId="0D91426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8AD4C2D" w14:textId="77777777" w:rsidR="00FC79C1" w:rsidRDefault="00FC79C1" w:rsidP="00FC79C1">
      <w:pPr>
        <w:spacing w:after="0" w:line="240" w:lineRule="auto"/>
        <w:jc w:val="both"/>
        <w:rPr>
          <w:rFonts w:ascii="Arial" w:eastAsia="Times New Roman" w:hAnsi="Arial" w:cs="Arial"/>
          <w:color w:val="000000"/>
          <w:lang w:eastAsia="es-CO"/>
        </w:rPr>
      </w:pPr>
      <w:r w:rsidRPr="231E957E">
        <w:rPr>
          <w:rFonts w:ascii="Arial" w:eastAsia="Times New Roman" w:hAnsi="Arial" w:cs="Arial"/>
          <w:color w:val="000000" w:themeColor="text1"/>
          <w:lang w:eastAsia="es-CO"/>
        </w:rPr>
        <w:t>El Fondo Nacional de Vivienda (FONVIVIENDA), señalará al Banco de la República y a los establecimientos de crédito, entre otras cosas, los términos y condiciones para realizar el intercambio de flujos derivados de la cobertura y precisará el alcance y contenido de los contratos marco de cobertura a que se refiere el artículo 2.1.1.3.3.10 de esta sección. </w:t>
      </w:r>
    </w:p>
    <w:p w14:paraId="1DBAE49A" w14:textId="77777777" w:rsidR="007C7D44" w:rsidRPr="009342F9" w:rsidRDefault="007C7D44" w:rsidP="00FC79C1">
      <w:pPr>
        <w:spacing w:after="0" w:line="240" w:lineRule="auto"/>
        <w:jc w:val="both"/>
        <w:rPr>
          <w:rFonts w:ascii="Arial" w:eastAsia="Times New Roman" w:hAnsi="Arial" w:cs="Arial"/>
          <w:color w:val="000000"/>
          <w:lang w:eastAsia="es-CO"/>
        </w:rPr>
      </w:pPr>
    </w:p>
    <w:p w14:paraId="49DBE27E"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501" w:name="ver_30071264"/>
      <w:bookmarkEnd w:id="501"/>
      <w:r w:rsidRPr="009342F9">
        <w:rPr>
          <w:rFonts w:ascii="Arial" w:eastAsia="Times New Roman" w:hAnsi="Arial" w:cs="Arial"/>
          <w:color w:val="000000"/>
          <w:lang w:eastAsia="es-CO"/>
        </w:rPr>
        <w:t>Artículo 2.1.1.3.3.2. Cobertura. La cobertura prevista en la presente sección corresponderá a cinco (5) puntos porcentuales liquidados sobre el saldo remanente del crédito otorgado por el establecimiento de crédito, para la compra de viviendas que se ejecuten en proyectos seleccionados en el marco del “Programa de Vivienda de Interés Prioritario para Ahorradores”. </w:t>
      </w:r>
    </w:p>
    <w:p w14:paraId="138CCAF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B538C1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El deudor o los deudores del crédito beneficiario de la cobertura, durante la vigencia de </w:t>
      </w:r>
      <w:proofErr w:type="gramStart"/>
      <w:r w:rsidRPr="009342F9">
        <w:rPr>
          <w:rFonts w:ascii="Arial" w:eastAsia="Times New Roman" w:hAnsi="Arial" w:cs="Arial"/>
          <w:color w:val="000000"/>
          <w:lang w:eastAsia="es-CO"/>
        </w:rPr>
        <w:t>la misma</w:t>
      </w:r>
      <w:proofErr w:type="gramEnd"/>
      <w:r w:rsidRPr="009342F9">
        <w:rPr>
          <w:rFonts w:ascii="Arial" w:eastAsia="Times New Roman" w:hAnsi="Arial" w:cs="Arial"/>
          <w:color w:val="000000"/>
          <w:lang w:eastAsia="es-CO"/>
        </w:rPr>
        <w:t>, pagarán mensualmente a los establecimientos de crédito, el equivalente mensual de la tasa de interés pactada para el respectivo período, descontando lo correspondiente a la cobertura, de acuerdo con lo establecido en el presente artículo. Cuando se trate de operaciones en UVR, el equivalente mensual de la tasa de interés pactada en el crédito se convertirá a pesos. </w:t>
      </w:r>
    </w:p>
    <w:p w14:paraId="6F3171A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6E292D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el evento que por cualquier circunstancia el establecimiento de crédito cobre al deudor o deudores del crédito una tasa de interés diferente a la pactada, la tasa de interés efectivamente cobrada será la utilizada para el cálculo del intercambio de flujos derivado de la cobertura. En ningún caso la cobertura resultante podrá ser superior a la tasa pactada del crédito o a la efectivamente cobrada al deudor o los deudores del crédito, según sea el caso. </w:t>
      </w:r>
    </w:p>
    <w:p w14:paraId="4D2968A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89FA66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El Fondo Nacional de Vivienda (FONVIVIENDA) definirá el número de coberturas disponibles para los créditos que serán objeto del beneficio aquí previsto. En todo caso, FONVIVIENDA podrá optar por modificar el número de coberturas. </w:t>
      </w:r>
    </w:p>
    <w:p w14:paraId="5E28CB9B"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502" w:name="ver_30071268"/>
      <w:bookmarkEnd w:id="502"/>
    </w:p>
    <w:p w14:paraId="5E17F4A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2.1.1.3.3.3. Condiciones para el acceso a la cobertura. El deudor o los deudores del crédito, para acceder a la cobertura deberán cumplir las siguientes condiciones además de las previstas en esta sección: </w:t>
      </w:r>
    </w:p>
    <w:p w14:paraId="581110A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1B948D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Ser beneficiario del subsidio familiar de vivienda en el marco del “Programa de Vivienda de Interés Prioritario para Ahorradores” de que trata la sección 2.1.1.3.1 del presente decreto y las normas que lo modifiquen, adicionen o sustituyan. </w:t>
      </w:r>
    </w:p>
    <w:p w14:paraId="5C2C15F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25408A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No haber sido beneficiario a cualquier título de las coberturas establecidas en la presente sección o de aquellas otorgadas en desarrollo de lo dispuesto en el Decreto Único del Sector de Hacienda y Crédito Público y en el presente decreto y las normas que los reglamenten, modifiquen, adicionen o sustituyan. </w:t>
      </w:r>
    </w:p>
    <w:p w14:paraId="0CDD2A5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BAF0C0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3. Que el desembolso del crédito se realice dentro de los plazos que definan los términos de referencia de los procesos de selección de los proyectos que se oferten al patrimonio autónomo a que se refiere la sección 2.1.1.3.1 del presente decreto y las normas que lo reglamenten, modifiquen, adicionen o sustituyan. Estos plazos solo podrán ser modificados por autorización </w:t>
      </w:r>
      <w:r w:rsidRPr="009342F9">
        <w:rPr>
          <w:rFonts w:ascii="Arial" w:eastAsia="Times New Roman" w:hAnsi="Arial" w:cs="Arial"/>
          <w:color w:val="000000"/>
          <w:lang w:eastAsia="es-CO"/>
        </w:rPr>
        <w:lastRenderedPageBreak/>
        <w:t>del supervisor del proyecto y/o del Comité Técnico, de acuerdo con las condiciones que se establezcan en los mismos términos de referencia. </w:t>
      </w:r>
    </w:p>
    <w:p w14:paraId="256C2A2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199DEF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Los plazos para el desembolso de los créditos definidos en los términos de referencia de los procesos de selección de los proyectos, a que se refiere la sección 2.1.1.3.1 del presente decreto, deberán estar comprendidos dentro de las fechas de desembolso establecidas en el numeral 2 del artículo 2.1.1.3.3.4 de esta sección. </w:t>
      </w:r>
    </w:p>
    <w:p w14:paraId="470B06B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D0E612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Para acceder a la cobertura de que trata la presente sección, los potenciales beneficiarios deberán manifestar por escrito al establecimiento de crédito antes del desembolso del crédito su intención de recibirla, señalando expresamente que conocen y aceptan los términos y condiciones para el acceso, vigencia y terminación anticipada de la cobertura. </w:t>
      </w:r>
    </w:p>
    <w:p w14:paraId="7BB286A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AE4EBA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FONVIVIENDA definirá cuando sea el caso, el alcance de las condiciones para acceder a la cobertura de que trata la presente sección. </w:t>
      </w:r>
    </w:p>
    <w:p w14:paraId="0B30E24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D6650C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Los establecimientos de crédito verificarán que el deudor o deudores del crédito pertenezcan a hogares que resulten beneficiarios del subsidio familiar de vivienda al que hace referencia el artículo 2.1.1.3.1.2.3 del presente decreto, con la copia del acto de asignación del subsidio familiar de vivienda emitido por las Cajas de Compensación Familiar o FONVIVIENDA, el cual deberá indicar expresamente que se trata de un subsidio en el marco del “Programa de Vivienda de Interés Prioritario para Ahorradores” y cuál es el proyecto de vivienda en el cual podrá ser ejecutado. </w:t>
      </w:r>
    </w:p>
    <w:p w14:paraId="0935D3F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1114CF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Respecto al cumplimiento de la condición del numeral 3 de este artículo, los establecimientos de crédito solicitarán al patrimonio autónomo que se constituya para el manejo de los recursos a que hace referencia el artículo 2.1.1.3.1.1.3 del presente decreto, certificación en la que expresamente consten los plazos definidos en los términos de referencia de los procesos de selección de los proyectos, y/o por el Comité Técnico del Fideicomiso para el desembolso de los créditos. Se deberá hacer la solicitud indicando el proyecto específico en el cual se desarrollará la vivienda que se pretende adquirir por el hogar que solicita el crédito hipotecario. </w:t>
      </w:r>
    </w:p>
    <w:p w14:paraId="3FC2C6A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E4C82A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Con las verificaciones que realicen los establecimientos de crédito de los numerales 1, 2 y 3 del presente artículo, se acreditará el cumplimiento de estas condiciones y no habrá lugar a verificaciones adicionales por parte del Banco de la República, como administrador del FRECH. </w:t>
      </w:r>
    </w:p>
    <w:p w14:paraId="3CC4FB97" w14:textId="050315C6"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503" w:name="ver_30109529"/>
      <w:bookmarkStart w:id="504" w:name="ver_30109528"/>
      <w:bookmarkEnd w:id="503"/>
    </w:p>
    <w:p w14:paraId="6BF4A7E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2.1.1.3.3.4. Créditos elegibles. La cobertura se aplicará a los créditos que cumplan, como mínimo, con las condiciones que se relacionan a continuación y las demás que se prevean en la presente sección y sus modificaciones: </w:t>
      </w:r>
    </w:p>
    <w:p w14:paraId="23D9E67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96A466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Financiación objeto de la cobertura: Los créditos que otorguen los establecimientos de crédito para financiar la compra de una vivienda de interés social prioritaria nueva urbana, que se ejecute en los proyectos seleccionados en el marco del “Programa de Vivienda de Interés Prioritario para Ahorradores” de que trata la sección 2.1.1.3.1 del presente decreto y sus modificaciones y, que cumplan con las condiciones establecidas en esta sección. </w:t>
      </w:r>
    </w:p>
    <w:p w14:paraId="7D1BD6F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0121A1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Por vivienda de interés social prioritaria nueva urbana se entenderá aquella cuyo valor sea hasta de setenta salarios mínimos legales mensuales vigentes (70 SMLMV), que se encuentre en proyecto, en etapa de preventa, en construcción y la que estando terminada no haya sido habitada. </w:t>
      </w:r>
    </w:p>
    <w:p w14:paraId="417FE14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1F1994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2. Fecha de desembolso: Créditos que se desembolsen entre el 1º de febrero de 2014 y el 31 de diciembre de 2017 o hasta el agotamiento del número de coberturas que defina el Fondo Nacional de Vivienda (Fonvivienda), sin exceder en este último caso la fecha anteriormente prevista, en el marco del “Programa de Vivienda de Interés Prioritario para Ahorradores a que hace referencia la sección 2.1.1.3.1 del presente decreto y sus modificaciones </w:t>
      </w:r>
    </w:p>
    <w:p w14:paraId="0C9360F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CFBA17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Unicidad: La cobertura se otorgará por una sola vez y se aplicará a todos los deudores del crédito, a cualquier título. </w:t>
      </w:r>
    </w:p>
    <w:p w14:paraId="51235A17" w14:textId="7FCB0C9F"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505" w:name="ver_30219295"/>
      <w:bookmarkStart w:id="506" w:name="ver_30071294"/>
      <w:bookmarkEnd w:id="504"/>
      <w:bookmarkEnd w:id="505"/>
    </w:p>
    <w:p w14:paraId="5443F8F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2.1.1.3.3.5. Terminación anticipada de la cobertura. La cobertura se terminará en forma anticipada en los siguientes eventos: </w:t>
      </w:r>
    </w:p>
    <w:p w14:paraId="4EB25EE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BEF17C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Por pago anticipado del crédito. </w:t>
      </w:r>
    </w:p>
    <w:p w14:paraId="0E70546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6620FB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Por mora en el pago de tres (3) cuotas consecutivas a cargo de los deudores. En este caso, la cobertura se perderá a partir del día siguiente al vencimiento de la última cuota incumplida. </w:t>
      </w:r>
    </w:p>
    <w:p w14:paraId="7B00B5D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54CF05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Por petición de los deudores. </w:t>
      </w:r>
    </w:p>
    <w:p w14:paraId="53AC2CF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F45DBE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Por cesión del crédito por parte del deudor. </w:t>
      </w:r>
    </w:p>
    <w:p w14:paraId="0611A3B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DC1FD1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 Por reestructuración del crédito que implique el incremento de los montos o saldos de las obligaciones o ampliación del plazo de los créditos. </w:t>
      </w:r>
    </w:p>
    <w:p w14:paraId="461841B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B9EC16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6. Por aceleración del plazo conforme a los términos contractuales. </w:t>
      </w:r>
    </w:p>
    <w:p w14:paraId="046E932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10F962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La cobertura se mantendrá vigente en los casos de cesión, venta o enajenación de la cartera con cobertura, entre establecimientos de crédito, y en los procesos derivados de titularización de cartera con cobertura. </w:t>
      </w:r>
    </w:p>
    <w:p w14:paraId="453246AF" w14:textId="63DE60E4"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0B14C33" w14:textId="31318D68"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transitorio. El otorgamiento de periodos de gracia en capital e intereses en los créditos para adquisición de vivienda o contratos de leasing habitacional que cuenten con el beneficio de cobertura de tasa de interés, que se pacten entre los beneficiarios y la respectiva entidad en el marco de las instrucciones impartidas por la Superintendencia Financiera mediante circular externa 007 de 2020, no se entenderá como causal de terminación anticipada de la cobertura.</w:t>
      </w:r>
      <w:r w:rsidRPr="009342F9">
        <w:rPr>
          <w:rFonts w:ascii="Arial" w:eastAsia="Times New Roman" w:hAnsi="Arial" w:cs="Arial"/>
          <w:color w:val="000000"/>
          <w:lang w:eastAsia="es-CO"/>
        </w:rPr>
        <w:br/>
      </w:r>
      <w:r w:rsidRPr="009342F9">
        <w:rPr>
          <w:rFonts w:ascii="Arial" w:eastAsia="Times New Roman" w:hAnsi="Arial" w:cs="Arial"/>
          <w:color w:val="000000"/>
          <w:lang w:eastAsia="es-CO"/>
        </w:rPr>
        <w:br/>
        <w:t>Las entidades que otorguen periodos de gracia en capital e intereses a los beneficiarios de las coberturas de tasa de interés deberán informar dicha circunstancia al Banco de la República como administrador del Fondo de Reserva para la Estabilización de la Cartera Hipotecaria - FRECH.</w:t>
      </w:r>
      <w:r w:rsidRPr="009342F9">
        <w:rPr>
          <w:rFonts w:ascii="Arial" w:eastAsia="Times New Roman" w:hAnsi="Arial" w:cs="Arial"/>
          <w:color w:val="000000"/>
          <w:lang w:eastAsia="es-CO"/>
        </w:rPr>
        <w:br/>
      </w:r>
      <w:bookmarkStart w:id="507" w:name="ver_30071296"/>
      <w:bookmarkEnd w:id="506"/>
      <w:bookmarkEnd w:id="507"/>
    </w:p>
    <w:p w14:paraId="5CC5269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2.1.1.3.3.6. Recursos para la cobertura. Los recursos requeridos para el otorgamiento y pago de las coberturas previstas en esta sección, así como los gastos de gestión en que incurra el Banco de la República en la realización de la permuta financiera serán apropiados en el Presupuesto General de la Nación a través del Fondo Nacional de Vivienda FONVIVIENDA o quien haga sus veces, y serán comprometidos con cargo a su presupuesto de inversión a favor del FRECH - Ley 1450 de 2011, dando cumplimiento a las disposiciones en materia presupuestal. </w:t>
      </w:r>
    </w:p>
    <w:p w14:paraId="1265E4E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A0AD29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Para cada vigencia, la apropiación de estos recursos quedará condicionada al espacio fiscal establecido tanto en el Marco de Gasto de Mediano Plazo del sector Vivienda, así como en el Marco Fiscal de Mediano Plazo. </w:t>
      </w:r>
    </w:p>
    <w:p w14:paraId="6F74AE83" w14:textId="764EF6A5"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508" w:name="ver_30071297"/>
      <w:bookmarkEnd w:id="508"/>
    </w:p>
    <w:p w14:paraId="6A57DA6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xml:space="preserve">Artículo 2.1.1.3.3.7. Giro de los recursos. Los recursos asignados para financiar la cobertura de que trata la presente </w:t>
      </w:r>
      <w:proofErr w:type="gramStart"/>
      <w:r w:rsidRPr="009342F9">
        <w:rPr>
          <w:rFonts w:ascii="Arial" w:eastAsia="Times New Roman" w:hAnsi="Arial" w:cs="Arial"/>
          <w:color w:val="000000"/>
          <w:lang w:eastAsia="es-CO"/>
        </w:rPr>
        <w:t>sección,</w:t>
      </w:r>
      <w:proofErr w:type="gramEnd"/>
      <w:r w:rsidRPr="009342F9">
        <w:rPr>
          <w:rFonts w:ascii="Arial" w:eastAsia="Times New Roman" w:hAnsi="Arial" w:cs="Arial"/>
          <w:color w:val="000000"/>
          <w:lang w:eastAsia="es-CO"/>
        </w:rPr>
        <w:t xml:space="preserve"> formarán parte del FRECH - Ley 1450 de 2011 VIP Ahorradores y serán girados de conformidad con los compromisos anuales que se deriven del otorgamiento, ejecución y vencimiento de dichas coberturas. </w:t>
      </w:r>
    </w:p>
    <w:p w14:paraId="4762F40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A39142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El Viceministerio Técnico del Ministerio de Hacienda y Crédito Público definirá el procedimiento, oportunidad, plazo y cuantías requeridas para el traslado al FRECH – Ley 1450 de 2011 VIP Ahorradores de los recursos líquidos necesarios para el cubrimiento y pago de las coberturas de que trata la presente sección. </w:t>
      </w:r>
    </w:p>
    <w:p w14:paraId="3AC7D57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F543AC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FONVIVIENDA girará al Banco de la República, como administrador del FRECH, los recursos líquidos necesarios para el cubrimiento y pago de estas coberturas, previa solicitud que en tal sentido le presente el Banco de la República al Fondo Nacional de Vivienda (FONVIVIENDA) de conformidad con las obligaciones generadas mes a mes derivadas de la permuta financiera. </w:t>
      </w:r>
    </w:p>
    <w:p w14:paraId="7D5EA46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2D5D64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Así mismo, FONVIVIENDA pagará al Banco de la República los gastos en que este incurra en la realización de la permuta financiera prevista en esta sección, los cuales se pagarán con cargo a los recursos del FRECH - Ley 1450 de 2011. </w:t>
      </w:r>
    </w:p>
    <w:p w14:paraId="508AAAD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2C8479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El Banco de la República, como administrador del FRECH, no será responsable por el cubrimiento y pago de las coberturas de que trata esta sección cuando FONVIVIENDA no haya realizado las apropiaciones presupuestales necesarias para el pago de estas coberturas y cuando FONVIVIENDA no haya hecho la entrega y giro de los recursos correspondientes al FRECH - Ley 1450 de 2011 VIP Ahorradores. </w:t>
      </w:r>
    </w:p>
    <w:p w14:paraId="086FCED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45DE2B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Los trámites de apropiación, ejecución, registro y desembolso presupuestales estarán a cargo de FONVIVIENDA. </w:t>
      </w:r>
    </w:p>
    <w:p w14:paraId="6C86B07B" w14:textId="7867499C"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509" w:name="ver_30071298"/>
      <w:bookmarkEnd w:id="509"/>
    </w:p>
    <w:p w14:paraId="062D50F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2.1.1.3.3.8. Restitución de los recursos de la cobertura. Las sumas provenientes de las restituciones de recursos que deban realizar los establecimientos de crédito al FRECH – Ley 1450 de 2011 VIP Ahorradores respecto de créditos cuyos deudores no tengan derecho a la cobertura o que se haya entregado en exceso, o por haber perdido la posibilidad de realizar el intercambio de flujos de la cobertura, o cualquier otra suma que deba restituirse, serán trasladadas a FONVIVIENDA y de este a la Dirección General de Crédito Público y Tesoro Nacional del Ministerio de Hacienda y Crédito Público. FONVIVIENDA impartirá las instrucciones para la restitución de estos recursos. </w:t>
      </w:r>
    </w:p>
    <w:p w14:paraId="491E9236" w14:textId="3F62E92A"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510" w:name="ver_30071299"/>
      <w:bookmarkEnd w:id="510"/>
    </w:p>
    <w:p w14:paraId="34DBF09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2.1.1.3.3.9. Convenio interadministrativo. Mediante convenio interadministrativo o modificación al existente, el Fondo Nacional de Vivienda (FONVIVIENDA) y el Banco de la República como administrador del FRECH, determinarán las condiciones en que debe realizarse la permuta financiera de tasa de interés pactada sobre los créditos de vivienda a que se refiere la presente sección. </w:t>
      </w:r>
    </w:p>
    <w:p w14:paraId="1A221F7D" w14:textId="6FC86C8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511" w:name="ver_30071300"/>
      <w:bookmarkEnd w:id="511"/>
    </w:p>
    <w:p w14:paraId="2A1EAFB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2.1.1.3.3.10. Contratos marco de permuta financiera de tasa de interés. Los establecimientos de crédito interesados en acceder a la cobertura que ofrece el Gobierno Nacional a través del FRECH - Ley 1450 de 2011 VIP Ahorradores, deberán celebrar con el Banco de la República, como administrador del FRECH, un contrato marco de permuta financiera de tasa de interés para realizar el intercambio de flujos derivado de la cobertura prevista en esta sección. </w:t>
      </w:r>
    </w:p>
    <w:p w14:paraId="7647C6E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AA5D04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Dichos contratos marco deberán tener en cuenta de conformidad con lo dispuesto en esta sección y demás normas que lo reglamenten, modifiquen, adicionen o sustituyan, entre otras, las siguientes obligaciones: </w:t>
      </w:r>
    </w:p>
    <w:p w14:paraId="0633F72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29D785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Para los establecimientos de crédito: </w:t>
      </w:r>
    </w:p>
    <w:p w14:paraId="3E1DC3D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6F012F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 Informar al FRECH - Ley 1450 de 2011 VIP Ahorradores, para su registro, los créditos elegibles con derecho a la cobertura, de acuerdo con lo dispuesto en esta sección; </w:t>
      </w:r>
    </w:p>
    <w:p w14:paraId="13133B4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3D5240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b) Presentar al FRECH - Ley 1450 de 2011 VIP Ahorradores, la cuenta de cobro correspondiente a los créditos desembolsados con derecho a la cobertura, registrados en el FRECH - Ley 1450 de 2011 VIP Ahorradores, por el valor neto del intercambio de flujos derivado de la permuta financiera, de acuerdo con lo dispuesto en esta sección; </w:t>
      </w:r>
    </w:p>
    <w:p w14:paraId="02D4CEB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90BA4C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 Certificar al Banco de la República, como administrador del FRECH: </w:t>
      </w:r>
    </w:p>
    <w:p w14:paraId="0EBCBBF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983A52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i. Que los créditos objeto de la cobertura cumplen los requisitos y condiciones establecidos para el acceso y vigencia de la cobertura de tasa de interés, señalados en esta sección; </w:t>
      </w:r>
    </w:p>
    <w:p w14:paraId="4A63D2B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298630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ii. La veracidad de toda la información enviada al FRECH - Ley 1450 de 2011 VIP Ahorradores, en concordancia con los requisitos y condiciones para el acceso, vigencia, terminación anticipada de la cobertura de tasa de interés y aquella relacionada con el intercambio de flujos, establecidos en esta sección y en la normativa aplicable; </w:t>
      </w:r>
    </w:p>
    <w:p w14:paraId="5B1B7FC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9028BF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iii. Los créditos registrados en el FRECH - Ley 1450 de 2011 VIP Ahorradores, que no tengan el derecho a la cobertura y las terminaciones anticipadas de la misma, de acuerdo con lo dispuesto en esta sección; </w:t>
      </w:r>
    </w:p>
    <w:p w14:paraId="01BFD72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7ACA50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d) Suministrar la información que requiera el Banco de la República para la realización de la permuta financiera en la oportunidad que se establezca para el efecto; </w:t>
      </w:r>
    </w:p>
    <w:p w14:paraId="7544563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9AD385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 Restituir a FONVIVIENDA los recursos de que trata el artículo 2.1.1.3.3.8 de la presente sección. </w:t>
      </w:r>
    </w:p>
    <w:p w14:paraId="6556C42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CB023F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Para el Banco de la República: </w:t>
      </w:r>
    </w:p>
    <w:p w14:paraId="1C60E17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BB5B20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 Validar operativamente que el contenido de la información remitida por los establecimientos de crédito al FRECH - Ley 1450 de 2011 VIP Ahorradores, para efectos del registro de los créditos desembolsados con derecho a la cobertura y para el pago de </w:t>
      </w:r>
      <w:proofErr w:type="gramStart"/>
      <w:r w:rsidRPr="009342F9">
        <w:rPr>
          <w:rFonts w:ascii="Arial" w:eastAsia="Times New Roman" w:hAnsi="Arial" w:cs="Arial"/>
          <w:color w:val="000000"/>
          <w:lang w:eastAsia="es-CO"/>
        </w:rPr>
        <w:t>la misma</w:t>
      </w:r>
      <w:proofErr w:type="gramEnd"/>
      <w:r w:rsidRPr="009342F9">
        <w:rPr>
          <w:rFonts w:ascii="Arial" w:eastAsia="Times New Roman" w:hAnsi="Arial" w:cs="Arial"/>
          <w:color w:val="000000"/>
          <w:lang w:eastAsia="es-CO"/>
        </w:rPr>
        <w:t>, sea consistente con la presente sección y su reglamentación; </w:t>
      </w:r>
    </w:p>
    <w:p w14:paraId="147B615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C51A27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b) Registrar en el FRECH - Ley 1450 de 2011 VIP Ahorradores, atendiendo la fecha de recibo en el Banco de la República en orden de llegada, los créditos desembolsados con derecho a la cobertura, teniendo en cuenta el número de coberturas disponibles para los créditos establecidos por el Fondo Nacional de Vivienda (FONVIVIENDA) y el número de créditos con cobertura registrados en el FRECH - Ley 1450 de 2011 VIP Ahorradores, de acuerdo con lo informado por los establecimientos de crédito; </w:t>
      </w:r>
    </w:p>
    <w:p w14:paraId="42D3807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6F4DE2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 Pagar el valor neto del intercambio de flujos derivado de la permuta financiera, de acuerdo con las instrucciones que para el efecto imparta el Fondo Nacional de Vivienda (FONVIVIENDA); </w:t>
      </w:r>
    </w:p>
    <w:p w14:paraId="3AFC48F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B88767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d) Excluir de la cobertura los créditos registrados en el FRECH - Ley 1450 de 2011 VIP Ahorradores, que no tengan derecho a esta y registrar las terminaciones anticipadas de la misma, así como los créditos respecto de los cuales no sea posible realizar el intercambio de flujos, de conformidad con la información presentada por los establecimientos de crédito; </w:t>
      </w:r>
    </w:p>
    <w:p w14:paraId="3D3660D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A2D0FC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 Informar mensualmente a los establecimientos de crédito y al Fondo Nacional de Vivienda (FONVIVIENDA), el número de créditos desembolsados con derecho a la cobertura, registrados en el FRECH - Ley 1450 de 2011 VIP Ahorradores. Adicionalmente, a FONVIVIENDA se remitirá mensualmente una relación de los beneficiarios de la cobertura. </w:t>
      </w:r>
    </w:p>
    <w:p w14:paraId="5DC468E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2F8D3D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1°. En los contratos marco se estipulará que los establecimientos de crédito perderán la posibilidad de realizar el intercambio de flujos de la cobertura en los eventos que defina el Fondo Nacional de Vivienda (FONVIVIENDA), cuando haya lugar a ello, de acuerdo con la naturaleza y propósito de dicho mecanismo. </w:t>
      </w:r>
    </w:p>
    <w:p w14:paraId="2EE4816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F4433A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2°. En todo caso el registro y pago de la cobertura estará condicionada a la suscripción de los contratos marco aquí establecidos, entre los establecimientos de crédito y el Banco de la República. </w:t>
      </w:r>
    </w:p>
    <w:p w14:paraId="21472B2A" w14:textId="77777777" w:rsidR="00D25E1B"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512" w:name="ver_30071302"/>
      <w:bookmarkEnd w:id="512"/>
    </w:p>
    <w:p w14:paraId="2D0903C6" w14:textId="0878E71E"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2.1.1.3.3.11. Responsabilidad de los establecimientos de crédito. Los establecimientos de crédito serán los únicos responsables de verificar el cumplimiento de los requisitos y condiciones establecidos para el acceso, vigencia, y terminación anticipada de la cobertura de tasa de interés a los créditos de que trata la presente sección; así como de la veracidad de la información presentada al FRECH - Ley 1450 de 2011 VIP Ahorradores y del cumplimiento de las obligaciones contenidas en el contrato marco que suscriba con el Banco de la República. Con la verificación del establecimiento de crédito se acreditará el cumplimento de las condiciones y requisitos y no habrá lugar a verificaciones adicionales por parte del Banco de la República, como administrador del FRECH. </w:t>
      </w:r>
    </w:p>
    <w:p w14:paraId="4DE2950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87CF09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Los establecimientos de crédito deberán informar a los potenciales deudores de créditos de vivienda acerca de las condiciones de acceso, vigencia, y terminación anticipada de la cobertura, en las condiciones establecidas en la presente sección y demás normas que lo reglamenten, complementen, adicionen, modifiquen o sustituyan, así como las instrucciones que imparta la Superintendencia Financiera de Colombia. </w:t>
      </w:r>
    </w:p>
    <w:p w14:paraId="3C2579D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4BEEE91" w14:textId="77777777" w:rsidR="00FC79C1" w:rsidRPr="009342F9" w:rsidRDefault="00FC79C1" w:rsidP="00FC79C1">
      <w:pPr>
        <w:spacing w:after="0" w:line="240" w:lineRule="auto"/>
        <w:jc w:val="both"/>
        <w:rPr>
          <w:rFonts w:ascii="Arial" w:eastAsia="Times New Roman" w:hAnsi="Arial" w:cs="Arial"/>
          <w:color w:val="000000"/>
          <w:lang w:eastAsia="es-CO"/>
        </w:rPr>
      </w:pPr>
      <w:proofErr w:type="gramStart"/>
      <w:r w:rsidRPr="009342F9">
        <w:rPr>
          <w:rFonts w:ascii="Arial" w:eastAsia="Times New Roman" w:hAnsi="Arial" w:cs="Arial"/>
          <w:color w:val="000000"/>
          <w:lang w:eastAsia="es-CO"/>
        </w:rPr>
        <w:t>Igualmente</w:t>
      </w:r>
      <w:proofErr w:type="gramEnd"/>
      <w:r w:rsidRPr="009342F9">
        <w:rPr>
          <w:rFonts w:ascii="Arial" w:eastAsia="Times New Roman" w:hAnsi="Arial" w:cs="Arial"/>
          <w:color w:val="000000"/>
          <w:lang w:eastAsia="es-CO"/>
        </w:rPr>
        <w:t xml:space="preserve"> los establecimientos de crédito, deberán informar al deudor o los deudores en el extracto de la obligación, el cálculo y aplicación de la cobertura, y remitir dentro de la proyección anual de los créditos individuales de vivienda lo que corresponda a la discriminación de los valores del beneficio. </w:t>
      </w:r>
    </w:p>
    <w:p w14:paraId="2BD2E78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508D80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Los establecimientos de crédito deberán implementar un mecanismo que les permita verificar al momento del desembolso del crédito lo siguiente: </w:t>
      </w:r>
    </w:p>
    <w:p w14:paraId="4F54179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819417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i. La disponibilidad de coberturas. En ningún caso los establecimientos de crédito podrán desembolsar créditos con derecho a la cobertura, en exceso del número de coberturas definidas por el Fondo Nacional de Vivienda (FONVIVIENDA), so pena de asumir el pago de </w:t>
      </w:r>
      <w:proofErr w:type="gramStart"/>
      <w:r w:rsidRPr="009342F9">
        <w:rPr>
          <w:rFonts w:ascii="Arial" w:eastAsia="Times New Roman" w:hAnsi="Arial" w:cs="Arial"/>
          <w:color w:val="000000"/>
          <w:lang w:eastAsia="es-CO"/>
        </w:rPr>
        <w:t>la misma</w:t>
      </w:r>
      <w:proofErr w:type="gramEnd"/>
      <w:r w:rsidRPr="009342F9">
        <w:rPr>
          <w:rFonts w:ascii="Arial" w:eastAsia="Times New Roman" w:hAnsi="Arial" w:cs="Arial"/>
          <w:color w:val="000000"/>
          <w:lang w:eastAsia="es-CO"/>
        </w:rPr>
        <w:t xml:space="preserve"> con sus propios recursos; </w:t>
      </w:r>
    </w:p>
    <w:p w14:paraId="2BF21F2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2A193E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ii. Que la cobertura se otorgue únicamente a un crédito y que aquella se aplique a todos los deudores del crédito a cualquier título. Así mismo, deberán verificar que los potenciales deudores no hayan sido beneficiarios, a cualquier título, de la cobertura de tasa de interés establecida en </w:t>
      </w:r>
      <w:r w:rsidRPr="009342F9">
        <w:rPr>
          <w:rFonts w:ascii="Arial" w:eastAsia="Times New Roman" w:hAnsi="Arial" w:cs="Arial"/>
          <w:color w:val="000000"/>
          <w:lang w:eastAsia="es-CO"/>
        </w:rPr>
        <w:lastRenderedPageBreak/>
        <w:t>la presente sección o de aquellas otorgadas en desarrollo de lo dispuesto en el Decreto Único del Sector de Hacienda y Crédito Público y el presente decreto, y las normas que los reglamenten, modifiquen, adicionen o sustituyan. </w:t>
      </w:r>
    </w:p>
    <w:p w14:paraId="0BB3C70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AE6532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Corresponderá a los establecimientos de crédito determinar al momento del desembolso si los créditos tienen derecho a la cobertura y en este evento, deberá informarlo al Banco de la República para efectos de su registro y pago de la cobertura y comunicar lo pertinente al deudor o deudores del crédito. </w:t>
      </w:r>
    </w:p>
    <w:p w14:paraId="4110A4D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690F16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El uso de los recursos otorgados como cobertura no podrán destinarse a propósitos diferentes a los indicados en la presente sección y las normas que lo reglamenten, complementen, modifiquen, adicionen o sustituyan, so pena de incurrir en la conducta descrita en el artículo 311 del Código Penal. </w:t>
      </w:r>
    </w:p>
    <w:p w14:paraId="1D06CA85" w14:textId="6D6D030A" w:rsidR="005A1FCF"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513" w:name="ver_30071304"/>
      <w:bookmarkEnd w:id="513"/>
    </w:p>
    <w:p w14:paraId="7F5070E5" w14:textId="4083D81E" w:rsidR="00FC79C1" w:rsidRPr="009342F9" w:rsidRDefault="00FC79C1" w:rsidP="005A1FCF">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CAPÍTULO 4</w:t>
      </w:r>
    </w:p>
    <w:p w14:paraId="4C080E95" w14:textId="77777777" w:rsidR="00FC79C1" w:rsidRDefault="00FC79C1" w:rsidP="005A1FCF">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PROGRAMA DE PROMOCIÓN DE ACCESO A LA VIVIENDA DE INTERÉS SOCIAL - “MI CASA YA”</w:t>
      </w:r>
    </w:p>
    <w:p w14:paraId="36B53418" w14:textId="77777777" w:rsidR="000B3E77" w:rsidRPr="009342F9" w:rsidRDefault="000B3E77" w:rsidP="005A1FCF">
      <w:pPr>
        <w:spacing w:after="0" w:line="240" w:lineRule="auto"/>
        <w:jc w:val="center"/>
        <w:rPr>
          <w:rFonts w:ascii="Arial" w:eastAsia="Times New Roman" w:hAnsi="Arial" w:cs="Arial"/>
          <w:b/>
          <w:bCs/>
          <w:color w:val="000000"/>
          <w:lang w:eastAsia="es-CO"/>
        </w:rPr>
      </w:pPr>
    </w:p>
    <w:p w14:paraId="6C243AAD" w14:textId="77777777" w:rsidR="00FC79C1" w:rsidRPr="009342F9" w:rsidRDefault="00FC79C1" w:rsidP="005A1FCF">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SECCIÓN 1</w:t>
      </w:r>
    </w:p>
    <w:p w14:paraId="44EBE2CD" w14:textId="77777777" w:rsidR="00FC79C1" w:rsidRDefault="00FC79C1" w:rsidP="005A1FCF">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PROMOCIÓN DE ACCESO A LA VIVIENDA DE INTERÉS SOCIAL - “MI CASA YA”</w:t>
      </w:r>
    </w:p>
    <w:p w14:paraId="68865F8F" w14:textId="77777777" w:rsidR="000B3E77" w:rsidRPr="009342F9" w:rsidRDefault="000B3E77" w:rsidP="005A1FCF">
      <w:pPr>
        <w:spacing w:after="0" w:line="240" w:lineRule="auto"/>
        <w:jc w:val="center"/>
        <w:rPr>
          <w:rFonts w:ascii="Arial" w:eastAsia="Times New Roman" w:hAnsi="Arial" w:cs="Arial"/>
          <w:b/>
          <w:bCs/>
          <w:color w:val="000000"/>
          <w:lang w:eastAsia="es-CO"/>
        </w:rPr>
      </w:pPr>
    </w:p>
    <w:p w14:paraId="2868B84D" w14:textId="77777777" w:rsidR="00FC79C1" w:rsidRPr="009342F9" w:rsidRDefault="00FC79C1" w:rsidP="005A1FCF">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SUBSECCIÓN 1</w:t>
      </w:r>
    </w:p>
    <w:p w14:paraId="5473360B" w14:textId="77777777" w:rsidR="00FC79C1" w:rsidRPr="009342F9" w:rsidRDefault="00FC79C1" w:rsidP="005A1FCF">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DEL PATRIMONIO AUTÓNOMO QUE ADMINISTRARÁ LOS RECURSOS DEL PROGRAMA</w:t>
      </w:r>
    </w:p>
    <w:p w14:paraId="62ED1631"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514" w:name="ver_30071305"/>
      <w:bookmarkEnd w:id="514"/>
    </w:p>
    <w:p w14:paraId="3C79399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2.1.1.4.1.1.1 Contrato e fiducia mercantil. FONVIVIENDA, de acuerdo con lo establecido en el parágrafo 1º del artículo 23 de la Ley 1469 de 2011 celebrará, en condición de fideicomitente, un contrato de fiducia mercantil para que el patrimonio autónomo que se </w:t>
      </w:r>
      <w:proofErr w:type="gramStart"/>
      <w:r w:rsidRPr="009342F9">
        <w:rPr>
          <w:rFonts w:ascii="Arial" w:eastAsia="Times New Roman" w:hAnsi="Arial" w:cs="Arial"/>
          <w:color w:val="000000"/>
          <w:lang w:eastAsia="es-CO"/>
        </w:rPr>
        <w:t>constituya,</w:t>
      </w:r>
      <w:proofErr w:type="gramEnd"/>
      <w:r w:rsidRPr="009342F9">
        <w:rPr>
          <w:rFonts w:ascii="Arial" w:eastAsia="Times New Roman" w:hAnsi="Arial" w:cs="Arial"/>
          <w:color w:val="000000"/>
          <w:lang w:eastAsia="es-CO"/>
        </w:rPr>
        <w:t xml:space="preserve"> administre los recursos que se ejecutarán en un Programa de Vivienda de Interés Social para la población que cuente con las condiciones señaladas en el presente sección, el cual se denominará “Mi Casa Ya”. Dicho contrato de fiducia mercantil se someterá a las condiciones y requisitos señalados en la presente sección. </w:t>
      </w:r>
    </w:p>
    <w:p w14:paraId="11A3C70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3180C1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1°. FONVIVIENDA seleccionará a la sociedad fiduciaria vocera del patrimonio autónomo y celebrará y ejecutará el respectivo contrato de fiducia mercantil, con sujeción al régimen previsto en el artículo 23 de la Ley 1469 de 2011. </w:t>
      </w:r>
    </w:p>
    <w:p w14:paraId="5C94F4C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97F13A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2°. El patrimonio autónomo tendrá los órganos de decisión que se establezcan en el contrato de fiducia mercantil, en los cuales deberá tener voz y voto el Director Ejecutivo del Fondo Nacional de Vivienda o su delegado. </w:t>
      </w:r>
    </w:p>
    <w:p w14:paraId="4AB988C8" w14:textId="69299078"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515" w:name="ver_30071306"/>
      <w:bookmarkEnd w:id="515"/>
    </w:p>
    <w:p w14:paraId="4AC13D7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2.1.1.4.1.1.2. Activos del patrimonio autónomo. Serán activos del patrimonio autónomo que se constituya, de conformidad con lo establecido en la presente sección: </w:t>
      </w:r>
    </w:p>
    <w:p w14:paraId="7260E6A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A7CC93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 Los recursos del Presupuesto General de la Nación destinados a FONVIVIENDA, que ése último transfiera a título de aporte fiduciario de acuerdo con las facultades otorgadas por el parágrafo 1º del artículo 23 de la Ley 1469 de 2011. </w:t>
      </w:r>
    </w:p>
    <w:p w14:paraId="7040204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722B00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b) Los rendimientos financieros que produzcan los recursos fideicomitidos. </w:t>
      </w:r>
    </w:p>
    <w:p w14:paraId="38C73EB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EBE450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 Los que aporte cualquier persona natural o jurídica, a título gratuito. </w:t>
      </w:r>
    </w:p>
    <w:p w14:paraId="2854FFDC" w14:textId="02F0735B"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516" w:name="ver_30113726"/>
      <w:bookmarkStart w:id="517" w:name="ver_30113725"/>
      <w:bookmarkEnd w:id="516"/>
    </w:p>
    <w:p w14:paraId="5FE86B1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Artículo 2.1.1.4.1.1.3. Obligaciones de la sociedad fiduciaria. Corresponderá a la sociedad fiduciaria que se seleccione para el efecto, actuando como vocera del patrimonio autónomo constituido de acuerdo con la presente sección, ejecutar las obligaciones que se señalen en el contrato de fiducia mercantil, y especialmente las siguientes: </w:t>
      </w:r>
    </w:p>
    <w:p w14:paraId="72615F3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C8DD51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 Recibir los recursos que transfiera FONVIVIENDA, de acuerdo con lo establecido en la presente sección y las normas presupuestales vigentes. </w:t>
      </w:r>
    </w:p>
    <w:p w14:paraId="0834714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EE9904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b) Invertir transitoriamente los recursos administrados, de acuerdo con la ley, con la normativa para la inversión de los recursos de las entidades estatales del orden nacional del Decreto Único Sectorial de Hacienda y Crédito Público o las normas que lo modifiquen, adicionen o sustituyan, y con las instrucciones que imparta el órgano de decisión competente del patrimonio autónomo, en el marco de las normas antes citadas. </w:t>
      </w:r>
    </w:p>
    <w:p w14:paraId="41518A9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03F0B5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 Administrar los recursos de conformidad con las obligaciones que se señalen en el contrato de fiducia mercantil y las instrucciones impartidas por los órganos de decisión del patrimonio autónomo. </w:t>
      </w:r>
    </w:p>
    <w:p w14:paraId="3DA3CB5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FBBEF3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d) Desembolsar, de acuerdo con lo indicado por el órgano de decisión competente del patrimonio autónomo, los recursos de los subsidios familiares de vivienda, en beneficio de los hogares que hayan cumplido los requisitos establecidos en la presente sección. Los recursos se podrán desembolsar a los vendedores de las viviendas, previa autorización del hogar beneficiario del subsidio. </w:t>
      </w:r>
    </w:p>
    <w:p w14:paraId="77D4F66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FFED7E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 Llevar una contabilidad separada del negocio, de conformidad con las disposiciones que regulan la materia. </w:t>
      </w:r>
    </w:p>
    <w:p w14:paraId="2EAE12E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717510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f) Las demás obligaciones necesarias para dar cumplimiento al objeto del contrato de fiducia mercantil. </w:t>
      </w:r>
    </w:p>
    <w:p w14:paraId="004D0AED" w14:textId="0FEDF6EE"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518" w:name="ver_30113728"/>
      <w:bookmarkStart w:id="519" w:name="ver_30113727"/>
      <w:bookmarkEnd w:id="517"/>
      <w:bookmarkEnd w:id="518"/>
    </w:p>
    <w:p w14:paraId="26A8D9B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2.1.1.4.1.1.4. Gastos de administración. Con cargo a los recursos administrados por el patrimonio autónomo al que hace referencia la presente sección se sufragarán los costos en que se incurra para el manejo y control de los recursos, los gastos de operación y cualquier otro gasto que se requiera para el desarrollo, implementación y divulgación del programa a que hace referencia la presente sección. </w:t>
      </w:r>
    </w:p>
    <w:p w14:paraId="36B584D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CB4FDB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Los rendimientos financieros que generen los recursos fideicomitidos también serán destinados a la ejecución del programa, incluyendo el pago de los gastos a los que se refiere el presente artículo. </w:t>
      </w:r>
    </w:p>
    <w:p w14:paraId="76776E9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EDA676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El Ministerio de Vivienda, Ciudad y Territorio podrá reglamentar las con</w:t>
      </w:r>
      <w:r w:rsidRPr="009342F9">
        <w:rPr>
          <w:rFonts w:ascii="Arial" w:eastAsia="Times New Roman" w:hAnsi="Arial" w:cs="Arial"/>
          <w:color w:val="000000"/>
          <w:lang w:eastAsia="es-CO"/>
        </w:rPr>
        <w:softHyphen/>
        <w:t>diciones en las cuales, los vendedores de las viviendas cuyos adquirentes sean potenciales beneficiarios del Programa y los establecimientos de crédito, deben proceder a su divulgación </w:t>
      </w:r>
    </w:p>
    <w:p w14:paraId="002479CB" w14:textId="570ABB52"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2610670" w14:textId="77777777" w:rsidR="00FC79C1" w:rsidRPr="009342F9" w:rsidRDefault="00FC79C1" w:rsidP="005A1FCF">
      <w:pPr>
        <w:spacing w:after="0" w:line="240" w:lineRule="auto"/>
        <w:jc w:val="center"/>
        <w:rPr>
          <w:rFonts w:ascii="Arial" w:eastAsia="Times New Roman" w:hAnsi="Arial" w:cs="Arial"/>
          <w:b/>
          <w:bCs/>
          <w:color w:val="000000"/>
          <w:lang w:eastAsia="es-CO"/>
        </w:rPr>
      </w:pPr>
      <w:bookmarkStart w:id="520" w:name="ver_30113729"/>
      <w:bookmarkEnd w:id="519"/>
      <w:bookmarkEnd w:id="520"/>
      <w:r w:rsidRPr="009342F9">
        <w:rPr>
          <w:rFonts w:ascii="Arial" w:eastAsia="Times New Roman" w:hAnsi="Arial" w:cs="Arial"/>
          <w:b/>
          <w:bCs/>
          <w:color w:val="000000"/>
          <w:lang w:eastAsia="es-CO"/>
        </w:rPr>
        <w:t>SUBSECCIÓN 2</w:t>
      </w:r>
    </w:p>
    <w:p w14:paraId="2F40B82D" w14:textId="77777777" w:rsidR="00FC79C1" w:rsidRPr="009342F9" w:rsidRDefault="00FC79C1" w:rsidP="005A1FCF">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BENEFICIOS PARA LOS HOGARES OBJETO DEL PROGRAMA</w:t>
      </w:r>
    </w:p>
    <w:p w14:paraId="60E6751D" w14:textId="77777777" w:rsidR="00FC79C1" w:rsidRPr="009342F9" w:rsidRDefault="00FC79C1" w:rsidP="005A1FCF">
      <w:pPr>
        <w:spacing w:after="0" w:line="240" w:lineRule="auto"/>
        <w:jc w:val="center"/>
        <w:rPr>
          <w:rFonts w:ascii="Arial" w:eastAsia="Times New Roman" w:hAnsi="Arial" w:cs="Arial"/>
          <w:b/>
          <w:bCs/>
          <w:color w:val="000000"/>
          <w:lang w:eastAsia="es-CO"/>
        </w:rPr>
      </w:pPr>
      <w:bookmarkStart w:id="521" w:name="ver_30113738"/>
      <w:bookmarkStart w:id="522" w:name="ver_30113730"/>
      <w:bookmarkEnd w:id="521"/>
    </w:p>
    <w:p w14:paraId="0427B2A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2.1.1.4.1.2.1. Valor del subsidio familiar de vivienda. El monto de los sub</w:t>
      </w:r>
      <w:r w:rsidRPr="009342F9">
        <w:rPr>
          <w:rFonts w:ascii="Arial" w:eastAsia="Times New Roman" w:hAnsi="Arial" w:cs="Arial"/>
          <w:color w:val="000000"/>
          <w:lang w:eastAsia="es-CO"/>
        </w:rPr>
        <w:softHyphen/>
        <w:t xml:space="preserve">sidios familiares de vivienda destinados a la adquisición o a la suscripción de contratos de leasing habitacional de vivienda de interés social urbana nueva, que Fonvivienda asigne a los hogares que cumplan las </w:t>
      </w:r>
      <w:r w:rsidRPr="009342F9">
        <w:rPr>
          <w:rFonts w:ascii="Arial" w:eastAsia="Times New Roman" w:hAnsi="Arial" w:cs="Arial"/>
          <w:color w:val="000000"/>
          <w:lang w:eastAsia="es-CO"/>
        </w:rPr>
        <w:lastRenderedPageBreak/>
        <w:t>condiciones señaladas en la presente sección, dependerá de los ingresos del hogar objeto del subsidio, de acuerdo con los siguientes parámetros:  </w:t>
      </w:r>
    </w:p>
    <w:p w14:paraId="01FC7CD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E4E205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 A los hogares de hasta dos salarios mínimos legales mensuales vigentes (2 </w:t>
      </w:r>
      <w:proofErr w:type="spellStart"/>
      <w:r w:rsidRPr="009342F9">
        <w:rPr>
          <w:rFonts w:ascii="Arial" w:eastAsia="Times New Roman" w:hAnsi="Arial" w:cs="Arial"/>
          <w:color w:val="000000"/>
          <w:lang w:eastAsia="es-CO"/>
        </w:rPr>
        <w:t>smlmv</w:t>
      </w:r>
      <w:proofErr w:type="spellEnd"/>
      <w:r w:rsidRPr="009342F9">
        <w:rPr>
          <w:rFonts w:ascii="Arial" w:eastAsia="Times New Roman" w:hAnsi="Arial" w:cs="Arial"/>
          <w:color w:val="000000"/>
          <w:lang w:eastAsia="es-CO"/>
        </w:rPr>
        <w:t xml:space="preserve">), podrá asignárseles un subsidio hasta por el monto equivalente a treinta salarios mínimos legales mensuales vigentes (30 </w:t>
      </w:r>
      <w:proofErr w:type="spellStart"/>
      <w:r w:rsidRPr="009342F9">
        <w:rPr>
          <w:rFonts w:ascii="Arial" w:eastAsia="Times New Roman" w:hAnsi="Arial" w:cs="Arial"/>
          <w:color w:val="000000"/>
          <w:lang w:eastAsia="es-CO"/>
        </w:rPr>
        <w:t>smlmv</w:t>
      </w:r>
      <w:proofErr w:type="spellEnd"/>
      <w:r w:rsidRPr="009342F9">
        <w:rPr>
          <w:rFonts w:ascii="Arial" w:eastAsia="Times New Roman" w:hAnsi="Arial" w:cs="Arial"/>
          <w:color w:val="000000"/>
          <w:lang w:eastAsia="es-CO"/>
        </w:rPr>
        <w:t>), al momento de la solicitud de la asignación;  </w:t>
      </w:r>
    </w:p>
    <w:p w14:paraId="263B9A7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7A10D6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b) A los hogares con ingresos superiores a dos salarios mínimos legales mensuales vigentes (2 </w:t>
      </w:r>
      <w:proofErr w:type="spellStart"/>
      <w:r w:rsidRPr="009342F9">
        <w:rPr>
          <w:rFonts w:ascii="Arial" w:eastAsia="Times New Roman" w:hAnsi="Arial" w:cs="Arial"/>
          <w:color w:val="000000"/>
          <w:lang w:eastAsia="es-CO"/>
        </w:rPr>
        <w:t>smlmv</w:t>
      </w:r>
      <w:proofErr w:type="spellEnd"/>
      <w:r w:rsidRPr="009342F9">
        <w:rPr>
          <w:rFonts w:ascii="Arial" w:eastAsia="Times New Roman" w:hAnsi="Arial" w:cs="Arial"/>
          <w:color w:val="000000"/>
          <w:lang w:eastAsia="es-CO"/>
        </w:rPr>
        <w:t xml:space="preserve">) y hasta cuatro salarios mínimos legales mensuales vigentes (4 </w:t>
      </w:r>
      <w:proofErr w:type="spellStart"/>
      <w:r w:rsidRPr="009342F9">
        <w:rPr>
          <w:rFonts w:ascii="Arial" w:eastAsia="Times New Roman" w:hAnsi="Arial" w:cs="Arial"/>
          <w:color w:val="000000"/>
          <w:lang w:eastAsia="es-CO"/>
        </w:rPr>
        <w:t>smlmv</w:t>
      </w:r>
      <w:proofErr w:type="spellEnd"/>
      <w:r w:rsidRPr="009342F9">
        <w:rPr>
          <w:rFonts w:ascii="Arial" w:eastAsia="Times New Roman" w:hAnsi="Arial" w:cs="Arial"/>
          <w:color w:val="000000"/>
          <w:lang w:eastAsia="es-CO"/>
        </w:rPr>
        <w:t xml:space="preserve">), podrá asignárseles un subsidio hasta por el monto equivalente a veinte salarios mínimos legales mensuales vigentes (20 </w:t>
      </w:r>
      <w:proofErr w:type="spellStart"/>
      <w:r w:rsidRPr="009342F9">
        <w:rPr>
          <w:rFonts w:ascii="Arial" w:eastAsia="Times New Roman" w:hAnsi="Arial" w:cs="Arial"/>
          <w:color w:val="000000"/>
          <w:lang w:eastAsia="es-CO"/>
        </w:rPr>
        <w:t>smlmv</w:t>
      </w:r>
      <w:proofErr w:type="spellEnd"/>
      <w:r w:rsidRPr="009342F9">
        <w:rPr>
          <w:rFonts w:ascii="Arial" w:eastAsia="Times New Roman" w:hAnsi="Arial" w:cs="Arial"/>
          <w:color w:val="000000"/>
          <w:lang w:eastAsia="es-CO"/>
        </w:rPr>
        <w:t>), al momento de la solicitud de la asignación.  </w:t>
      </w:r>
    </w:p>
    <w:p w14:paraId="588B601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5F3078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1º. Para todos los efectos, cuando en la presente sección se hace referen</w:t>
      </w:r>
      <w:r w:rsidRPr="009342F9">
        <w:rPr>
          <w:rFonts w:ascii="Arial" w:eastAsia="Times New Roman" w:hAnsi="Arial" w:cs="Arial"/>
          <w:color w:val="000000"/>
          <w:lang w:eastAsia="es-CO"/>
        </w:rPr>
        <w:softHyphen/>
        <w:t>cia a los ingresos del hogar, se entenderá que son los ingresos totales que aquel devenga mensualmente.  </w:t>
      </w:r>
    </w:p>
    <w:p w14:paraId="0773F14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5FCE02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2º. En los actos de asignación del subsidio familiar de vivienda a que se refiere el presente artículo, se indicará expresamente que las condiciones para su aplicación y los demás beneficios a que tendría derecho el hogar, en el marco del Programa, se sujetarán a lo establecido en la presente sección.  </w:t>
      </w:r>
    </w:p>
    <w:p w14:paraId="513109F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1575C7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3º. Los subsidios familiares de vivienda cuya asignación haya sido solici</w:t>
      </w:r>
      <w:r w:rsidRPr="009342F9">
        <w:rPr>
          <w:rFonts w:ascii="Arial" w:eastAsia="Times New Roman" w:hAnsi="Arial" w:cs="Arial"/>
          <w:color w:val="000000"/>
          <w:lang w:eastAsia="es-CO"/>
        </w:rPr>
        <w:softHyphen/>
        <w:t>tada por los establecimientos de crédito, a través del sistema establecido para el efecto, serán asignados de acuerdo con el valor señalado en la norma vigente al momento de la solicitud, sin que haya lugar a la realización de ajustes o incrementos posteriores por parte de Fonvivienda.  </w:t>
      </w:r>
    </w:p>
    <w:p w14:paraId="6F82E2A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B3DD49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4º. Fonvivienda definirá el número de subsidios familiares de vivienda a asignar en cada uno de los segmentos de población a que se refieren los literales a) y b) del presente artículo. En todo caso, Fonvivienda mediante acto administrativo que será publi</w:t>
      </w:r>
      <w:r w:rsidRPr="009342F9">
        <w:rPr>
          <w:rFonts w:ascii="Arial" w:eastAsia="Times New Roman" w:hAnsi="Arial" w:cs="Arial"/>
          <w:color w:val="000000"/>
          <w:lang w:eastAsia="es-CO"/>
        </w:rPr>
        <w:softHyphen/>
        <w:t>cado, podrá optar por modificar el número de subsidios familiares de vivienda para uno o los dos segmentos, sin afectar los que se encuentren efectivamente asignados y vigentes, al momento de la expedición del acto de modificación.  </w:t>
      </w:r>
    </w:p>
    <w:p w14:paraId="4E0E464A" w14:textId="77777777" w:rsidR="00BD03DD" w:rsidRDefault="00BD03DD" w:rsidP="00FC79C1">
      <w:pPr>
        <w:spacing w:after="0" w:line="240" w:lineRule="auto"/>
        <w:jc w:val="both"/>
        <w:rPr>
          <w:rFonts w:ascii="Arial" w:eastAsia="Times New Roman" w:hAnsi="Arial" w:cs="Arial"/>
          <w:color w:val="000000"/>
          <w:lang w:eastAsia="es-CO"/>
        </w:rPr>
      </w:pPr>
    </w:p>
    <w:p w14:paraId="5E11A069" w14:textId="577F69E4"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5º. El valor total del subsidio familiar de vivienda asignado en contratos de leasing habitacional destinado a vivienda familiar deberá aplicarse al pago del canon inicial, sin perjuicio, de lo  </w:t>
      </w:r>
    </w:p>
    <w:p w14:paraId="6543CA2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4AE936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transitorio. Los hogares que suscriban contratos de leasing habitacional en las condiciones a que se refiere la presente sección, solo recibirán los beneficios del Programa Mi Casa Ya cuando los referidos contratos inicien con posterioridad al 1º de junio de 2017, sin perjuicio del cumplimiento de las demás condiciones a que se refiere la presente sección.  </w:t>
      </w:r>
    </w:p>
    <w:p w14:paraId="4AA4D78D"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523" w:name="ver_30200397"/>
      <w:bookmarkStart w:id="524" w:name="ver_30113732"/>
      <w:bookmarkStart w:id="525" w:name="ver_30113746"/>
      <w:bookmarkEnd w:id="522"/>
      <w:bookmarkEnd w:id="523"/>
    </w:p>
    <w:p w14:paraId="30EE161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2.1.1.4.1.2.2. Vigencia del programa y del subsidio familiar de vivienda. La vigencia del subsidio familiar de vivienda de que trata la presente </w:t>
      </w:r>
      <w:proofErr w:type="gramStart"/>
      <w:r w:rsidRPr="009342F9">
        <w:rPr>
          <w:rFonts w:ascii="Arial" w:eastAsia="Times New Roman" w:hAnsi="Arial" w:cs="Arial"/>
          <w:color w:val="000000"/>
          <w:lang w:eastAsia="es-CO"/>
        </w:rPr>
        <w:t>sección,</w:t>
      </w:r>
      <w:proofErr w:type="gramEnd"/>
      <w:r w:rsidRPr="009342F9">
        <w:rPr>
          <w:rFonts w:ascii="Arial" w:eastAsia="Times New Roman" w:hAnsi="Arial" w:cs="Arial"/>
          <w:color w:val="000000"/>
          <w:lang w:eastAsia="es-CO"/>
        </w:rPr>
        <w:t xml:space="preserve"> será de doce (12) meses contados a partir del primer día del mes siguiente a la fecha de su asignación.  </w:t>
      </w:r>
    </w:p>
    <w:p w14:paraId="38D1357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CFDAF7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 ampliación del programa “Mi Casa Ya” estará condicionada a la disponibilidad fiscal de los recursos tanto en el Marco de Gasto de Mediano Plazo del sector como en el Marco Fiscal de Mediano Plazo, así como a las evaluaciones sobre el cumplimiento de las metas anuales establecidas para la programación presupuestal” </w:t>
      </w:r>
    </w:p>
    <w:p w14:paraId="5578A558" w14:textId="77777777" w:rsidR="005A1FCF" w:rsidRPr="009342F9" w:rsidRDefault="005A1FCF" w:rsidP="00FC79C1">
      <w:pPr>
        <w:spacing w:after="0" w:line="240" w:lineRule="auto"/>
        <w:jc w:val="both"/>
        <w:rPr>
          <w:rFonts w:ascii="Arial" w:eastAsia="Times New Roman" w:hAnsi="Arial" w:cs="Arial"/>
          <w:color w:val="000000"/>
          <w:lang w:eastAsia="es-CO"/>
        </w:rPr>
      </w:pPr>
      <w:bookmarkStart w:id="526" w:name="ver_30113736"/>
      <w:bookmarkEnd w:id="524"/>
      <w:bookmarkEnd w:id="525"/>
    </w:p>
    <w:p w14:paraId="7E289A8F" w14:textId="28941F11"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Artículo 2.1.1.4.1.2.3. Cobertura de tasa de interés. Los hogares que resulten bene</w:t>
      </w:r>
      <w:r w:rsidRPr="009342F9">
        <w:rPr>
          <w:rFonts w:ascii="Arial" w:eastAsia="Times New Roman" w:hAnsi="Arial" w:cs="Arial"/>
          <w:color w:val="000000"/>
          <w:lang w:eastAsia="es-CO"/>
        </w:rPr>
        <w:softHyphen/>
        <w:t>ficiarios del subsidio familiar de vivienda al que hace referencia el artículo 2.1.1.4.1.2.1 de este decreto, podrán acceder a la cobertura de tasa de interés prevista en el artículo 123 de la Ley 1450 de 2011, a través de créditos otorgados por los establecimientos de crédito para compra de vivienda, o contratos de leasing habitacional destinados a la adquisición de vivienda familiar, en las condiciones y términos que establezca el Gobierno nacional.  </w:t>
      </w:r>
    </w:p>
    <w:p w14:paraId="76BE674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18C9DB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La cobertura a que se refiere el presente </w:t>
      </w:r>
      <w:proofErr w:type="gramStart"/>
      <w:r w:rsidRPr="009342F9">
        <w:rPr>
          <w:rFonts w:ascii="Arial" w:eastAsia="Times New Roman" w:hAnsi="Arial" w:cs="Arial"/>
          <w:color w:val="000000"/>
          <w:lang w:eastAsia="es-CO"/>
        </w:rPr>
        <w:t>artículo,</w:t>
      </w:r>
      <w:proofErr w:type="gramEnd"/>
      <w:r w:rsidRPr="009342F9">
        <w:rPr>
          <w:rFonts w:ascii="Arial" w:eastAsia="Times New Roman" w:hAnsi="Arial" w:cs="Arial"/>
          <w:color w:val="000000"/>
          <w:lang w:eastAsia="es-CO"/>
        </w:rPr>
        <w:t xml:space="preserve"> estará sujeta a que el crédito para la adquisición o la operación de leasing habitacional se aplique en una vivienda de interés social urbana nueva que reúna las condiciones previstas en la subsección 4 de esta sección.  </w:t>
      </w:r>
    </w:p>
    <w:p w14:paraId="0A8AE1E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D0A0B4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todo caso, para que los potenciales deudores de crédito o los locatarios pertenecien</w:t>
      </w:r>
      <w:r w:rsidRPr="009342F9">
        <w:rPr>
          <w:rFonts w:ascii="Arial" w:eastAsia="Times New Roman" w:hAnsi="Arial" w:cs="Arial"/>
          <w:color w:val="000000"/>
          <w:lang w:eastAsia="es-CO"/>
        </w:rPr>
        <w:softHyphen/>
        <w:t>tes a los hogares beneficiarios del subsidio familiar de vivienda previsto en esta sección, puedan acceder a la cobertura de tasa de interés, es necesario que el establecimiento de crédito cumpla con lo dispuesto en las normas vigentes, para que sus deudores o locatarios obtengan este beneficio.  </w:t>
      </w:r>
    </w:p>
    <w:p w14:paraId="7D5BAFB3" w14:textId="77777777" w:rsidR="00FC79C1" w:rsidRPr="009342F9" w:rsidRDefault="00FC79C1" w:rsidP="005A1FCF">
      <w:pPr>
        <w:spacing w:after="0" w:line="240" w:lineRule="auto"/>
        <w:jc w:val="center"/>
        <w:rPr>
          <w:rFonts w:ascii="Arial" w:eastAsia="Times New Roman" w:hAnsi="Arial" w:cs="Arial"/>
          <w:b/>
          <w:bCs/>
          <w:color w:val="000000"/>
          <w:lang w:eastAsia="es-CO"/>
        </w:rPr>
      </w:pPr>
    </w:p>
    <w:p w14:paraId="417073F1" w14:textId="77777777" w:rsidR="00FC79C1" w:rsidRPr="009342F9" w:rsidRDefault="00FC79C1" w:rsidP="005A1FCF">
      <w:pPr>
        <w:spacing w:after="0" w:line="240" w:lineRule="auto"/>
        <w:jc w:val="center"/>
        <w:rPr>
          <w:rFonts w:ascii="Arial" w:eastAsia="Times New Roman" w:hAnsi="Arial" w:cs="Arial"/>
          <w:b/>
          <w:bCs/>
          <w:color w:val="000000"/>
          <w:lang w:eastAsia="es-CO"/>
        </w:rPr>
      </w:pPr>
      <w:bookmarkStart w:id="527" w:name="ver_30113748"/>
      <w:bookmarkEnd w:id="526"/>
      <w:bookmarkEnd w:id="527"/>
      <w:r w:rsidRPr="009342F9">
        <w:rPr>
          <w:rFonts w:ascii="Arial" w:eastAsia="Times New Roman" w:hAnsi="Arial" w:cs="Arial"/>
          <w:b/>
          <w:bCs/>
          <w:color w:val="000000"/>
          <w:lang w:eastAsia="es-CO"/>
        </w:rPr>
        <w:t>SUBSECCIÓN 3</w:t>
      </w:r>
    </w:p>
    <w:p w14:paraId="121CBF97" w14:textId="77777777" w:rsidR="00FC79C1" w:rsidRPr="009342F9" w:rsidRDefault="00FC79C1" w:rsidP="005A1FCF">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CONDICIONES DE LOS BENEFICIARIOS DEL PROGRAMA</w:t>
      </w:r>
    </w:p>
    <w:p w14:paraId="73EED1EE" w14:textId="77777777" w:rsidR="00FC79C1" w:rsidRPr="009342F9" w:rsidRDefault="00FC79C1" w:rsidP="005A1FCF">
      <w:pPr>
        <w:spacing w:after="0" w:line="240" w:lineRule="auto"/>
        <w:jc w:val="center"/>
        <w:rPr>
          <w:rFonts w:ascii="Arial" w:eastAsia="Times New Roman" w:hAnsi="Arial" w:cs="Arial"/>
          <w:b/>
          <w:bCs/>
          <w:color w:val="000000"/>
          <w:lang w:eastAsia="es-CO"/>
        </w:rPr>
      </w:pPr>
      <w:bookmarkStart w:id="528" w:name="ver_30113753"/>
      <w:bookmarkStart w:id="529" w:name="ver_30113749"/>
      <w:bookmarkEnd w:id="528"/>
    </w:p>
    <w:p w14:paraId="2BF87BA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2.1.1.4.1.3.1. Beneficiarios. Podrán ser beneficiarios del Programa a que se refiere la presente sección los hogares que cumplan las siguientes condiciones:  </w:t>
      </w:r>
    </w:p>
    <w:p w14:paraId="76AC16D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2F6501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 Tener ingresos totales mensuales hasta por el equivalente a cuatro salarios mínimos mensuales legales vigentes (4 </w:t>
      </w:r>
      <w:proofErr w:type="spellStart"/>
      <w:r w:rsidRPr="009342F9">
        <w:rPr>
          <w:rFonts w:ascii="Arial" w:eastAsia="Times New Roman" w:hAnsi="Arial" w:cs="Arial"/>
          <w:color w:val="000000"/>
          <w:lang w:eastAsia="es-CO"/>
        </w:rPr>
        <w:t>smlmv</w:t>
      </w:r>
      <w:proofErr w:type="spellEnd"/>
      <w:r w:rsidRPr="009342F9">
        <w:rPr>
          <w:rFonts w:ascii="Arial" w:eastAsia="Times New Roman" w:hAnsi="Arial" w:cs="Arial"/>
          <w:color w:val="000000"/>
          <w:lang w:eastAsia="es-CO"/>
        </w:rPr>
        <w:t>).  </w:t>
      </w:r>
    </w:p>
    <w:p w14:paraId="7E6C3FF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9DF32B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b) No ser propietarios de una vivienda en el territorio nacional.  </w:t>
      </w:r>
    </w:p>
    <w:p w14:paraId="22A84DE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DC140B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 No haber sido beneficiarios de un subsidio familiar de vivienda otorgado por una Caja de Compensación Familiar.  </w:t>
      </w:r>
    </w:p>
    <w:p w14:paraId="69DD070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F642B4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d) No haber sido beneficiarios de un subsidio familiar de vivienda otorgado por el Gobierno nacional, que haya sido efectivamente aplicado, salvo quienes hayan perdido la vivienda por imposibilidad de pago, de acuerdo con lo establecido en el artículo 33 de la Ley 546 de 1999 o cuando la vivienda en la cual se haya aplicado el subsidio haya resulta</w:t>
      </w:r>
      <w:r w:rsidRPr="009342F9">
        <w:rPr>
          <w:rFonts w:ascii="Arial" w:eastAsia="Times New Roman" w:hAnsi="Arial" w:cs="Arial"/>
          <w:color w:val="000000"/>
          <w:lang w:eastAsia="es-CO"/>
        </w:rPr>
        <w:softHyphen/>
        <w:t>do totalmente destruida o quedado inhabitable como consecuencia de desastres naturales, calamidades públicas, emergencias, o atentados terroristas, o que haya sido abandonada o despojada en el marco del conflicto armado interno;  </w:t>
      </w:r>
    </w:p>
    <w:p w14:paraId="20DD2D6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024278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 No haber sido beneficiarios, a cualquier título, de las coberturas de tasa de interés, establecidas en el Decreto 1068 de 2015, Decreto Único Reglamentario del Sector Hacienda y Crédito Público, y en el presente decreto, y las normas que los reglamenten, modifiquen, adicionen o sustituyan;  </w:t>
      </w:r>
    </w:p>
    <w:p w14:paraId="660E499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D29882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f) Contar con un crédito aprobado para la adquisición de la solución de vivienda, lo cual se acreditará con una carta de aprobación de crédito que deberá consistir en una evaluación crediticia favorable emitida por un establecimiento de crédito, o contar con una carta de aprobación de un leasing habitacional, emitida por un establecimiento de crédito.  </w:t>
      </w:r>
    </w:p>
    <w:p w14:paraId="4D5A4F9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CACFA0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Parágrafo. Los hogares beneficiarios del Programa a que se refiere la presente </w:t>
      </w:r>
      <w:proofErr w:type="gramStart"/>
      <w:r w:rsidRPr="009342F9">
        <w:rPr>
          <w:rFonts w:ascii="Arial" w:eastAsia="Times New Roman" w:hAnsi="Arial" w:cs="Arial"/>
          <w:color w:val="000000"/>
          <w:lang w:eastAsia="es-CO"/>
        </w:rPr>
        <w:t>sección,</w:t>
      </w:r>
      <w:proofErr w:type="gramEnd"/>
      <w:r w:rsidRPr="009342F9">
        <w:rPr>
          <w:rFonts w:ascii="Arial" w:eastAsia="Times New Roman" w:hAnsi="Arial" w:cs="Arial"/>
          <w:color w:val="000000"/>
          <w:lang w:eastAsia="es-CO"/>
        </w:rPr>
        <w:t xml:space="preserve"> serán aquellos conformados por una o más personas que integren el mismo grupo familiar, incluidos los cónyuges y las uniones maritales de hecho, las parejas del mismo sexo y/o el grupo de </w:t>
      </w:r>
      <w:r w:rsidRPr="009342F9">
        <w:rPr>
          <w:rFonts w:ascii="Arial" w:eastAsia="Times New Roman" w:hAnsi="Arial" w:cs="Arial"/>
          <w:color w:val="000000"/>
          <w:lang w:eastAsia="es-CO"/>
        </w:rPr>
        <w:lastRenderedPageBreak/>
        <w:t>personas unidas por vínculos de parentesco hasta el segundo grado de consangui</w:t>
      </w:r>
      <w:r w:rsidRPr="009342F9">
        <w:rPr>
          <w:rFonts w:ascii="Arial" w:eastAsia="Times New Roman" w:hAnsi="Arial" w:cs="Arial"/>
          <w:color w:val="000000"/>
          <w:lang w:eastAsia="es-CO"/>
        </w:rPr>
        <w:softHyphen/>
        <w:t>nidad, primero de afinidad y único civil.  </w:t>
      </w:r>
    </w:p>
    <w:p w14:paraId="38A0D379" w14:textId="106BF6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524E44F"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530" w:name="ver_30113750"/>
      <w:bookmarkStart w:id="531" w:name="ver_30113754"/>
      <w:bookmarkEnd w:id="529"/>
      <w:r w:rsidRPr="009342F9">
        <w:rPr>
          <w:rFonts w:ascii="Arial" w:eastAsia="Times New Roman" w:hAnsi="Arial" w:cs="Arial"/>
          <w:color w:val="000000"/>
          <w:lang w:eastAsia="es-CO"/>
        </w:rPr>
        <w:t xml:space="preserve">Artículo 2.1.1.4.1.3.2. Acceso al programa con subsidio vigente y sin aplicar. Los beneficiarios del programa reglamentado en la presente sección tendrán derecho a un solo subsidio a otorgarse en el marco </w:t>
      </w:r>
      <w:proofErr w:type="gramStart"/>
      <w:r w:rsidRPr="009342F9">
        <w:rPr>
          <w:rFonts w:ascii="Arial" w:eastAsia="Times New Roman" w:hAnsi="Arial" w:cs="Arial"/>
          <w:color w:val="000000"/>
          <w:lang w:eastAsia="es-CO"/>
        </w:rPr>
        <w:t>del mismo</w:t>
      </w:r>
      <w:proofErr w:type="gramEnd"/>
      <w:r w:rsidRPr="009342F9">
        <w:rPr>
          <w:rFonts w:ascii="Arial" w:eastAsia="Times New Roman" w:hAnsi="Arial" w:cs="Arial"/>
          <w:color w:val="000000"/>
          <w:lang w:eastAsia="es-CO"/>
        </w:rPr>
        <w:t>, así se les haya asignado con anterioridad un subsidio familiar de vivienda por parte de Fonvivienda y este se encuentre pendiente de aplicación.  </w:t>
      </w:r>
    </w:p>
    <w:p w14:paraId="3357940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1D7790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Quien haya sido beneficiario de un subsidio familiar de vivienda para la adquisición de vivienda urbana que se encuentre vigente y sin aplicar, asignado por Fonvivienda antes de la </w:t>
      </w:r>
      <w:proofErr w:type="gramStart"/>
      <w:r w:rsidRPr="009342F9">
        <w:rPr>
          <w:rFonts w:ascii="Arial" w:eastAsia="Times New Roman" w:hAnsi="Arial" w:cs="Arial"/>
          <w:color w:val="000000"/>
          <w:lang w:eastAsia="es-CO"/>
        </w:rPr>
        <w:t>entrada en vigencia</w:t>
      </w:r>
      <w:proofErr w:type="gramEnd"/>
      <w:r w:rsidRPr="009342F9">
        <w:rPr>
          <w:rFonts w:ascii="Arial" w:eastAsia="Times New Roman" w:hAnsi="Arial" w:cs="Arial"/>
          <w:color w:val="000000"/>
          <w:lang w:eastAsia="es-CO"/>
        </w:rPr>
        <w:t xml:space="preserve"> de la presente sección, podrá resultar beneficiario del subsidio familiar de vivienda a que se refiere el artículo 2.1.1.4.1.2.1 del presente decreto, previa renuncia al subsidio asignado que se encuentre sin aplicar.  </w:t>
      </w:r>
    </w:p>
    <w:p w14:paraId="024B1E9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6E17C4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Cuando el hogar beneficiario se encuentre inscrito en el Registro Único de Población Desplazada (RUPD), o el que haga sus veces, se podrá sumar el subsidio familiar de vivienda inicialmente asignado, que se encuentre sin aplicar, y el subsidio familiar de vivienda a que se refiere el artículo 2.1.1.4.1.2.1 de este decreto, para la adquisición de una vivienda en el marco del Programa “Mi Casa Ya”. En todo caso, el subsidio familiar de vivienda de Fonvivienda no podrá superar el 90% del valor de la vivienda”.  </w:t>
      </w:r>
    </w:p>
    <w:p w14:paraId="5B6ED9FD" w14:textId="60FE2D80"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532" w:name="ver_30113755"/>
      <w:bookmarkStart w:id="533" w:name="ver_30113751"/>
      <w:bookmarkEnd w:id="530"/>
      <w:bookmarkEnd w:id="531"/>
      <w:bookmarkEnd w:id="532"/>
    </w:p>
    <w:p w14:paraId="46AD950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2.1.1.4.1.3.3. Verificación de información. Fonvivienda determinará el sistema mediante el cual se realizará la verificación de las bases de datos a que haya lugar, para establecer si un hogar cumple con las condiciones señaladas en los literales a), b), c), d) y e) del artículo 2.1.1.4.1.3.1 del presente decreto. En todo caso, la verificación solamente se realizará en la medida en que la solicite un establecimiento de crédito.  </w:t>
      </w:r>
    </w:p>
    <w:p w14:paraId="0C3A15E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B668D18" w14:textId="122473ED"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Fonvivienda definirá los términos y condiciones en que los establecimientos de crédito deben adelantar la verificación. En todo caso, dichas entidades deberán reportar y consultar el número de cédula de todos los miembros mayores de edad del hogar interesado en ser beneficiario del Programa.  </w:t>
      </w:r>
    </w:p>
    <w:p w14:paraId="1B7FF835" w14:textId="77777777" w:rsidR="005A1FCF" w:rsidRPr="009342F9" w:rsidRDefault="005A1FCF" w:rsidP="00FC79C1">
      <w:pPr>
        <w:spacing w:after="0" w:line="240" w:lineRule="auto"/>
        <w:jc w:val="both"/>
        <w:rPr>
          <w:rFonts w:ascii="Arial" w:eastAsia="Times New Roman" w:hAnsi="Arial" w:cs="Arial"/>
          <w:color w:val="000000"/>
          <w:lang w:eastAsia="es-CO"/>
        </w:rPr>
      </w:pPr>
    </w:p>
    <w:p w14:paraId="183F8D3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 entidad que adelante la verificación, en los términos a los cuales se refiere el presente artículo, deberá previamente solicitar a los miembros mayores de edad del hogar que sus</w:t>
      </w:r>
      <w:r w:rsidRPr="009342F9">
        <w:rPr>
          <w:rFonts w:ascii="Arial" w:eastAsia="Times New Roman" w:hAnsi="Arial" w:cs="Arial"/>
          <w:color w:val="000000"/>
          <w:lang w:eastAsia="es-CO"/>
        </w:rPr>
        <w:softHyphen/>
        <w:t xml:space="preserve">criban una autorización para ser consultados en las bases de datos a que haya lugar. Dicha entidad solamente realizará la verificación en el evento en que el hogar manifieste, bajo la gravedad de juramento, que tiene ingresos mensuales inferiores o iguales a cuatro salarios mínimos legales mensuales vigentes (4 </w:t>
      </w:r>
      <w:proofErr w:type="spellStart"/>
      <w:r w:rsidRPr="009342F9">
        <w:rPr>
          <w:rFonts w:ascii="Arial" w:eastAsia="Times New Roman" w:hAnsi="Arial" w:cs="Arial"/>
          <w:color w:val="000000"/>
          <w:lang w:eastAsia="es-CO"/>
        </w:rPr>
        <w:t>smlmv</w:t>
      </w:r>
      <w:proofErr w:type="spellEnd"/>
      <w:r w:rsidRPr="009342F9">
        <w:rPr>
          <w:rFonts w:ascii="Arial" w:eastAsia="Times New Roman" w:hAnsi="Arial" w:cs="Arial"/>
          <w:color w:val="000000"/>
          <w:lang w:eastAsia="es-CO"/>
        </w:rPr>
        <w:t xml:space="preserve">), y que tiene interés en adquirir una vivienda que cumpla las condiciones definidas en </w:t>
      </w:r>
      <w:proofErr w:type="gramStart"/>
      <w:r w:rsidRPr="009342F9">
        <w:rPr>
          <w:rFonts w:ascii="Arial" w:eastAsia="Times New Roman" w:hAnsi="Arial" w:cs="Arial"/>
          <w:color w:val="000000"/>
          <w:lang w:eastAsia="es-CO"/>
        </w:rPr>
        <w:t>el subsección</w:t>
      </w:r>
      <w:proofErr w:type="gramEnd"/>
      <w:r w:rsidRPr="009342F9">
        <w:rPr>
          <w:rFonts w:ascii="Arial" w:eastAsia="Times New Roman" w:hAnsi="Arial" w:cs="Arial"/>
          <w:color w:val="000000"/>
          <w:lang w:eastAsia="es-CO"/>
        </w:rPr>
        <w:t xml:space="preserve"> 4 de esta sección, o en suscribir un contrato de leasing habitacional sobre una vivienda que cumpla las mismas condiciones.  </w:t>
      </w:r>
    </w:p>
    <w:p w14:paraId="591932F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6C64D6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Cuando, en cualquier momento del proceso de legalización de un crédito hipotecario o de suscripción de un contrato de leasing habitacional, el establecimiento de crédito advierta que el hogar cuenta o manifiesta contar con ingresos dentro del rango señalado y pretende adquirir una vivienda que cumpla las condiciones establecidas, deberá informarle la opción de acceder al Programa Mi Casa Ya e indicarle expresamente el procedimiento a seguir para verificar que cumple los requisitos para obtener los beneficios en el marco del mismo y para, eventualmente, solicitar la asignación del subsidio familiar de vivienda.  </w:t>
      </w:r>
    </w:p>
    <w:p w14:paraId="70956B4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F412F01" w14:textId="7D626B3C"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Fonvivienda entenderá, para todos los efectos, que la entidad que realice la verificación de acuerdo con lo establecido en el presente </w:t>
      </w:r>
      <w:proofErr w:type="gramStart"/>
      <w:r w:rsidRPr="009342F9">
        <w:rPr>
          <w:rFonts w:ascii="Arial" w:eastAsia="Times New Roman" w:hAnsi="Arial" w:cs="Arial"/>
          <w:color w:val="000000"/>
          <w:lang w:eastAsia="es-CO"/>
        </w:rPr>
        <w:t>artículo,</w:t>
      </w:r>
      <w:proofErr w:type="gramEnd"/>
      <w:r w:rsidRPr="009342F9">
        <w:rPr>
          <w:rFonts w:ascii="Arial" w:eastAsia="Times New Roman" w:hAnsi="Arial" w:cs="Arial"/>
          <w:color w:val="000000"/>
          <w:lang w:eastAsia="es-CO"/>
        </w:rPr>
        <w:t xml:space="preserve"> cuenta con la autorización suscrita por los </w:t>
      </w:r>
      <w:r w:rsidRPr="009342F9">
        <w:rPr>
          <w:rFonts w:ascii="Arial" w:eastAsia="Times New Roman" w:hAnsi="Arial" w:cs="Arial"/>
          <w:color w:val="000000"/>
          <w:lang w:eastAsia="es-CO"/>
        </w:rPr>
        <w:lastRenderedPageBreak/>
        <w:t>miembros mayores de edad del hogar y con la constancia de las manifestaciones previamente señaladas.  </w:t>
      </w:r>
    </w:p>
    <w:p w14:paraId="43B8C758" w14:textId="77777777" w:rsidR="005A1FCF" w:rsidRPr="009342F9" w:rsidRDefault="005A1FCF" w:rsidP="00FC79C1">
      <w:pPr>
        <w:spacing w:after="0" w:line="240" w:lineRule="auto"/>
        <w:jc w:val="both"/>
        <w:rPr>
          <w:rFonts w:ascii="Arial" w:eastAsia="Times New Roman" w:hAnsi="Arial" w:cs="Arial"/>
          <w:color w:val="000000"/>
          <w:lang w:eastAsia="es-CO"/>
        </w:rPr>
      </w:pPr>
    </w:p>
    <w:p w14:paraId="72B4F36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 verificación de que el hogar cumple las condiciones para ser beneficiario del Pro</w:t>
      </w:r>
      <w:r w:rsidRPr="009342F9">
        <w:rPr>
          <w:rFonts w:ascii="Arial" w:eastAsia="Times New Roman" w:hAnsi="Arial" w:cs="Arial"/>
          <w:color w:val="000000"/>
          <w:lang w:eastAsia="es-CO"/>
        </w:rPr>
        <w:softHyphen/>
        <w:t>grama a que se refiere esta sección la realizará el establecimiento de crédito, a través de la consulta en el sistema de información que indique Fonvivienda, sistema que indicará a la entidad que realice la consulta, el resultado de la verificación. En el evento en que el hogar no cumpla las condiciones, el sistema indicará las razones por las cuales el hogar no es potencial beneficiario del Programa.  </w:t>
      </w:r>
    </w:p>
    <w:p w14:paraId="22EBBA6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85AA33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El cumplimiento de las condiciones para ser beneficiario del Programa, de conformidad con este artículo, no genera para Fonvivienda la obligación de asignar el subsidio a que se refiere el mismo, lo cual solo se hará de conformidad con lo establecido en la subsección 5 de esta sección.  </w:t>
      </w:r>
    </w:p>
    <w:p w14:paraId="6BD0367E" w14:textId="77777777" w:rsidR="005A1FCF"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534" w:name="ver_30113760"/>
      <w:bookmarkStart w:id="535" w:name="ver_30113752"/>
      <w:bookmarkEnd w:id="533"/>
      <w:bookmarkEnd w:id="534"/>
    </w:p>
    <w:p w14:paraId="34404557" w14:textId="599CB4C8"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2.1.1.4.1.3.4. Responsabilidad para Fonvivienda. Fonvivienda no será res</w:t>
      </w:r>
      <w:r w:rsidRPr="009342F9">
        <w:rPr>
          <w:rFonts w:ascii="Arial" w:eastAsia="Times New Roman" w:hAnsi="Arial" w:cs="Arial"/>
          <w:color w:val="000000"/>
          <w:lang w:eastAsia="es-CO"/>
        </w:rPr>
        <w:softHyphen/>
        <w:t xml:space="preserve">ponsable de verificar el cierre financiero del hogar para la adquisición de la vivienda, ni el cumplimiento de los requisitos por parte del hogar para la suscripción de un contrato de leasing habitacional, ni las condiciones necesarias para la obtención de cartas de aprobación de crédito o de aprobación de operaciones de leasing habitacional. Tampoco será parte de los negocios jurídicos que realice el hogar beneficiario del Programa con el vendedor de la vivienda ni con la entidad que otorgue el crédito o leasing habitacional necesario para la adquisición de </w:t>
      </w:r>
      <w:proofErr w:type="gramStart"/>
      <w:r w:rsidRPr="009342F9">
        <w:rPr>
          <w:rFonts w:ascii="Arial" w:eastAsia="Times New Roman" w:hAnsi="Arial" w:cs="Arial"/>
          <w:color w:val="000000"/>
          <w:lang w:eastAsia="es-CO"/>
        </w:rPr>
        <w:t>la misma</w:t>
      </w:r>
      <w:proofErr w:type="gramEnd"/>
      <w:r w:rsidRPr="009342F9">
        <w:rPr>
          <w:rFonts w:ascii="Arial" w:eastAsia="Times New Roman" w:hAnsi="Arial" w:cs="Arial"/>
          <w:color w:val="000000"/>
          <w:lang w:eastAsia="es-CO"/>
        </w:rPr>
        <w:t>”.  </w:t>
      </w:r>
    </w:p>
    <w:p w14:paraId="6DADB092" w14:textId="77777777" w:rsidR="00FC79C1" w:rsidRPr="009342F9" w:rsidRDefault="00FC79C1" w:rsidP="00FC79C1">
      <w:pPr>
        <w:spacing w:after="0" w:line="240" w:lineRule="auto"/>
        <w:jc w:val="both"/>
        <w:rPr>
          <w:rFonts w:ascii="Arial" w:eastAsia="Times New Roman" w:hAnsi="Arial" w:cs="Arial"/>
          <w:color w:val="000000"/>
          <w:lang w:eastAsia="es-CO"/>
        </w:rPr>
      </w:pPr>
    </w:p>
    <w:p w14:paraId="3B5BC541" w14:textId="77777777" w:rsidR="00FC79C1" w:rsidRPr="009342F9" w:rsidRDefault="00FC79C1" w:rsidP="005A1FCF">
      <w:pPr>
        <w:spacing w:after="0" w:line="240" w:lineRule="auto"/>
        <w:jc w:val="center"/>
        <w:rPr>
          <w:rFonts w:ascii="Arial" w:eastAsia="Times New Roman" w:hAnsi="Arial" w:cs="Arial"/>
          <w:b/>
          <w:bCs/>
          <w:color w:val="000000"/>
          <w:lang w:eastAsia="es-CO"/>
        </w:rPr>
      </w:pPr>
      <w:bookmarkStart w:id="536" w:name="ver_30113765"/>
      <w:bookmarkEnd w:id="535"/>
      <w:bookmarkEnd w:id="536"/>
      <w:r w:rsidRPr="009342F9">
        <w:rPr>
          <w:rFonts w:ascii="Arial" w:eastAsia="Times New Roman" w:hAnsi="Arial" w:cs="Arial"/>
          <w:b/>
          <w:bCs/>
          <w:color w:val="000000"/>
          <w:lang w:eastAsia="es-CO"/>
        </w:rPr>
        <w:t>SUBSECCIÓN 4</w:t>
      </w:r>
    </w:p>
    <w:p w14:paraId="4AAB1DF6" w14:textId="77777777" w:rsidR="00FC79C1" w:rsidRDefault="00FC79C1" w:rsidP="005A1FCF">
      <w:pPr>
        <w:spacing w:after="0" w:line="240" w:lineRule="auto"/>
        <w:jc w:val="center"/>
        <w:rPr>
          <w:rFonts w:ascii="Arial" w:eastAsia="Times New Roman" w:hAnsi="Arial" w:cs="Arial"/>
          <w:b/>
          <w:bCs/>
          <w:color w:val="000000"/>
          <w:lang w:eastAsia="es-CO"/>
        </w:rPr>
      </w:pPr>
      <w:r w:rsidRPr="231E957E">
        <w:rPr>
          <w:rFonts w:ascii="Arial" w:eastAsia="Times New Roman" w:hAnsi="Arial" w:cs="Arial"/>
          <w:b/>
          <w:color w:val="000000" w:themeColor="text1"/>
          <w:lang w:eastAsia="es-CO"/>
        </w:rPr>
        <w:t>CONDICIONES DE LAS VIVIENDAS EN DESARROLLO DEL PROGRAMA</w:t>
      </w:r>
    </w:p>
    <w:p w14:paraId="386EC51A" w14:textId="77777777" w:rsidR="007C7D44" w:rsidRPr="009342F9" w:rsidRDefault="007C7D44" w:rsidP="005A1FCF">
      <w:pPr>
        <w:spacing w:after="0" w:line="240" w:lineRule="auto"/>
        <w:jc w:val="center"/>
        <w:rPr>
          <w:rFonts w:ascii="Arial" w:eastAsia="Times New Roman" w:hAnsi="Arial" w:cs="Arial"/>
          <w:b/>
          <w:bCs/>
          <w:color w:val="000000"/>
          <w:lang w:eastAsia="es-CO"/>
        </w:rPr>
      </w:pPr>
    </w:p>
    <w:p w14:paraId="21A94DEC" w14:textId="77777777" w:rsidR="00FC79C1" w:rsidRPr="009342F9" w:rsidRDefault="00FC79C1" w:rsidP="005A1FCF">
      <w:pPr>
        <w:spacing w:after="0" w:line="240" w:lineRule="auto"/>
        <w:jc w:val="center"/>
        <w:rPr>
          <w:rFonts w:ascii="Arial" w:eastAsia="Times New Roman" w:hAnsi="Arial" w:cs="Arial"/>
          <w:b/>
          <w:bCs/>
          <w:color w:val="000000"/>
          <w:lang w:eastAsia="es-CO"/>
        </w:rPr>
      </w:pPr>
      <w:bookmarkStart w:id="537" w:name="ver_30113764"/>
      <w:bookmarkEnd w:id="537"/>
      <w:r w:rsidRPr="009342F9">
        <w:rPr>
          <w:rFonts w:ascii="Arial" w:eastAsia="Times New Roman" w:hAnsi="Arial" w:cs="Arial"/>
          <w:b/>
          <w:bCs/>
          <w:color w:val="000000"/>
          <w:lang w:eastAsia="es-CO"/>
        </w:rPr>
        <w:t>SUBSECCIÓN 4</w:t>
      </w:r>
    </w:p>
    <w:p w14:paraId="771F0B42" w14:textId="77777777" w:rsidR="00FC79C1" w:rsidRPr="009342F9" w:rsidRDefault="00FC79C1" w:rsidP="005A1FCF">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CONDICIONES DE LAS VIVIENDAS A ADQUIRIR EN DESARROLLO DEL PROGRAMA</w:t>
      </w:r>
    </w:p>
    <w:p w14:paraId="7CFFC97A"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538" w:name="ver_30113767"/>
      <w:bookmarkStart w:id="539" w:name="ver_30113766"/>
      <w:bookmarkEnd w:id="538"/>
    </w:p>
    <w:p w14:paraId="7BE139B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2.1.1.4.1.4.1. Definición de los departamentos, municipios y/o regiones en que se ejecuta el programa. El Ministerio de Vivienda, Ciudad y Territorio (MVCT) definirá cuáles son los departamentos, municipios y/o regiones en los cuales se ejecutarán las viviendas cuyos adquirentes o locatarios recibirán los beneficios del Programa a que se refiere esta sección.  </w:t>
      </w:r>
    </w:p>
    <w:p w14:paraId="0A71019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C5605E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El MVCT revisará los resultados de la implementación del Programa y podrá modificar la definición de los departamentos, municipios y/o regiones a que se refiere este artículo, justificando lo pertinente.  </w:t>
      </w:r>
    </w:p>
    <w:p w14:paraId="7B2D037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8EA23C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El acto mediante el cual se definan los departamentos, municipios y/o regiones a que se refiere el presente artículo, deberá publicarse en la página web del MVCT y/o en cualquier otro medio que este indique, para dar publicidad al documento.  </w:t>
      </w:r>
    </w:p>
    <w:p w14:paraId="196B4A6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4124BB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Solo recibirán los beneficios del Programa quienes, además de cumplir con los requisi</w:t>
      </w:r>
      <w:r w:rsidRPr="009342F9">
        <w:rPr>
          <w:rFonts w:ascii="Arial" w:eastAsia="Times New Roman" w:hAnsi="Arial" w:cs="Arial"/>
          <w:color w:val="000000"/>
          <w:lang w:eastAsia="es-CO"/>
        </w:rPr>
        <w:softHyphen/>
        <w:t>tos establecidos en esta sección, adquieran, o suscriban un contrato de leasing habitacional sobre, una vivienda de interés social urbana nueva en los departamentos, municipios y/o regiones definidos de conformidad con lo establecido en el presente artículo.  </w:t>
      </w:r>
    </w:p>
    <w:p w14:paraId="0CEEFCA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75F585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En el evento en que el MVCT modifique la relación de los departamentos, municipios y/o regiones definidos inicialmente mediante acto administrativo, esta decisión no afectará las condiciones de los hogares que hayan cumplido los requisitos de acceso al Programa a que se refiere esta sección, y respecto de los cuales, el correspondiente estable</w:t>
      </w:r>
      <w:r w:rsidRPr="009342F9">
        <w:rPr>
          <w:rFonts w:ascii="Arial" w:eastAsia="Times New Roman" w:hAnsi="Arial" w:cs="Arial"/>
          <w:color w:val="000000"/>
          <w:lang w:eastAsia="es-CO"/>
        </w:rPr>
        <w:softHyphen/>
        <w:t>cimiento de crédito, haya solicitado que se proceda a la asignación del subsidio.  </w:t>
      </w:r>
    </w:p>
    <w:p w14:paraId="334D7365"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540" w:name="ver_30210172"/>
      <w:bookmarkStart w:id="541" w:name="ver_30113768"/>
      <w:bookmarkStart w:id="542" w:name="ver_30113769"/>
      <w:bookmarkEnd w:id="539"/>
      <w:bookmarkEnd w:id="540"/>
    </w:p>
    <w:p w14:paraId="3D50C14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2.1.1.4.1.4.2. Valor de la vivienda. El valor de la vivienda de interés social urbana nueva en la que se aplicarán los subsidios a los que hace referencia la presente sección no podrá ser superior a ciento treinta y cinco (135) salarios mínimos legales mensuales vigentes. Excepcionalmente, en los municipios y distritos de que trata el título 9 de la parte 1 del libro 2 del presente decreto, el valor de la vivienda de interés social no podrá ser superior a ciento cincuenta (150) salarios mínimos legales mensuales vigentes.  </w:t>
      </w:r>
    </w:p>
    <w:p w14:paraId="5E13CDF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8D111F0" w14:textId="2DC777CF"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El valor de la vivienda deberá incluir el valor de los bienes muebles e inmuebles que presten usos y servicios complementarios o conexos a los mismos tales como parqueaderos, depósitos, buhardillas, terrazas, antejardines o patios, así como el correspondiente a contratos de mejoras o acabados suscritos con el oferente o con terceros. Todos los valores contenidos en los contratos adicionales que se suscriban por parte del vendedor y los </w:t>
      </w:r>
      <w:proofErr w:type="gramStart"/>
      <w:r w:rsidRPr="009342F9">
        <w:rPr>
          <w:rFonts w:ascii="Arial" w:eastAsia="Times New Roman" w:hAnsi="Arial" w:cs="Arial"/>
          <w:color w:val="000000"/>
          <w:lang w:eastAsia="es-CO"/>
        </w:rPr>
        <w:t>beneficiarios,</w:t>
      </w:r>
      <w:proofErr w:type="gramEnd"/>
      <w:r w:rsidRPr="009342F9">
        <w:rPr>
          <w:rFonts w:ascii="Arial" w:eastAsia="Times New Roman" w:hAnsi="Arial" w:cs="Arial"/>
          <w:color w:val="000000"/>
          <w:lang w:eastAsia="es-CO"/>
        </w:rPr>
        <w:t xml:space="preserve"> formarán parte del valor final de la vivienda. Para todos los efectos, el valor de la vivienda será el establecido en el avalúo comercial vigente con el que cuente el establecimiento de crédito al momento en que solicite la asignación del subsidio familiar de vivienda, a través del sistema establecido para este propósito de acuerdo con el artículo 2.1.1.4.1.3.3 del presente decreto, calculado con el valor del salario mínimo legal mensual vigente (</w:t>
      </w:r>
      <w:proofErr w:type="spellStart"/>
      <w:r w:rsidRPr="009342F9">
        <w:rPr>
          <w:rFonts w:ascii="Arial" w:eastAsia="Times New Roman" w:hAnsi="Arial" w:cs="Arial"/>
          <w:color w:val="000000"/>
          <w:lang w:eastAsia="es-CO"/>
        </w:rPr>
        <w:t>smlmv</w:t>
      </w:r>
      <w:proofErr w:type="spellEnd"/>
      <w:r w:rsidRPr="009342F9">
        <w:rPr>
          <w:rFonts w:ascii="Arial" w:eastAsia="Times New Roman" w:hAnsi="Arial" w:cs="Arial"/>
          <w:color w:val="000000"/>
          <w:lang w:eastAsia="es-CO"/>
        </w:rPr>
        <w:t>) del año en que se realice la referida solicitud.  </w:t>
      </w:r>
    </w:p>
    <w:p w14:paraId="584C19BD" w14:textId="77777777" w:rsidR="005A1FCF" w:rsidRPr="009342F9" w:rsidRDefault="005A1FCF" w:rsidP="00FC79C1">
      <w:pPr>
        <w:spacing w:after="0" w:line="240" w:lineRule="auto"/>
        <w:jc w:val="both"/>
        <w:rPr>
          <w:rFonts w:ascii="Arial" w:eastAsia="Times New Roman" w:hAnsi="Arial" w:cs="Arial"/>
          <w:color w:val="000000"/>
          <w:lang w:eastAsia="es-CO"/>
        </w:rPr>
      </w:pPr>
    </w:p>
    <w:p w14:paraId="47A9E72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Por vivienda nueva urbana se entenderá aquella que se encuentre en proyecto, en etapa de preventa, en construcción, y la que estando terminada no haya sido habitada.  </w:t>
      </w:r>
    </w:p>
    <w:p w14:paraId="5C166BA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10AA67E"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543" w:name="ver_30113771"/>
      <w:bookmarkStart w:id="544" w:name="ver_30113770"/>
      <w:bookmarkEnd w:id="541"/>
      <w:bookmarkEnd w:id="542"/>
      <w:bookmarkEnd w:id="543"/>
      <w:r w:rsidRPr="009342F9">
        <w:rPr>
          <w:rFonts w:ascii="Arial" w:eastAsia="Times New Roman" w:hAnsi="Arial" w:cs="Arial"/>
          <w:color w:val="000000"/>
          <w:lang w:eastAsia="es-CO"/>
        </w:rPr>
        <w:t>Artículo 2.1.1.4.1.4.3. Investigación y sanción a vendedores. Los vendedores de las viviendas cuyos adquirentes reciban los beneficios del Programa, estarán sujetos a las investigaciones y sanciones a que se refiere el artículo 22 de la Ley 1537 de 2012, y las normas que la modifiquen, adicionen, sustituyan o reglamenten </w:t>
      </w:r>
    </w:p>
    <w:p w14:paraId="01E11BAC" w14:textId="77777777" w:rsidR="00FC79C1" w:rsidRPr="009342F9" w:rsidRDefault="00FC79C1" w:rsidP="00FC79C1">
      <w:pPr>
        <w:spacing w:after="0" w:line="240" w:lineRule="auto"/>
        <w:jc w:val="both"/>
        <w:rPr>
          <w:rFonts w:ascii="Arial" w:eastAsia="Times New Roman" w:hAnsi="Arial" w:cs="Arial"/>
          <w:color w:val="000000"/>
          <w:lang w:eastAsia="es-CO"/>
        </w:rPr>
      </w:pPr>
    </w:p>
    <w:p w14:paraId="33EF34BB" w14:textId="77777777" w:rsidR="00FC79C1" w:rsidRPr="009342F9" w:rsidRDefault="00FC79C1" w:rsidP="005A1FCF">
      <w:pPr>
        <w:spacing w:after="0" w:line="240" w:lineRule="auto"/>
        <w:jc w:val="center"/>
        <w:rPr>
          <w:rFonts w:ascii="Arial" w:eastAsia="Times New Roman" w:hAnsi="Arial" w:cs="Arial"/>
          <w:b/>
          <w:bCs/>
          <w:color w:val="000000"/>
          <w:lang w:eastAsia="es-CO"/>
        </w:rPr>
      </w:pPr>
      <w:bookmarkStart w:id="545" w:name="ver_30113772"/>
      <w:bookmarkEnd w:id="544"/>
      <w:bookmarkEnd w:id="545"/>
      <w:r w:rsidRPr="009342F9">
        <w:rPr>
          <w:rFonts w:ascii="Arial" w:eastAsia="Times New Roman" w:hAnsi="Arial" w:cs="Arial"/>
          <w:b/>
          <w:bCs/>
          <w:color w:val="000000"/>
          <w:lang w:eastAsia="es-CO"/>
        </w:rPr>
        <w:t>SUBSECCIÓN 5</w:t>
      </w:r>
    </w:p>
    <w:p w14:paraId="7AC6B9F5" w14:textId="77777777" w:rsidR="00FC79C1" w:rsidRPr="009342F9" w:rsidRDefault="00FC79C1" w:rsidP="005A1FCF">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PROCEDIMIENTO PARA LA ASIGNACIÓN Y LEGALIZACIÓN DEL SUBSIDIO OTORGADO EN EL MARCO DEL PROGRAMA</w:t>
      </w:r>
    </w:p>
    <w:p w14:paraId="34D8DC8C"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546" w:name="ver_30113882"/>
      <w:bookmarkStart w:id="547" w:name="ver_30113880"/>
      <w:bookmarkEnd w:id="546"/>
    </w:p>
    <w:p w14:paraId="7E91BA1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2.1.1.4.1.5.1. Solicitud de asignación del subsidio familiar de vivienda. Los establecimientos de crédito podrán solicitar que Fonvivienda proceda a la asignación del subsidio familiar de vivienda señalado en el artículo 2 .1.1.4.1.2.1 de este decreto cuando el hogar que acredite las condiciones señaladas en el artículo 2 .1.1.4.1.3.1 </w:t>
      </w:r>
      <w:proofErr w:type="spellStart"/>
      <w:r w:rsidRPr="009342F9">
        <w:rPr>
          <w:rFonts w:ascii="Arial" w:eastAsia="Times New Roman" w:hAnsi="Arial" w:cs="Arial"/>
          <w:color w:val="000000"/>
          <w:lang w:eastAsia="es-CO"/>
        </w:rPr>
        <w:t>ibídem</w:t>
      </w:r>
      <w:proofErr w:type="spellEnd"/>
      <w:r w:rsidRPr="009342F9">
        <w:rPr>
          <w:rFonts w:ascii="Arial" w:eastAsia="Times New Roman" w:hAnsi="Arial" w:cs="Arial"/>
          <w:color w:val="000000"/>
          <w:lang w:eastAsia="es-CO"/>
        </w:rPr>
        <w:t>, cuente con una aprobación de crédito vigente para la adquisición de una vivienda que cumpla los requisitos indicados en la Subsección 4 de esta sección, o con una aprobación de un leasing habitacional vigente para una vivienda en las mismas condiciones . Esta solicitud deberá ser anterior al inicio del proceso de escrituración, o a la suscripción del contrato de leasing habitacional, según corresponda.  </w:t>
      </w:r>
    </w:p>
    <w:p w14:paraId="379D701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DE19A3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La entidad que haya aprobado el crédito o la operación de leasing habitacional, previa solicitud de asignación del </w:t>
      </w:r>
      <w:proofErr w:type="gramStart"/>
      <w:r w:rsidRPr="009342F9">
        <w:rPr>
          <w:rFonts w:ascii="Arial" w:eastAsia="Times New Roman" w:hAnsi="Arial" w:cs="Arial"/>
          <w:color w:val="000000"/>
          <w:lang w:eastAsia="es-CO"/>
        </w:rPr>
        <w:t>subsidio,</w:t>
      </w:r>
      <w:proofErr w:type="gramEnd"/>
      <w:r w:rsidRPr="009342F9">
        <w:rPr>
          <w:rFonts w:ascii="Arial" w:eastAsia="Times New Roman" w:hAnsi="Arial" w:cs="Arial"/>
          <w:color w:val="000000"/>
          <w:lang w:eastAsia="es-CO"/>
        </w:rPr>
        <w:t xml:space="preserve"> verificará lo siguiente:  </w:t>
      </w:r>
    </w:p>
    <w:p w14:paraId="42E504F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6FD712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 Que el hogar cumple las condiciones, definidas por la respectiva entidad, para que se autorice el desembolso del crédito aprobado o para la suscripción del contrato de leasing habitacional, según sea el caso;  </w:t>
      </w:r>
    </w:p>
    <w:p w14:paraId="23EA6F5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3BEEAD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b) Que el crédito se destinará a la adquisición de una vivienda que cumpla las condiciones establecidas en la Subsección 4 de esta sección o que se suscribirá un contrato de leasing habitacional sobre una vivienda que cumpla las mismas condiciones;  </w:t>
      </w:r>
    </w:p>
    <w:p w14:paraId="7E454DA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3C17F4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xml:space="preserve">c) El rango de ingresos del hogar, de acuerdo con lo indicado en el artículo 2.1.1.4.1.2.1 del presente decreto. En el evento en que la entidad establezca que el hogar tiene un rango de ingresos superior a cuatro salarios mínimos legales mensuales vigentes (4 </w:t>
      </w:r>
      <w:proofErr w:type="spellStart"/>
      <w:r w:rsidRPr="009342F9">
        <w:rPr>
          <w:rFonts w:ascii="Arial" w:eastAsia="Times New Roman" w:hAnsi="Arial" w:cs="Arial"/>
          <w:color w:val="000000"/>
          <w:lang w:eastAsia="es-CO"/>
        </w:rPr>
        <w:t>smlmv</w:t>
      </w:r>
      <w:proofErr w:type="spellEnd"/>
      <w:r w:rsidRPr="009342F9">
        <w:rPr>
          <w:rFonts w:ascii="Arial" w:eastAsia="Times New Roman" w:hAnsi="Arial" w:cs="Arial"/>
          <w:color w:val="000000"/>
          <w:lang w:eastAsia="es-CO"/>
        </w:rPr>
        <w:t>), se abstendrá de solicitar la asignación del subsidio;  </w:t>
      </w:r>
    </w:p>
    <w:p w14:paraId="713B83E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34023F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d) Si el rango de ingresos del hogar, señalado por éste en la declaración juramentada, presenta diferencias con la verificación realizada por la entidad que aprobó el crédito o la operación de leasing habitacional, a los ingresos de los potenciales deudores del crédito o locatarios, de manera que no sea posible determinar el monto del subsidio familiar de vivienda, la entidad señalada solicitará proceder a la asignación del subsidio por el valor establecido en el literal b) del artículo 2.1.1.4.1.2.1 de este decreto;  </w:t>
      </w:r>
    </w:p>
    <w:p w14:paraId="1EB075B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2A02BF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 Que todas las personas que se hayan declarado como miembros mayores de edad del hogar hayan suscrito el formato que defina Fonvivienda, el cual deberá contener la declaración juramentada de los mismos, que se entenderá surtida con la firma, en la que manifiesten que cumplen en forma conjunta con las condiciones para ser beneficiarios del Programa a que se refiere la presente sección, que no están incursos en inhabilidades para solicitarlo y que los datos suministrados son ciertos, así como la autorización para verificar la información suministrada y la aceptación para ser excluido de manera automática del proceso de asignación, o para revocar el subsidio asignado, en caso de verificarse que la información aportada no corresponde a la verdad.  </w:t>
      </w:r>
    </w:p>
    <w:p w14:paraId="19893B13"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548" w:name="ver_30113894"/>
      <w:bookmarkStart w:id="549" w:name="ver_30113891"/>
      <w:bookmarkEnd w:id="547"/>
      <w:bookmarkEnd w:id="548"/>
    </w:p>
    <w:p w14:paraId="40ABF69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2.1.1.4.1.5.2. Asignación del subsidio familiar de vivienda. Una vez se reciba la solicitud para proceder a la asignación, por parte del establecimiento de crédito, siempre y cuando se haya realizado la verificación a que se refiere el artículo 2.1.1.4.1.3.3 de este decreto y se haya determinado que el hogar cumple las condiciones para ser beneficiario del subsidio, no se requerirán trámites adicionales y Fonvivienda procederá a la expedición del acto administrativo de asignación, de acuerdo con lo indicado en esta norma.  </w:t>
      </w:r>
    </w:p>
    <w:p w14:paraId="201F923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638100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Fonvivienda, a través del sistema que este indique, comunicará al establecimiento de crédito la fecha de expedición del acto de asignación de los subsidios.  </w:t>
      </w:r>
    </w:p>
    <w:p w14:paraId="5FCBDF8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B4AB84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El desembolso del subsidio familiar de vivienda al vendedor de la </w:t>
      </w:r>
      <w:proofErr w:type="gramStart"/>
      <w:r w:rsidRPr="009342F9">
        <w:rPr>
          <w:rFonts w:ascii="Arial" w:eastAsia="Times New Roman" w:hAnsi="Arial" w:cs="Arial"/>
          <w:color w:val="000000"/>
          <w:lang w:eastAsia="es-CO"/>
        </w:rPr>
        <w:t>misma,</w:t>
      </w:r>
      <w:proofErr w:type="gramEnd"/>
      <w:r w:rsidRPr="009342F9">
        <w:rPr>
          <w:rFonts w:ascii="Arial" w:eastAsia="Times New Roman" w:hAnsi="Arial" w:cs="Arial"/>
          <w:color w:val="000000"/>
          <w:lang w:eastAsia="es-CO"/>
        </w:rPr>
        <w:t xml:space="preserve"> estará con</w:t>
      </w:r>
      <w:r w:rsidRPr="009342F9">
        <w:rPr>
          <w:rFonts w:ascii="Arial" w:eastAsia="Times New Roman" w:hAnsi="Arial" w:cs="Arial"/>
          <w:color w:val="000000"/>
          <w:lang w:eastAsia="es-CO"/>
        </w:rPr>
        <w:softHyphen/>
        <w:t>dicionado a que la entidad otorgante del crédito realice el desembolso del mismo o a que dé inicio al contrato de leasing habitacional, lo cual deberá comunicar a Fonvivienda y/o a quien esta indique. </w:t>
      </w:r>
    </w:p>
    <w:p w14:paraId="4597F681"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550" w:name="ver_30113903"/>
      <w:bookmarkStart w:id="551" w:name="ver_30113898"/>
      <w:bookmarkEnd w:id="549"/>
      <w:bookmarkEnd w:id="550"/>
    </w:p>
    <w:p w14:paraId="71D8886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2.1.1.4.1.5.3. Revisión de la consistencia y/o veracidad de la información. Fonvivienda o quien ésta indique, tendrá la facultad de revisar en cualquier momento la consistencia y/o veracidad de la información suministrada. Si se determina que existe imprecisión o falta de veracidad en los datos entregados o en las condiciones o requisitos del hogar, se solicitará al hogar que emita las aclaraciones del caso. Si dentro del plazo establecido por Fonvivienda no se subsanan las imprecisiones o se aclaran las presuntas irregularidades que se presenten, se rechazarán los hogares respecto de los cuales se hayan advertido las inconsistencias.  </w:t>
      </w:r>
    </w:p>
    <w:p w14:paraId="1AF6CE7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95A568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cualquiera de los casos señalados en este artículo, ninguno de los miembros mayores de edad del hogar respecto del cual se adviertan las inconsistencias, podrá solicitar de nuevo un subsidio familiar de vivienda durante un término de diez (10) años, de conformidad con lo estipulado en el artículo 30 de la Ley 3ª de 1991.  </w:t>
      </w:r>
    </w:p>
    <w:p w14:paraId="69B59F6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7B20F8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Cuando se presenten los eventos señalados en el parágrafo 2º del artículo 8º de la Ley 3ª de 1991, modificado por el artículo 21 de la Ley 1537 de 2012, Fonvivienda dará traslado de las </w:t>
      </w:r>
      <w:r w:rsidRPr="009342F9">
        <w:rPr>
          <w:rFonts w:ascii="Arial" w:eastAsia="Times New Roman" w:hAnsi="Arial" w:cs="Arial"/>
          <w:color w:val="000000"/>
          <w:lang w:eastAsia="es-CO"/>
        </w:rPr>
        <w:lastRenderedPageBreak/>
        <w:t>actuaciones realizadas a la Fiscalía General de la Nación, para que se inicien las investigaciones a que haya lugar.  </w:t>
      </w:r>
    </w:p>
    <w:p w14:paraId="0509D22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4D1148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Los hogares deberán mantener las condiciones y requisitos para acceder al Programa a que se refiere esta sección, desde la entrega de la información al estableci</w:t>
      </w:r>
      <w:r w:rsidRPr="009342F9">
        <w:rPr>
          <w:rFonts w:ascii="Arial" w:eastAsia="Times New Roman" w:hAnsi="Arial" w:cs="Arial"/>
          <w:color w:val="000000"/>
          <w:lang w:eastAsia="es-CO"/>
        </w:rPr>
        <w:softHyphen/>
        <w:t>miento de crédito, hasta el momento de la firma de la Escritura Pública de adquisición de la vivienda o hasta el momento de la iniciación del contrato de leasing habitacional. En consecuencia, será responsabilidad de los hogares informar al establecimiento de crédito o a Fonvivienda cualquier hecho que modifique de alguna manera las condiciones que le permiten ser beneficiario del Programa al que se refiere la presente sección. En todo caso, todos los miembros del hogar indicados por el establecimiento de crédito serán beneficiarios del subsidio familiar de vivienda, para todos los efectos. </w:t>
      </w:r>
    </w:p>
    <w:p w14:paraId="11E83C93"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552" w:name="ver_30113917"/>
      <w:bookmarkStart w:id="553" w:name="ver_30113908"/>
      <w:bookmarkEnd w:id="551"/>
      <w:bookmarkEnd w:id="552"/>
    </w:p>
    <w:p w14:paraId="156886B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2.1.1.4.1.5.4. Solicitud de investigación. Cuando se compruebe que se recibió el beneficio del subsidio familiar de vivienda de manera fraudulenta o utilizando documentos falsos, se solicitará a la autoridad competente el inicio de una investigación por el delito de Fraude en Subvenciones señalado en el artículo 403 A de la Ley 599 de 2000, adicionado por el artículo 26 de la Ley 1474 de 2011, de acuerdo con lo dispuesto en el parágrafo 2° del artículo 8º de la Ley 3ª de 1991, modificado por el artículo 21 de la Ley 1537 de 2012.  </w:t>
      </w:r>
    </w:p>
    <w:p w14:paraId="660577A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ACCBCC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Los beneficiarios que por sentencia ejecutoriada hubiesen sido condenados por haber presentado documentos o información falsos con el objeto de acceder a un subsidio familiar de vivienda, quedarán inhabilitados por el término de diez (10) años para volver a solicitarlo, de acuerdo con lo dispuesto en el artículo 30 de la Ley 3ª de 1991. </w:t>
      </w:r>
    </w:p>
    <w:p w14:paraId="471C01CF"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554" w:name="ver_30113934"/>
      <w:bookmarkStart w:id="555" w:name="ver_30113929"/>
      <w:bookmarkEnd w:id="553"/>
      <w:bookmarkEnd w:id="554"/>
    </w:p>
    <w:p w14:paraId="187E3A3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2.1.1.4.1.5.5. Legalización del subsidio familiar de vivienda. El subsidio familiar de vivienda aplicado en el marco del Programa, para la adquisición de viviendas mediante la obtención de créditos hipotecarios o contratos de leasing habitacional, a que se refiere la presente sección, se entenderá legalizado, para Fonvivienda, con los siguientes documentos:  </w:t>
      </w:r>
    </w:p>
    <w:p w14:paraId="3D8D206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A21255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El documento que acredita la asignación del subsidio familiar de vivienda.  </w:t>
      </w:r>
    </w:p>
    <w:p w14:paraId="14A2B2E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0B7280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El certificado de tradición y libertad o verificación en las bases de datos de la Su</w:t>
      </w:r>
      <w:r w:rsidRPr="009342F9">
        <w:rPr>
          <w:rFonts w:ascii="Arial" w:eastAsia="Times New Roman" w:hAnsi="Arial" w:cs="Arial"/>
          <w:color w:val="000000"/>
          <w:lang w:eastAsia="es-CO"/>
        </w:rPr>
        <w:softHyphen/>
        <w:t>perintendencia de Notariado y Registro, en los cuales conste la inscripción del título de adquisición de la vivienda a favor del beneficiario del subsidio familiar de vivienda, o del establecimiento de crédito con el cual se suscriba el contrato de leasing habitacional.  </w:t>
      </w:r>
    </w:p>
    <w:p w14:paraId="4D869C8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99CDA04" w14:textId="77777777" w:rsidR="00683694"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El contrato de leasing habitacional, en los casos en que el subsidio familiar de vi</w:t>
      </w:r>
      <w:r w:rsidRPr="009342F9">
        <w:rPr>
          <w:rFonts w:ascii="Arial" w:eastAsia="Times New Roman" w:hAnsi="Arial" w:cs="Arial"/>
          <w:color w:val="000000"/>
          <w:lang w:eastAsia="es-CO"/>
        </w:rPr>
        <w:softHyphen/>
        <w:t>vienda se aplique para operaciones de leasing habitacional destinado a la adquisición de vivienda familiar. </w:t>
      </w:r>
      <w:bookmarkStart w:id="556" w:name="ver_30071427"/>
      <w:bookmarkEnd w:id="555"/>
      <w:bookmarkEnd w:id="556"/>
    </w:p>
    <w:p w14:paraId="2B09983C" w14:textId="77777777" w:rsidR="00683694" w:rsidRPr="009342F9" w:rsidRDefault="00683694" w:rsidP="00FC79C1">
      <w:pPr>
        <w:spacing w:after="0" w:line="240" w:lineRule="auto"/>
        <w:jc w:val="both"/>
        <w:rPr>
          <w:rFonts w:ascii="Arial" w:eastAsia="Times New Roman" w:hAnsi="Arial" w:cs="Arial"/>
          <w:color w:val="000000"/>
          <w:lang w:eastAsia="es-CO"/>
        </w:rPr>
      </w:pPr>
    </w:p>
    <w:p w14:paraId="10BA6A27" w14:textId="21649735" w:rsidR="00FC79C1" w:rsidRPr="009342F9" w:rsidRDefault="00FC79C1" w:rsidP="00683694">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SUBSECCIÓN 6</w:t>
      </w:r>
    </w:p>
    <w:p w14:paraId="5A8710CA" w14:textId="77777777" w:rsidR="00FC79C1" w:rsidRPr="009342F9" w:rsidRDefault="00FC79C1" w:rsidP="00683694">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OTRAS DISPOSICIONES</w:t>
      </w:r>
    </w:p>
    <w:p w14:paraId="0A9BFF2F"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557" w:name="ver_30113941"/>
      <w:bookmarkStart w:id="558" w:name="ver_30113940"/>
      <w:bookmarkEnd w:id="557"/>
    </w:p>
    <w:p w14:paraId="1D9973D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2.1.1.4.1.6.1. Causales de restitución del subsidio familiar de vivienda. El subsidio familiar de vivienda de que trata la presente sección será objeto de restitución por cualquiera de las causales previstas en las normas vigentes y especialmente las siguientes:  </w:t>
      </w:r>
    </w:p>
    <w:p w14:paraId="22FD905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4972AE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Cuando los beneficiarios del Programa transfieran cualquier derecho real sobre la solución de vivienda o dejen de residir en ella, sin mediar permiso específico fundamentado en razones de fuerza mayor, en los términos a que se refiere el artículo 8° de la Ley 3ª de 1991, modificado por el artículo 21 de la Ley 1537 de 2012.  </w:t>
      </w:r>
    </w:p>
    <w:p w14:paraId="6655BCD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w:t>
      </w:r>
    </w:p>
    <w:p w14:paraId="0239F3D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2. Por imprecisión o falta de veracidad en los datos entregados o en las condiciones o requisitos del hogar para la asignación del subsidio familiar de vivienda, sin perjuicio, de que </w:t>
      </w:r>
      <w:proofErr w:type="gramStart"/>
      <w:r w:rsidRPr="009342F9">
        <w:rPr>
          <w:rFonts w:ascii="Arial" w:eastAsia="Times New Roman" w:hAnsi="Arial" w:cs="Arial"/>
          <w:color w:val="000000"/>
          <w:lang w:eastAsia="es-CO"/>
        </w:rPr>
        <w:t>la relación contractual entre las partes se mantengan</w:t>
      </w:r>
      <w:proofErr w:type="gramEnd"/>
      <w:r w:rsidRPr="009342F9">
        <w:rPr>
          <w:rFonts w:ascii="Arial" w:eastAsia="Times New Roman" w:hAnsi="Arial" w:cs="Arial"/>
          <w:color w:val="000000"/>
          <w:lang w:eastAsia="es-CO"/>
        </w:rPr>
        <w:t xml:space="preserve"> en el crédito hipotecario o el contrato de leasing habitacional.  </w:t>
      </w:r>
    </w:p>
    <w:p w14:paraId="044C95B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91844B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Por un incumplimiento del contrato de leasing habitacional que dé lugar a su terminación.  </w:t>
      </w:r>
    </w:p>
    <w:p w14:paraId="0310993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ED2391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Por cesión de la opción de compra o del contrato de leasing habitacional destinado a vivienda familiar por parte del beneficiario del subsidio familiar de vivienda.  </w:t>
      </w:r>
    </w:p>
    <w:p w14:paraId="51E4C1B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Cuando haya lugar a la restitución del subsidio familiar de vivienda otorgado deberá restituirse indexado con el Índice de Precios al Consumidor (IPC), desde la fecha en que se realizó el desembolso </w:t>
      </w:r>
      <w:proofErr w:type="gramStart"/>
      <w:r w:rsidRPr="009342F9">
        <w:rPr>
          <w:rFonts w:ascii="Arial" w:eastAsia="Times New Roman" w:hAnsi="Arial" w:cs="Arial"/>
          <w:color w:val="000000"/>
          <w:lang w:eastAsia="es-CO"/>
        </w:rPr>
        <w:t>del mismo</w:t>
      </w:r>
      <w:proofErr w:type="gramEnd"/>
      <w:r w:rsidRPr="009342F9">
        <w:rPr>
          <w:rFonts w:ascii="Arial" w:eastAsia="Times New Roman" w:hAnsi="Arial" w:cs="Arial"/>
          <w:color w:val="000000"/>
          <w:lang w:eastAsia="es-CO"/>
        </w:rPr>
        <w:t xml:space="preserve"> hasta la fecha en que efectivamente se realice el pago del valor a restituir, en la cuenta que indique Fonvivienda.  </w:t>
      </w:r>
    </w:p>
    <w:p w14:paraId="4FE8B56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D8414D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1º. La disposición contenida en el numeral 1 del presente artículo no impide la posibilidad para el beneficiario del subsidio, de constituir de acuerdo con las normas vigentes, una hipoteca a favor de la entidad otorgante del crédito requerido para lograr el cierre financiero de la vivienda.  </w:t>
      </w:r>
    </w:p>
    <w:p w14:paraId="3F1FA56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C19A74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Parágrafo 2º. Si la restitución del subsidio se fundamenta en los numerales 1 y 2 del presente artículo, se solicitará al hogar que emita las aclaraciones del caso debidamente soportadas. Si dentro del plazo establecido por Fonvivienda no se efectúan las aclaraciones del caso o persisten las causales para la restitución del subsidio, este procederá a revocar la asignación del subsidio y a ordenar la restitución </w:t>
      </w:r>
      <w:proofErr w:type="gramStart"/>
      <w:r w:rsidRPr="009342F9">
        <w:rPr>
          <w:rFonts w:ascii="Arial" w:eastAsia="Times New Roman" w:hAnsi="Arial" w:cs="Arial"/>
          <w:color w:val="000000"/>
          <w:lang w:eastAsia="es-CO"/>
        </w:rPr>
        <w:t>del mismo</w:t>
      </w:r>
      <w:proofErr w:type="gramEnd"/>
      <w:r w:rsidRPr="009342F9">
        <w:rPr>
          <w:rFonts w:ascii="Arial" w:eastAsia="Times New Roman" w:hAnsi="Arial" w:cs="Arial"/>
          <w:color w:val="000000"/>
          <w:lang w:eastAsia="es-CO"/>
        </w:rPr>
        <w:t>. Caso en el cual se iniciarán las acciones judiciales o extrajudiciales tendientes a la recuperación efectiva de dichos recursos.  </w:t>
      </w:r>
    </w:p>
    <w:p w14:paraId="3F332B7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917DB9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Cuando haya lugar a la restitución del subsidio en contratos de leasing habitacional con fundamento en la causal del numeral 3 del presente artículo, el establecimiento de crédito descontará el valor del subsidio a restituir de los dineros objeto de la devolución al locatario beneficiario del subsidio familiar de vivienda.  </w:t>
      </w:r>
    </w:p>
    <w:p w14:paraId="1350C5E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CC57E7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Cuando se presente la causal de restitución prevista en el numeral 4 del presente artí</w:t>
      </w:r>
      <w:r w:rsidRPr="009342F9">
        <w:rPr>
          <w:rFonts w:ascii="Arial" w:eastAsia="Times New Roman" w:hAnsi="Arial" w:cs="Arial"/>
          <w:color w:val="000000"/>
          <w:lang w:eastAsia="es-CO"/>
        </w:rPr>
        <w:softHyphen/>
        <w:t>culo, el establecimiento de crédito autorizará la cesión de la opción de adquisición o del contrato de leasing habitacional, siempre y cuando, cuente previamente con la aprobación de Fonvivienda. En todo caso, Fonvivienda aprobará la cesión de la opción de adquisición o del contrato de leasing habitacional, únicamente cuando el locatario beneficiario del subsidio lo restituya, de conformidad con lo dispuesto por inciso 2º del presente artículo. </w:t>
      </w:r>
    </w:p>
    <w:p w14:paraId="339EFE7F"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559" w:name="ver_30071462"/>
      <w:bookmarkEnd w:id="558"/>
      <w:bookmarkEnd w:id="559"/>
    </w:p>
    <w:p w14:paraId="75961FB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2.1.1.4.1.6.2. Apropiación y compromiso de recursos del presupuesto nacional. Los recursos que destine el Gobierno Nacional para la asignación de los subsidios familiares de vivienda a que se refiere el artículo 2.1.1.4.1.2.1 de esta sección, serán apropiados en el Presupuesto General de la Nación a través de FONVIVIENDA o quien haga sus veces, y serán comprometidos con cargo a su presupuesto de inversión. La apropiación de estos recursos deberá guardar concordancia con la disponibilidad fiscal establecida tanto en el Marco de Gasto de Mediano Plazo del sector, como en el Marco Fiscal de Mediano Plazo. </w:t>
      </w:r>
    </w:p>
    <w:p w14:paraId="75B0DF66" w14:textId="72771647" w:rsidR="00683694"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560" w:name="ver_30113946"/>
      <w:bookmarkEnd w:id="560"/>
    </w:p>
    <w:p w14:paraId="319ADD2E" w14:textId="69CCED1A" w:rsidR="00FC79C1" w:rsidRPr="009342F9" w:rsidRDefault="00FC79C1" w:rsidP="00683694">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SECCIÓN 2</w:t>
      </w:r>
    </w:p>
    <w:p w14:paraId="1D23FD36" w14:textId="77777777" w:rsidR="00FC79C1" w:rsidRPr="009342F9" w:rsidRDefault="00FC79C1" w:rsidP="00683694">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COBERTURA DE TASA DE INTERÉS PARA LOS POTENCIALES DEUDORES DE CRÉDITO PERTENECIENTES A LOS HOGARES QUE RESULTEN BENEFICIARIOS DEL PROGRAMA DE PROMOCIÓN DE ACCESO A LA VIVIENDA DE INTERÉS SOCIAL “MI CASA YA”.</w:t>
      </w:r>
    </w:p>
    <w:p w14:paraId="0E5D855F" w14:textId="77777777" w:rsidR="00BD03DD" w:rsidRDefault="00BD03DD" w:rsidP="00683694">
      <w:pPr>
        <w:spacing w:after="0" w:line="240" w:lineRule="auto"/>
        <w:jc w:val="center"/>
        <w:rPr>
          <w:rFonts w:ascii="Arial" w:eastAsia="Times New Roman" w:hAnsi="Arial" w:cs="Arial"/>
          <w:b/>
          <w:bCs/>
          <w:color w:val="000000"/>
          <w:lang w:eastAsia="es-CO"/>
        </w:rPr>
      </w:pPr>
      <w:bookmarkStart w:id="561" w:name="ver_30113950"/>
      <w:bookmarkEnd w:id="561"/>
    </w:p>
    <w:p w14:paraId="08B5CFBF" w14:textId="14AB6565" w:rsidR="00FC79C1" w:rsidRPr="009342F9" w:rsidRDefault="00FC79C1" w:rsidP="00683694">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SECCION 2</w:t>
      </w:r>
    </w:p>
    <w:p w14:paraId="41EF7EAB" w14:textId="77777777" w:rsidR="00FC79C1" w:rsidRPr="009342F9" w:rsidRDefault="00FC79C1" w:rsidP="00683694">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COBERTURA DE TASA DE INTERÉS PARA LOS POTENCIALES DEUDORES DE CRÉDITO O LOCATARIOS DE LEASING HABITACIONAL DESTINADO A VIVIENDA FAMILIAR PERTENECIENTES A LOS HOGARES QUE RESULTEN BENEFICIARIOS DEL PROGRAMA DE PROMOCION DE ACCESO A LA VI</w:t>
      </w:r>
      <w:r w:rsidRPr="009342F9">
        <w:rPr>
          <w:rFonts w:ascii="Arial" w:eastAsia="Times New Roman" w:hAnsi="Arial" w:cs="Arial"/>
          <w:b/>
          <w:bCs/>
          <w:color w:val="000000"/>
          <w:lang w:eastAsia="es-CO"/>
        </w:rPr>
        <w:softHyphen/>
        <w:t>VIENDA DE INTERÉS SOCIAL - MI CASA YA</w:t>
      </w:r>
    </w:p>
    <w:p w14:paraId="1BDB4D60"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562" w:name="ver_30113957"/>
      <w:bookmarkStart w:id="563" w:name="ver_30109280"/>
      <w:bookmarkEnd w:id="562"/>
    </w:p>
    <w:p w14:paraId="47341AE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2.1.1.4.2.1. Cobertura de tasa de interés para la financiación de vivienda de interés social urbana nueva. El Gobierno nacional, a través del Fondo de Reserva para la Estabilización de la Cartera Hipotecaria (FRECH), administrado por el Banco de la República, ofrecerá coberturas de tasa de interés que faciliten la financiación de vivienda de interés social urbana nueva, a los potenciales deudores de crédito o locatarios de leasing habitacional destinado a vivienda familiar pertenecientes a los hogares que resulten benefi</w:t>
      </w:r>
      <w:r w:rsidRPr="009342F9">
        <w:rPr>
          <w:rFonts w:ascii="Arial" w:eastAsia="Times New Roman" w:hAnsi="Arial" w:cs="Arial"/>
          <w:color w:val="000000"/>
          <w:lang w:eastAsia="es-CO"/>
        </w:rPr>
        <w:softHyphen/>
        <w:t>ciarios del subsidio familiar de vivienda del Programa de Promoción de Acceso a la Vivienda de Interés Social - “Mi Casa Ya” a que hace referencia la sección 2.1.1.4.1 del presente decreto, a través de créditos para la compra de vivienda otorgados por establecimientos de crédito y contratos de leasing habitacional destinados a la adquisición de vivienda familiar celebrados por establecimientos de crédito, de acuerdo con las condiciones y términos establecidos en la presente sección, y sus modificaciones.  </w:t>
      </w:r>
    </w:p>
    <w:p w14:paraId="34F86D7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98BBFB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El Banco de la República, como administrador del FRECH, creará una subcuenta para el manejo de los recursos requeridos para la cobertura a la que se refiere la presente sec</w:t>
      </w:r>
      <w:r w:rsidRPr="009342F9">
        <w:rPr>
          <w:rFonts w:ascii="Arial" w:eastAsia="Times New Roman" w:hAnsi="Arial" w:cs="Arial"/>
          <w:color w:val="000000"/>
          <w:lang w:eastAsia="es-CO"/>
        </w:rPr>
        <w:softHyphen/>
        <w:t>ción, separada y diferenciada contablemente de los demás recursos del FRECH, la cual se denominará FRECH - Mi Casa Ya.  </w:t>
      </w:r>
    </w:p>
    <w:p w14:paraId="4146179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9039C0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 cobertura consistirá en una permuta financiera calculada sobre la tasa de interés pac</w:t>
      </w:r>
      <w:r w:rsidRPr="009342F9">
        <w:rPr>
          <w:rFonts w:ascii="Arial" w:eastAsia="Times New Roman" w:hAnsi="Arial" w:cs="Arial"/>
          <w:color w:val="000000"/>
          <w:lang w:eastAsia="es-CO"/>
        </w:rPr>
        <w:softHyphen/>
        <w:t>tada en créditos nuevos o contratos de leasing habitacional nuevos, otorgados o celebrados respectivamente, por los establecimientos de crédito a deudores o locatarios que cumplan las condiciones que se establecen en la presente sección y en la normativa aplicable. La cobertura sólo será aplicable durante los primeros siete (7) años de vigencia contados a partir de la fecha de desembolso del crédito o de inicio del contrato de leasing habitacional.  </w:t>
      </w:r>
    </w:p>
    <w:p w14:paraId="5A8482E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89F3FD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 permuta financiera consiste en un intercambio de flujos que se presenta cuando el establecimiento de crédito entrega al FRECH - Mi Casa Ya, el equivalente mensual de la tasa de interés pactada en el crédito o contrato de leasing habitacional, descontando lo co</w:t>
      </w:r>
      <w:r w:rsidRPr="009342F9">
        <w:rPr>
          <w:rFonts w:ascii="Arial" w:eastAsia="Times New Roman" w:hAnsi="Arial" w:cs="Arial"/>
          <w:color w:val="000000"/>
          <w:lang w:eastAsia="es-CO"/>
        </w:rPr>
        <w:softHyphen/>
        <w:t>rrespondiente a la cobertura y el FRECH - Mi Casa Ya, a su vez entrega al establecimiento de crédito el equivalente mensual de la tasa de interés pactada en el crédito o contrato de leasing habitacional. Cuando se trate de operaciones en UVR, el equivalente mensual de la tasa de interés pactada en el crédito o contrato de leasing habitacional se convertirá a su equivalente en pesos.  </w:t>
      </w:r>
    </w:p>
    <w:p w14:paraId="00603BF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6E898E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El pago producto de la permuta financiera por parte del FRECH - Mi Casa Ya a los establecimientos de crédito se realizará por el monto neto de las obligaciones generadas mes a mes, derivadas del intercambio de flujos.  </w:t>
      </w:r>
    </w:p>
    <w:p w14:paraId="243E44D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3E39E1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Fonvivienda, señalará al Banco de la República y a los establecimientos de crédito, entre otras cosas, los términos y condiciones para realizar el intercambio de flujos derivados de la cobertura y precisará el alcance y contenido de los contratos marco de cobertura a que se refiere el artículo 2.1.1.4.2.10 del presente decreto.  </w:t>
      </w:r>
    </w:p>
    <w:p w14:paraId="1D84B2F4"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564" w:name="ver_30210173"/>
      <w:bookmarkStart w:id="565" w:name="ver_30109282"/>
      <w:bookmarkStart w:id="566" w:name="ver_30113960"/>
      <w:bookmarkEnd w:id="563"/>
      <w:bookmarkEnd w:id="564"/>
    </w:p>
    <w:p w14:paraId="06D20AE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2.1.1.4.2.2. Graduación de la Cobertura. La cobertura prevista en la presente sección se graduará de acuerdo con el valor de la vivienda financiada por los deudores del crédito o </w:t>
      </w:r>
      <w:r w:rsidRPr="009342F9">
        <w:rPr>
          <w:rFonts w:ascii="Arial" w:eastAsia="Times New Roman" w:hAnsi="Arial" w:cs="Arial"/>
          <w:color w:val="000000"/>
          <w:lang w:eastAsia="es-CO"/>
        </w:rPr>
        <w:lastRenderedPageBreak/>
        <w:t>locatarios del leasing habitacional beneficiarios de un subsidio familiar de vivienda en el Programa “Mi Casa Ya”, que la solicite según los siguientes segmentos:  </w:t>
      </w:r>
    </w:p>
    <w:p w14:paraId="04F48EE2" w14:textId="77777777" w:rsidR="00683694" w:rsidRPr="009342F9" w:rsidRDefault="00683694" w:rsidP="00FC79C1">
      <w:pPr>
        <w:spacing w:after="0" w:line="240" w:lineRule="auto"/>
        <w:jc w:val="both"/>
        <w:rPr>
          <w:rFonts w:ascii="Arial" w:eastAsia="Times New Roman" w:hAnsi="Arial" w:cs="Arial"/>
          <w:color w:val="000000"/>
          <w:lang w:eastAsia="es-CO"/>
        </w:rPr>
      </w:pPr>
    </w:p>
    <w:p w14:paraId="42F894E9" w14:textId="1D774DE8"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Para solicitudes de asignación del subsidio familiar de vivienda en el desarrollo del Programa “Mi Casa Ya” hasta el 31 de diciembre de 2019:  </w:t>
      </w:r>
    </w:p>
    <w:p w14:paraId="4650973E" w14:textId="77777777" w:rsidR="00683694" w:rsidRPr="009342F9" w:rsidRDefault="00683694" w:rsidP="00FC79C1">
      <w:pPr>
        <w:spacing w:after="0" w:line="240" w:lineRule="auto"/>
        <w:jc w:val="both"/>
        <w:rPr>
          <w:rFonts w:ascii="Arial" w:eastAsia="Times New Roman" w:hAnsi="Arial" w:cs="Arial"/>
          <w:color w:val="000000"/>
          <w:lang w:eastAsia="es-CO"/>
        </w:rPr>
      </w:pPr>
    </w:p>
    <w:p w14:paraId="55757E71" w14:textId="351A2029"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 Para viviendas cuyo valor, de acuerdo con el avalúo comercial vigente con el que cuente el establecimiento de crédito al momento en que se solicite la asignación del subsidio familiar de vivienda, sea de hasta setenta (70) salarios mínimos legales mensuales vigentes, se otorgará una cobertura equivalente a cinco (5) puntos porcentuales, liquidados sobre el saldo remanente del crédito o del contrato de leasing habitacional.  </w:t>
      </w:r>
    </w:p>
    <w:p w14:paraId="17149D6B" w14:textId="77777777" w:rsidR="00683694" w:rsidRPr="009342F9" w:rsidRDefault="00683694" w:rsidP="00FC79C1">
      <w:pPr>
        <w:spacing w:after="0" w:line="240" w:lineRule="auto"/>
        <w:jc w:val="both"/>
        <w:rPr>
          <w:rFonts w:ascii="Arial" w:eastAsia="Times New Roman" w:hAnsi="Arial" w:cs="Arial"/>
          <w:color w:val="000000"/>
          <w:lang w:eastAsia="es-CO"/>
        </w:rPr>
      </w:pPr>
    </w:p>
    <w:p w14:paraId="1780A00D" w14:textId="1CC6F0E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b) Para viviendas cuyo valor, de acuerdo con el avalúo comercial vigente con el que cuente el establecimiento de crédito al momento en que se solicite la asignación del subsidio familiar de vivienda, sea mayor a setenta (70) salarios mínimos legales mensuales vigentes y hasta ciento treinta y cinco (135) salarios mínimos mensuales legales vigentes, se otorgará una cobertura equivalente a cuatro (4) puntos porcentuales, liquidados sobre el saldo remanente del crédito o del contrato de leasing habitacional.  </w:t>
      </w:r>
    </w:p>
    <w:p w14:paraId="36AF6949" w14:textId="77777777" w:rsidR="00683694" w:rsidRPr="009342F9" w:rsidRDefault="00683694" w:rsidP="00FC79C1">
      <w:pPr>
        <w:spacing w:after="0" w:line="240" w:lineRule="auto"/>
        <w:jc w:val="both"/>
        <w:rPr>
          <w:rFonts w:ascii="Arial" w:eastAsia="Times New Roman" w:hAnsi="Arial" w:cs="Arial"/>
          <w:color w:val="000000"/>
          <w:lang w:eastAsia="es-CO"/>
        </w:rPr>
      </w:pPr>
    </w:p>
    <w:p w14:paraId="3C88D4E3" w14:textId="0CE7E100"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Para solicitud de asignación del subsidio familiar de vivienda en el desarrollo del  </w:t>
      </w:r>
    </w:p>
    <w:p w14:paraId="685BCAD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Programa “Mi Casa Ya a partir del 01 de enero de 2020:  </w:t>
      </w:r>
    </w:p>
    <w:p w14:paraId="3E3C3929" w14:textId="77777777" w:rsidR="00683694" w:rsidRPr="009342F9" w:rsidRDefault="00683694" w:rsidP="00FC79C1">
      <w:pPr>
        <w:spacing w:after="0" w:line="240" w:lineRule="auto"/>
        <w:jc w:val="both"/>
        <w:rPr>
          <w:rFonts w:ascii="Arial" w:eastAsia="Times New Roman" w:hAnsi="Arial" w:cs="Arial"/>
          <w:color w:val="000000"/>
          <w:lang w:eastAsia="es-CO"/>
        </w:rPr>
      </w:pPr>
    </w:p>
    <w:p w14:paraId="2481E47D" w14:textId="0266D669"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 Para viviendas cuyo valor, de acuerdo con el avalúo comercial vigente con el que cuente el establecimiento de crédito al momento en que se solicite la asignación del subsidio familiar de vivienda, sea de hasta noventa (90) salarios mínimos legales mensuales vigentes, se otorgará una cobertura equivalente a cinco (5) puntos porcentuales, liquidados sobre el saldo remanente del crédito o del contrato de leasing habitacional.  </w:t>
      </w:r>
    </w:p>
    <w:p w14:paraId="1BBF8BE2" w14:textId="77777777" w:rsidR="00683694" w:rsidRPr="009342F9" w:rsidRDefault="00683694" w:rsidP="00FC79C1">
      <w:pPr>
        <w:spacing w:after="0" w:line="240" w:lineRule="auto"/>
        <w:jc w:val="both"/>
        <w:rPr>
          <w:rFonts w:ascii="Arial" w:eastAsia="Times New Roman" w:hAnsi="Arial" w:cs="Arial"/>
          <w:color w:val="000000"/>
          <w:lang w:eastAsia="es-CO"/>
        </w:rPr>
      </w:pPr>
    </w:p>
    <w:p w14:paraId="26275A57" w14:textId="2769AA86"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b) Para viviendas cuyo valor de acuerdo con el avalúo comercial vigente con el que cuente el establecimiento de crédito al momento en que se solicite la asignación del subsidio familiar de vivienda, sea mayor a noventa (90) salarios mínimos legales mensuales vigentes y hasta ciento treinta y cinco (135) salarios mínimos mensuales legales vigentes, se otorgará una cobertura equivalente a cuatro (4) puntos porcentuales, liquidados sobre el saldo remanente del crédito o del contrato de leasing habitacional.  </w:t>
      </w:r>
    </w:p>
    <w:p w14:paraId="4C6311C4" w14:textId="77777777" w:rsidR="00683694" w:rsidRPr="009342F9" w:rsidRDefault="00683694" w:rsidP="00FC79C1">
      <w:pPr>
        <w:spacing w:after="0" w:line="240" w:lineRule="auto"/>
        <w:jc w:val="both"/>
        <w:rPr>
          <w:rFonts w:ascii="Arial" w:eastAsia="Times New Roman" w:hAnsi="Arial" w:cs="Arial"/>
          <w:color w:val="000000"/>
          <w:lang w:eastAsia="es-CO"/>
        </w:rPr>
      </w:pPr>
    </w:p>
    <w:p w14:paraId="4EC187A8" w14:textId="5D9E9ABA" w:rsidR="00FC79C1"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 Para viviendas ubicadas en los municipios y distritos establecidos en el título 9 de la parte 1 del libro 2 del presente decreto, cuyo valor, de acuerdo con el avalúo comercial vigente con el que cuente el establecimiento de crédito al momento en que se solicite la asignación del subsidio familiar de vivienda, sea mayor a noventa (90) salarios mínimos legales mensuales vigentes y hasta ciento cincuenta (150) salarios mínimos mensuales legales vigentes, se otorgará una cobertura equivalente a cuatro (4) puntos porcentuales, liquidados sobre el saldo remanente del crédito o del contrato de leasing habitacional.  </w:t>
      </w:r>
    </w:p>
    <w:p w14:paraId="28A2B201" w14:textId="77777777" w:rsidR="00D25E1B" w:rsidRPr="009342F9" w:rsidRDefault="00D25E1B" w:rsidP="00FC79C1">
      <w:pPr>
        <w:spacing w:after="0" w:line="240" w:lineRule="auto"/>
        <w:jc w:val="both"/>
        <w:rPr>
          <w:rFonts w:ascii="Arial" w:eastAsia="Times New Roman" w:hAnsi="Arial" w:cs="Arial"/>
          <w:color w:val="000000"/>
          <w:lang w:eastAsia="es-CO"/>
        </w:rPr>
      </w:pPr>
    </w:p>
    <w:p w14:paraId="717E1FE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El(los) deudor(es) del crédito o locatario(s) del leasing habitacional beneficiario(s) de la cobertura, durante la vigencia de </w:t>
      </w:r>
      <w:proofErr w:type="gramStart"/>
      <w:r w:rsidRPr="009342F9">
        <w:rPr>
          <w:rFonts w:ascii="Arial" w:eastAsia="Times New Roman" w:hAnsi="Arial" w:cs="Arial"/>
          <w:color w:val="000000"/>
          <w:lang w:eastAsia="es-CO"/>
        </w:rPr>
        <w:t>la misma</w:t>
      </w:r>
      <w:proofErr w:type="gramEnd"/>
      <w:r w:rsidRPr="009342F9">
        <w:rPr>
          <w:rFonts w:ascii="Arial" w:eastAsia="Times New Roman" w:hAnsi="Arial" w:cs="Arial"/>
          <w:color w:val="000000"/>
          <w:lang w:eastAsia="es-CO"/>
        </w:rPr>
        <w:t>, pagarán mensualmente a los establecimientos de crédito, el equivalente mensual de la tasa de interés pactada para el respectivo período, descontando lo correspondiente a la cobertura, de acuerdo con lo establecido en el presente artículo. Cuando se trate de operaciones en UVR, el equivalente mensual de la tasa de interés pactada en el crédito hipotecario o contrato de leasing habitacional se convertirá a pesos.  </w:t>
      </w:r>
    </w:p>
    <w:p w14:paraId="09BD8AD8" w14:textId="77777777" w:rsidR="00683694" w:rsidRPr="009342F9" w:rsidRDefault="00683694" w:rsidP="00FC79C1">
      <w:pPr>
        <w:spacing w:after="0" w:line="240" w:lineRule="auto"/>
        <w:jc w:val="both"/>
        <w:rPr>
          <w:rFonts w:ascii="Arial" w:eastAsia="Times New Roman" w:hAnsi="Arial" w:cs="Arial"/>
          <w:color w:val="000000"/>
          <w:lang w:eastAsia="es-CO"/>
        </w:rPr>
      </w:pPr>
    </w:p>
    <w:p w14:paraId="0E99F181" w14:textId="0FAD630C"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En el evento que por cualquier circunstancia el establecimiento de crédito cobre al(los) deudor(es) del crédito o locatario(s) una tasa de interés diferente a la pactada, la tasa de interés efectivamente cobrada será la utilizada para el cálculo del intercambio de flujos derivado de la cobertura. En ningún caso la cobertura resultante podrá ser superior a la tasa pactada o a la efectivamente cobrada al(los) deudor(es) del crédito o locatario(s) del contrato de leasing habitacional, según sea el caso.  </w:t>
      </w:r>
    </w:p>
    <w:p w14:paraId="376D49B5" w14:textId="77777777" w:rsidR="00683694" w:rsidRPr="009342F9" w:rsidRDefault="00683694" w:rsidP="00FC79C1">
      <w:pPr>
        <w:spacing w:after="0" w:line="240" w:lineRule="auto"/>
        <w:jc w:val="both"/>
        <w:rPr>
          <w:rFonts w:ascii="Arial" w:eastAsia="Times New Roman" w:hAnsi="Arial" w:cs="Arial"/>
          <w:color w:val="000000"/>
          <w:lang w:eastAsia="es-CO"/>
        </w:rPr>
      </w:pPr>
    </w:p>
    <w:p w14:paraId="42D29198" w14:textId="47843EE2"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Fonvivienda definirá el número de coberturas disponibles para los créditos o contratos de leasing habitacional en cada uno de los segmentos de vivienda señalados, que serán objeto del beneficio aquí previsto. En todo caso, Fonvivienda podrá optar por modificar el número de coberturas.  </w:t>
      </w:r>
    </w:p>
    <w:p w14:paraId="0E530CEF" w14:textId="77777777" w:rsidR="00683694" w:rsidRPr="009342F9" w:rsidRDefault="00683694" w:rsidP="00FC79C1">
      <w:pPr>
        <w:spacing w:after="0" w:line="240" w:lineRule="auto"/>
        <w:jc w:val="both"/>
        <w:rPr>
          <w:rFonts w:ascii="Arial" w:eastAsia="Times New Roman" w:hAnsi="Arial" w:cs="Arial"/>
          <w:color w:val="000000"/>
          <w:lang w:eastAsia="es-CO"/>
        </w:rPr>
      </w:pPr>
    </w:p>
    <w:p w14:paraId="232842BF" w14:textId="76B163EA"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Para los créditos desembolsados y contratos de leasing habitacional iniciados a partir del primero (1°) de junio de 2017, el salario mínimo legal mensual vigente (</w:t>
      </w:r>
      <w:proofErr w:type="spellStart"/>
      <w:r w:rsidRPr="009342F9">
        <w:rPr>
          <w:rFonts w:ascii="Arial" w:eastAsia="Times New Roman" w:hAnsi="Arial" w:cs="Arial"/>
          <w:color w:val="000000"/>
          <w:lang w:eastAsia="es-CO"/>
        </w:rPr>
        <w:t>smlmv</w:t>
      </w:r>
      <w:proofErr w:type="spellEnd"/>
      <w:r w:rsidRPr="009342F9">
        <w:rPr>
          <w:rFonts w:ascii="Arial" w:eastAsia="Times New Roman" w:hAnsi="Arial" w:cs="Arial"/>
          <w:color w:val="000000"/>
          <w:lang w:eastAsia="es-CO"/>
        </w:rPr>
        <w:t>) que se utilizará para la graduación de la cobertura, corresponderá al salario mínimo legal mensual vigente (</w:t>
      </w:r>
      <w:proofErr w:type="spellStart"/>
      <w:r w:rsidRPr="009342F9">
        <w:rPr>
          <w:rFonts w:ascii="Arial" w:eastAsia="Times New Roman" w:hAnsi="Arial" w:cs="Arial"/>
          <w:color w:val="000000"/>
          <w:lang w:eastAsia="es-CO"/>
        </w:rPr>
        <w:t>smlmv</w:t>
      </w:r>
      <w:proofErr w:type="spellEnd"/>
      <w:r w:rsidRPr="009342F9">
        <w:rPr>
          <w:rFonts w:ascii="Arial" w:eastAsia="Times New Roman" w:hAnsi="Arial" w:cs="Arial"/>
          <w:color w:val="000000"/>
          <w:lang w:eastAsia="es-CO"/>
        </w:rPr>
        <w:t>) de la fecha de solicitud de asignación del subsidio familiar de vivienda.  </w:t>
      </w:r>
    </w:p>
    <w:p w14:paraId="33B9AC20" w14:textId="77777777" w:rsidR="00683694" w:rsidRPr="009342F9" w:rsidRDefault="00683694" w:rsidP="00FC79C1">
      <w:pPr>
        <w:spacing w:after="0" w:line="240" w:lineRule="auto"/>
        <w:jc w:val="both"/>
        <w:rPr>
          <w:rFonts w:ascii="Arial" w:eastAsia="Times New Roman" w:hAnsi="Arial" w:cs="Arial"/>
          <w:color w:val="000000"/>
          <w:lang w:eastAsia="es-CO"/>
        </w:rPr>
      </w:pPr>
    </w:p>
    <w:p w14:paraId="5A955AA6" w14:textId="2323E94B"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Los establecimientos de crédito serán los únicos responsables de verificar las condiciones señaladas en este parágrafo e informarán al Banco de la República, como administrador del FRECH, la fecha de solicitud de asignación del subsidio familiar de vivienda.  </w:t>
      </w:r>
    </w:p>
    <w:p w14:paraId="21ABF863" w14:textId="43625CD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567" w:name="ver_30113965"/>
      <w:bookmarkStart w:id="568" w:name="ver_30109283"/>
      <w:bookmarkEnd w:id="565"/>
      <w:bookmarkEnd w:id="566"/>
      <w:bookmarkEnd w:id="567"/>
    </w:p>
    <w:p w14:paraId="5D64BE3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2.1.1.4.2.3. Condiciones para el acceso a la cobertura. Para acceder a la cobertura, el(los) potencial(es) deudor(es) del crédito o locatarios del contrato de leasing habitacional, deberán cumplir las condiciones previstas en esta sección, y especialmente las siguientes:  </w:t>
      </w:r>
    </w:p>
    <w:p w14:paraId="7CE20C0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6F5919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Ser beneficiario(s) de un subsidio familiar de vivienda en el marco del Programa “Mi Casa Ya” de que trata la sección 2.1.1.4.1 del presente decreto y las demás normas que lo modifiquen adicionen o sustituyan.  </w:t>
      </w:r>
    </w:p>
    <w:p w14:paraId="15DFF8B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C56808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No haber sido beneficiarios, a cualquier título, de las coberturas de tasa de interés, establecidas en el Decreto 1068 de 2015, Decreto Único Reglamentario del Sector Hacienda y Crédito Público, y en el presente decreto, y las normas que los reglamenten, modifiquen, adicionen o sustituyan.  </w:t>
      </w:r>
    </w:p>
    <w:p w14:paraId="2D8D2C9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Para acceder a la cobertura de que trata la presente sección, los potenciales beneficiarios deberán manifestar por escrito al establecimiento de crédito, antes del desembolso del crédito o de la suscripción del contrato de leasing habitacional su intención de recibirla, señalando expresamente que conocen y aceptan los términos y condiciones para el acceso, vigencia y terminación anticipada de la cobertura, en particular que el beneficio de la cobertura estará sujeto a la disponibilidad de coberturas del Programa “Mi Casa Ya” al momento del desembolso del crédito o inicio del contrato de leasing habitacional.  </w:t>
      </w:r>
    </w:p>
    <w:p w14:paraId="1BF427C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0A7848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Fonvivienda definirá cuando sea el caso, el alcance de las condiciones para acceder a la cobertura de que trata la presente sección.  </w:t>
      </w:r>
    </w:p>
    <w:p w14:paraId="359399C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A7EB79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Los establecimientos de crédito verificarán el cumplimiento de las condiciones esta</w:t>
      </w:r>
      <w:r w:rsidRPr="009342F9">
        <w:rPr>
          <w:rFonts w:ascii="Arial" w:eastAsia="Times New Roman" w:hAnsi="Arial" w:cs="Arial"/>
          <w:color w:val="000000"/>
          <w:lang w:eastAsia="es-CO"/>
        </w:rPr>
        <w:softHyphen/>
        <w:t>blecidas en los numerales 1 y 2 del presente artículo mediante el sistema de información que determine Fonvivienda.  </w:t>
      </w:r>
    </w:p>
    <w:p w14:paraId="6A54FFE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9EB279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Con las verificaciones que realicen los establecimientos de crédito de los numerales 1 y 2 del presente artículo, se acreditará el cumplimiento de estas condiciones y no habrá lugar a verificaciones adicionales por parte del Banco de la República, como administrador del FRECH. </w:t>
      </w:r>
    </w:p>
    <w:p w14:paraId="31DAEEEB"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569" w:name="ver_30210174"/>
      <w:bookmarkStart w:id="570" w:name="ver_30109284"/>
      <w:bookmarkStart w:id="571" w:name="ver_30113967"/>
      <w:bookmarkStart w:id="572" w:name="ver_30200399"/>
      <w:bookmarkEnd w:id="568"/>
      <w:bookmarkEnd w:id="569"/>
    </w:p>
    <w:p w14:paraId="370C6F6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Artículo 2.1.1.4.2.4. Créditos o Contratos de leasing habitacional elegibles. La cobertura se aplicará a los créditos o contratos de leasing habitacional que cumplan, como mínimo, con las condiciones que se relacionan a continuación y las demás que se prevean en la presente sección y sus modificaciones:  </w:t>
      </w:r>
    </w:p>
    <w:p w14:paraId="564D924D" w14:textId="77777777" w:rsidR="00683694" w:rsidRPr="009342F9" w:rsidRDefault="00683694" w:rsidP="00FC79C1">
      <w:pPr>
        <w:spacing w:after="0" w:line="240" w:lineRule="auto"/>
        <w:jc w:val="both"/>
        <w:rPr>
          <w:rFonts w:ascii="Arial" w:eastAsia="Times New Roman" w:hAnsi="Arial" w:cs="Arial"/>
          <w:color w:val="000000"/>
          <w:lang w:eastAsia="es-CO"/>
        </w:rPr>
      </w:pPr>
    </w:p>
    <w:p w14:paraId="7319DD69" w14:textId="2F908510"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Financiación objeto de la cobertura: Los créditos o contratos de leasing habitacional que celebren los establecimientos de crédito para financiar el acceso a una vivienda de interés social urbana nueva, en el marco del Programa “Mi Casa Ya” de que trata la sección 2.1.1.4.1 del presente decreto y sus modificaciones, y que cumplan con las condiciones establecidas en esta sección.  </w:t>
      </w:r>
    </w:p>
    <w:p w14:paraId="46F9FB6F" w14:textId="77777777" w:rsidR="00683694" w:rsidRPr="009342F9" w:rsidRDefault="00683694" w:rsidP="00FC79C1">
      <w:pPr>
        <w:spacing w:after="0" w:line="240" w:lineRule="auto"/>
        <w:jc w:val="both"/>
        <w:rPr>
          <w:rFonts w:ascii="Arial" w:eastAsia="Times New Roman" w:hAnsi="Arial" w:cs="Arial"/>
          <w:color w:val="000000"/>
          <w:lang w:eastAsia="es-CO"/>
        </w:rPr>
      </w:pPr>
    </w:p>
    <w:p w14:paraId="42500B0B" w14:textId="70CB6BF8"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2. Fecha de desembolso de los créditos o de inicio de los contratos de leasing habitacional: La cobertura se aplicará a los créditos que se desembolsen o contratos de leasing habitacional que se inicien a partir del primero (1°) de junio de 2017 y hasta el agotamiento de </w:t>
      </w:r>
      <w:proofErr w:type="gramStart"/>
      <w:r w:rsidRPr="009342F9">
        <w:rPr>
          <w:rFonts w:ascii="Arial" w:eastAsia="Times New Roman" w:hAnsi="Arial" w:cs="Arial"/>
          <w:color w:val="000000"/>
          <w:lang w:eastAsia="es-CO"/>
        </w:rPr>
        <w:t>las mismas</w:t>
      </w:r>
      <w:proofErr w:type="gramEnd"/>
      <w:r w:rsidRPr="009342F9">
        <w:rPr>
          <w:rFonts w:ascii="Arial" w:eastAsia="Times New Roman" w:hAnsi="Arial" w:cs="Arial"/>
          <w:color w:val="000000"/>
          <w:lang w:eastAsia="es-CO"/>
        </w:rPr>
        <w:t xml:space="preserve"> o hasta las fechas que establezca el Fondo Nacional de Vivienda (Fonvivienda).  </w:t>
      </w:r>
    </w:p>
    <w:p w14:paraId="63DA2F83" w14:textId="77777777" w:rsidR="00683694" w:rsidRPr="009342F9" w:rsidRDefault="00683694" w:rsidP="00FC79C1">
      <w:pPr>
        <w:spacing w:after="0" w:line="240" w:lineRule="auto"/>
        <w:jc w:val="both"/>
        <w:rPr>
          <w:rFonts w:ascii="Arial" w:eastAsia="Times New Roman" w:hAnsi="Arial" w:cs="Arial"/>
          <w:color w:val="000000"/>
          <w:lang w:eastAsia="es-CO"/>
        </w:rPr>
      </w:pPr>
    </w:p>
    <w:p w14:paraId="13C46F41" w14:textId="7F2FB25A"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Unicidad: La cobertura se otorgará por una sola vez y se aplicará a todos los deudores del crédito o locatarios del contrato de leasing habitacional, a cualquier título.  </w:t>
      </w:r>
    </w:p>
    <w:p w14:paraId="30AF7B39" w14:textId="445DA881"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573" w:name="ver_30219296"/>
      <w:bookmarkStart w:id="574" w:name="ver_30109286"/>
      <w:bookmarkStart w:id="575" w:name="ver_30113971"/>
      <w:bookmarkEnd w:id="570"/>
      <w:bookmarkEnd w:id="571"/>
      <w:bookmarkEnd w:id="572"/>
      <w:bookmarkEnd w:id="573"/>
    </w:p>
    <w:p w14:paraId="5716F65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2.1.1.4.2.5. Terminación anticipada de la cobertura. La cobertura se terminará en forma anticipada en los siguientes eventos: </w:t>
      </w:r>
    </w:p>
    <w:p w14:paraId="673A8931" w14:textId="77777777" w:rsidR="00683694" w:rsidRPr="009342F9" w:rsidRDefault="00683694" w:rsidP="00FC79C1">
      <w:pPr>
        <w:spacing w:after="0" w:line="240" w:lineRule="auto"/>
        <w:jc w:val="both"/>
        <w:rPr>
          <w:rFonts w:ascii="Arial" w:eastAsia="Times New Roman" w:hAnsi="Arial" w:cs="Arial"/>
          <w:color w:val="000000"/>
          <w:lang w:eastAsia="es-CO"/>
        </w:rPr>
      </w:pPr>
    </w:p>
    <w:p w14:paraId="26F4A5F8" w14:textId="581636A0"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Por pago anticipado del crédito o por hacer uso de la opción de adquisición, tratándose de contratos de leasing habitacional. </w:t>
      </w:r>
    </w:p>
    <w:p w14:paraId="6C689CE9" w14:textId="77777777" w:rsidR="00683694" w:rsidRPr="009342F9" w:rsidRDefault="00683694" w:rsidP="00FC79C1">
      <w:pPr>
        <w:spacing w:after="0" w:line="240" w:lineRule="auto"/>
        <w:jc w:val="both"/>
        <w:rPr>
          <w:rFonts w:ascii="Arial" w:eastAsia="Times New Roman" w:hAnsi="Arial" w:cs="Arial"/>
          <w:color w:val="000000"/>
          <w:lang w:eastAsia="es-CO"/>
        </w:rPr>
      </w:pPr>
    </w:p>
    <w:p w14:paraId="128FF071" w14:textId="4BADFA50"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Por mora en el pago de tres (3) cuotas o cánones consecutivos a cargo del(los) deudor(es) o locatario(s) de leasing habitacional. En este caso, la cobertura se perderá a partir del día siguiente al vencimiento de la última cuota o canon incumplido. </w:t>
      </w:r>
    </w:p>
    <w:p w14:paraId="540A86E3" w14:textId="77777777" w:rsidR="00683694" w:rsidRPr="009342F9" w:rsidRDefault="00683694" w:rsidP="00FC79C1">
      <w:pPr>
        <w:spacing w:after="0" w:line="240" w:lineRule="auto"/>
        <w:jc w:val="both"/>
        <w:rPr>
          <w:rFonts w:ascii="Arial" w:eastAsia="Times New Roman" w:hAnsi="Arial" w:cs="Arial"/>
          <w:color w:val="000000"/>
          <w:lang w:eastAsia="es-CO"/>
        </w:rPr>
      </w:pPr>
    </w:p>
    <w:p w14:paraId="3707CE42" w14:textId="04588C49"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Por petición del(los) deudor(es) o locatario(s). </w:t>
      </w:r>
    </w:p>
    <w:p w14:paraId="2E215D08" w14:textId="77777777" w:rsidR="00683694" w:rsidRPr="009342F9" w:rsidRDefault="00683694" w:rsidP="00FC79C1">
      <w:pPr>
        <w:spacing w:after="0" w:line="240" w:lineRule="auto"/>
        <w:jc w:val="both"/>
        <w:rPr>
          <w:rFonts w:ascii="Arial" w:eastAsia="Times New Roman" w:hAnsi="Arial" w:cs="Arial"/>
          <w:color w:val="000000"/>
          <w:lang w:eastAsia="es-CO"/>
        </w:rPr>
      </w:pPr>
    </w:p>
    <w:p w14:paraId="41807E16" w14:textId="32E59F69"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Por cesión del crédito, por parte del deudor. </w:t>
      </w:r>
    </w:p>
    <w:p w14:paraId="3F93CCD4" w14:textId="77777777" w:rsidR="00683694" w:rsidRPr="009342F9" w:rsidRDefault="00683694" w:rsidP="00FC79C1">
      <w:pPr>
        <w:spacing w:after="0" w:line="240" w:lineRule="auto"/>
        <w:jc w:val="both"/>
        <w:rPr>
          <w:rFonts w:ascii="Arial" w:eastAsia="Times New Roman" w:hAnsi="Arial" w:cs="Arial"/>
          <w:color w:val="000000"/>
          <w:lang w:eastAsia="es-CO"/>
        </w:rPr>
      </w:pPr>
    </w:p>
    <w:p w14:paraId="7971F019" w14:textId="50FAC63C"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 Por cesión del contrato de leasing habitacional, por parte del locatario. </w:t>
      </w:r>
    </w:p>
    <w:p w14:paraId="57C8C65B" w14:textId="77777777" w:rsidR="00683694" w:rsidRPr="009342F9" w:rsidRDefault="00683694" w:rsidP="00FC79C1">
      <w:pPr>
        <w:spacing w:after="0" w:line="240" w:lineRule="auto"/>
        <w:jc w:val="both"/>
        <w:rPr>
          <w:rFonts w:ascii="Arial" w:eastAsia="Times New Roman" w:hAnsi="Arial" w:cs="Arial"/>
          <w:color w:val="000000"/>
          <w:lang w:eastAsia="es-CO"/>
        </w:rPr>
      </w:pPr>
    </w:p>
    <w:p w14:paraId="2314F4AE" w14:textId="2425C379"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6. Por reestructuración del crédito o del contrato de leasing habitacional que implique el incremento de los montos, o saldos de las obligaciones o ampliación del plazo del crédito o contrato. </w:t>
      </w:r>
    </w:p>
    <w:p w14:paraId="75FB8BF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7. Por aceleración del plazo conforme a los términos contractuales. </w:t>
      </w:r>
    </w:p>
    <w:p w14:paraId="4E34FA3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16EE8A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La cobertura se mantendrá vigente en los casos de cesión, venta o enajenación de la cartera con cobertura, entre establecimientos de crédito y en los procesos derivados de titularización de cartera con cobertura. </w:t>
      </w:r>
    </w:p>
    <w:p w14:paraId="76E0AACE" w14:textId="46AE0132"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transitorio. El otorgamiento de periodos de gracia en capital e intereses en los créditos para adquisición de vivienda o contratos de leasing habitacional que cuenten con el beneficio de cobertura de tasa de interés, que se pacten entre los beneficiarios y la respectiva entidad en el marco de las instrucciones impartidas por la Superintendencia Financiera mediante circular externa 007 de 2020, no se entenderá como causal de terminación anticipada de la cobertura.</w:t>
      </w:r>
      <w:r w:rsidRPr="009342F9">
        <w:rPr>
          <w:rFonts w:ascii="Arial" w:eastAsia="Times New Roman" w:hAnsi="Arial" w:cs="Arial"/>
          <w:color w:val="000000"/>
          <w:lang w:eastAsia="es-CO"/>
        </w:rPr>
        <w:br/>
      </w:r>
      <w:r w:rsidRPr="009342F9">
        <w:rPr>
          <w:rFonts w:ascii="Arial" w:eastAsia="Times New Roman" w:hAnsi="Arial" w:cs="Arial"/>
          <w:color w:val="000000"/>
          <w:lang w:eastAsia="es-CO"/>
        </w:rPr>
        <w:br/>
        <w:t xml:space="preserve">Las entidades que otorguen periodos de gracia en capital e intereses a los beneficiarios de las </w:t>
      </w:r>
      <w:r w:rsidRPr="009342F9">
        <w:rPr>
          <w:rFonts w:ascii="Arial" w:eastAsia="Times New Roman" w:hAnsi="Arial" w:cs="Arial"/>
          <w:color w:val="000000"/>
          <w:lang w:eastAsia="es-CO"/>
        </w:rPr>
        <w:lastRenderedPageBreak/>
        <w:t>coberturas de tasa de interés deberán informar dicha circunstancia al Banco de la República como administrador del Fondo de Reserva para la Estabilización de la Cartera Hipotecaria - FRECH. </w:t>
      </w:r>
    </w:p>
    <w:p w14:paraId="2AC1469F"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576" w:name="ver_30113973"/>
      <w:bookmarkStart w:id="577" w:name="ver_30109287"/>
      <w:bookmarkEnd w:id="574"/>
      <w:bookmarkEnd w:id="575"/>
      <w:bookmarkEnd w:id="576"/>
    </w:p>
    <w:p w14:paraId="53BF176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2.1.1.4.2.6. Recursos para la cobertura. Los recursos requeridos para el otorgamiento y pago de las coberturas previstas en esta sección, así como los gastos de gestión en que incurra el Banco de la República en la realización de la permuta financiera, serán apropiados en el Presupuesto General de la Nación a través de Fonvivienda o quien haga sus veces, y serán comprometidos con cargo a su presupuesto de inversión a favor del FRECH - Mi Casa Ya, dando cumplimiento a las disposiciones en materia presupuestal.  </w:t>
      </w:r>
    </w:p>
    <w:p w14:paraId="64F1BBD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8C0C0E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Para cada vigencia, la apropiación de estos recursos quedará condicionada al espacio fiscal establecido tanto en el Marco de Gasto de Mediano Plazo del sector Vivienda, así como en el Marco Fiscal de Mediano Plazo. La expedición de la presente sección no podrá dar origen a ajustes que impliquen recursos adicionales a los ya contemplados en el marco de gasto de mediano plazo vigente para el sector.  </w:t>
      </w:r>
    </w:p>
    <w:p w14:paraId="05B58A4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085B0C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Parágrafo. El Ministerio de Vivienda, Ciudad y Territorio realizará un seguimiento a la ejecución del Programa, y adelantará los trámites a que haya lugar ante el Ministerio de Hacienda y Crédito Público, con el fin de gestionar la disponibilidad de recursos para la continuidad del Programa y otorgar los beneficios </w:t>
      </w:r>
      <w:proofErr w:type="gramStart"/>
      <w:r w:rsidRPr="009342F9">
        <w:rPr>
          <w:rFonts w:ascii="Arial" w:eastAsia="Times New Roman" w:hAnsi="Arial" w:cs="Arial"/>
          <w:color w:val="000000"/>
          <w:lang w:eastAsia="es-CO"/>
        </w:rPr>
        <w:t>del mismo</w:t>
      </w:r>
      <w:proofErr w:type="gramEnd"/>
      <w:r w:rsidRPr="009342F9">
        <w:rPr>
          <w:rFonts w:ascii="Arial" w:eastAsia="Times New Roman" w:hAnsi="Arial" w:cs="Arial"/>
          <w:color w:val="000000"/>
          <w:lang w:eastAsia="es-CO"/>
        </w:rPr>
        <w:t>. </w:t>
      </w:r>
    </w:p>
    <w:p w14:paraId="5FDB843F"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578" w:name="ver_30113977"/>
      <w:bookmarkStart w:id="579" w:name="ver_30109288"/>
      <w:bookmarkEnd w:id="577"/>
      <w:bookmarkEnd w:id="578"/>
    </w:p>
    <w:p w14:paraId="036D52A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2.1.1.4.2.7. Giro de los recursos. Los recursos asignados para financiar la cobertura de que trata la presente </w:t>
      </w:r>
      <w:proofErr w:type="gramStart"/>
      <w:r w:rsidRPr="009342F9">
        <w:rPr>
          <w:rFonts w:ascii="Arial" w:eastAsia="Times New Roman" w:hAnsi="Arial" w:cs="Arial"/>
          <w:color w:val="000000"/>
          <w:lang w:eastAsia="es-CO"/>
        </w:rPr>
        <w:t>sección,</w:t>
      </w:r>
      <w:proofErr w:type="gramEnd"/>
      <w:r w:rsidRPr="009342F9">
        <w:rPr>
          <w:rFonts w:ascii="Arial" w:eastAsia="Times New Roman" w:hAnsi="Arial" w:cs="Arial"/>
          <w:color w:val="000000"/>
          <w:lang w:eastAsia="es-CO"/>
        </w:rPr>
        <w:t xml:space="preserve"> formarán parte del FRECH - Mi Casa Ya y serán girados de conformidad con los compromisos anuales que se deriven del otorgamiento, ejecución y vencimiento de dichas coberturas.  </w:t>
      </w:r>
    </w:p>
    <w:p w14:paraId="1408D4D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1DA25D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El Viceministerio Técnico del Ministerio de Hacienda y Crédito Público definirá el procedimiento, oportunidad, plazo y cuantías requeridas para el traslado al FRECH - Mi Casa Ya, de los recursos líquidos necesarios para el cubrimiento y pago de las coberturas de que trata la presente sección.  </w:t>
      </w:r>
    </w:p>
    <w:p w14:paraId="18EA1B2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82122B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Fonvivienda girará al Banco de la República, como administrador del FRECH, los re</w:t>
      </w:r>
      <w:r w:rsidRPr="009342F9">
        <w:rPr>
          <w:rFonts w:ascii="Arial" w:eastAsia="Times New Roman" w:hAnsi="Arial" w:cs="Arial"/>
          <w:color w:val="000000"/>
          <w:lang w:eastAsia="es-CO"/>
        </w:rPr>
        <w:softHyphen/>
        <w:t>cursos líquidos necesarios para el cubrimiento y pago de estas coberturas, previa solicitud que en tal sentido le presente el Banco de la República a Fonvivienda, de conformidad con las obligaciones generadas mes a mes derivadas de la permuta financiera.  </w:t>
      </w:r>
    </w:p>
    <w:p w14:paraId="5A3D245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6A6F17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Así mismo, Fonvivienda pagará al Banco de la República los gastos en que este incurra en la realización de la permuta financiera prevista en esta sección, los cuales se pagarán con cargo a los recursos del FRECH - Mi Casa Ya.  </w:t>
      </w:r>
    </w:p>
    <w:p w14:paraId="7D8B663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7DCEDC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El Banco de la República, como administrador del FRECH, no será responsable por el cubrimiento y pago de las coberturas de que trata esta sección, cuando Fonvivienda no haya realizado las apropiaciones presupuestales necesarias para el pago de estas coberturas y cuando Fonvivienda no haya hecho la entrega y giro de los recursos correspondientes al FRECH - Mi Casa Ya.  </w:t>
      </w:r>
    </w:p>
    <w:p w14:paraId="219A9BC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356C26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Los trámites presupuestales de apropiación, ejecución, registro y desembolso estarán a cargo de Fonvivienda. </w:t>
      </w:r>
    </w:p>
    <w:p w14:paraId="726D1AEC" w14:textId="77777777" w:rsidR="00FC79C1" w:rsidRPr="009342F9" w:rsidRDefault="00FC79C1" w:rsidP="00FC79C1">
      <w:pPr>
        <w:spacing w:after="0" w:line="240" w:lineRule="auto"/>
        <w:jc w:val="both"/>
        <w:rPr>
          <w:rFonts w:ascii="Arial" w:eastAsia="Times New Roman" w:hAnsi="Arial" w:cs="Arial"/>
          <w:color w:val="000000"/>
          <w:lang w:eastAsia="es-CO"/>
        </w:rPr>
      </w:pPr>
    </w:p>
    <w:p w14:paraId="07B0B963"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580" w:name="ver_30109290"/>
      <w:bookmarkEnd w:id="579"/>
      <w:r w:rsidRPr="009342F9">
        <w:rPr>
          <w:rFonts w:ascii="Arial" w:eastAsia="Times New Roman" w:hAnsi="Arial" w:cs="Arial"/>
          <w:color w:val="000000"/>
          <w:lang w:eastAsia="es-CO"/>
        </w:rPr>
        <w:t xml:space="preserve">Artículo 2.1.1.4.2.8 Restitución de los recursos de la cobertura. Las sumas provenientes de las restituciones de recursos que deban realizar los establecimientos de crédito al FRECH - Mi Casa Ya respecto de deudores o locatarios que no tengan derecho a la cobertura o que se haya </w:t>
      </w:r>
      <w:r w:rsidRPr="009342F9">
        <w:rPr>
          <w:rFonts w:ascii="Arial" w:eastAsia="Times New Roman" w:hAnsi="Arial" w:cs="Arial"/>
          <w:color w:val="000000"/>
          <w:lang w:eastAsia="es-CO"/>
        </w:rPr>
        <w:lastRenderedPageBreak/>
        <w:t>entregado en exceso, o por haber perdido la posibilidad de realizar el intercambio de flujos de la cobertura, o cualquier otra suma que deba restituirse, serán trasladadas a Fonvivienda y de este a la Dirección General de Crédito Público y Tesoro Nacional del Ministerio de Hacienda y Crédito Público. Fonvivienda impartirá las instrucciones para la restitución de estos recursos. </w:t>
      </w:r>
    </w:p>
    <w:p w14:paraId="6C4C4AE7" w14:textId="77777777" w:rsidR="00683694" w:rsidRPr="009342F9" w:rsidRDefault="00683694" w:rsidP="00FC79C1">
      <w:pPr>
        <w:spacing w:after="0" w:line="240" w:lineRule="auto"/>
        <w:jc w:val="both"/>
        <w:rPr>
          <w:rFonts w:ascii="Arial" w:eastAsia="Times New Roman" w:hAnsi="Arial" w:cs="Arial"/>
          <w:color w:val="000000"/>
          <w:lang w:eastAsia="es-CO"/>
        </w:rPr>
      </w:pPr>
      <w:bookmarkStart w:id="581" w:name="ver_30113979"/>
      <w:bookmarkStart w:id="582" w:name="ver_30109292"/>
      <w:bookmarkEnd w:id="580"/>
      <w:bookmarkEnd w:id="581"/>
    </w:p>
    <w:p w14:paraId="622810AE" w14:textId="2E3CC48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2.1.1.4.2.9. Convenio Interadministrativo. Mediante convenio interadministra</w:t>
      </w:r>
      <w:r w:rsidRPr="009342F9">
        <w:rPr>
          <w:rFonts w:ascii="Arial" w:eastAsia="Times New Roman" w:hAnsi="Arial" w:cs="Arial"/>
          <w:color w:val="000000"/>
          <w:lang w:eastAsia="es-CO"/>
        </w:rPr>
        <w:softHyphen/>
        <w:t>tivo o modificación al existente, Fonvivienda y el Banco de la República, como administrador del FRECH, determinarán las condiciones en que debe realizarse la permuta financiera de tasa de interés pactada sobre los créditos o contratos de leasing habitacional destinados a la adquisición de vivienda familiar a que se refiere la presente sección.  </w:t>
      </w:r>
    </w:p>
    <w:p w14:paraId="591D6864" w14:textId="1A6BDE10"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583" w:name="ver_30113980"/>
      <w:bookmarkStart w:id="584" w:name="ver_30109293"/>
      <w:bookmarkEnd w:id="582"/>
      <w:bookmarkEnd w:id="583"/>
    </w:p>
    <w:p w14:paraId="583AAEF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2.1.1.4.2.10. Contratos marco de permuta financiera de tasa de interés. Los establecimientos de crédito interesados en acceder a la cobertura que ofrece el Gobierno nacional a través del FRECH - Mi Casa Ya, deberán celebrar con el Banco de la República, como administrador del FRECH, un contrato marco de permuta financiera de tasa de interés para realizar el intercambio de flujos derivado de la cobertura prevista en esta sección. </w:t>
      </w:r>
    </w:p>
    <w:p w14:paraId="5E568C5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952232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Dichos contratos marco deberán tener en cuenta de conformidad con lo dispuesto en esta sección y demás normas que lo reglamenten, modifiquen, adicionen o sustituyan, entre otras, las siguientes obligaciones: </w:t>
      </w:r>
    </w:p>
    <w:p w14:paraId="1F1B17D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Para los establecimientos de crédito: </w:t>
      </w:r>
    </w:p>
    <w:p w14:paraId="6D6F2F7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D7C81D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 Informar al FRECH - Mi Casa Ya, para su registro, los créditos y contratos de leasing habitacional elegibles con derecho a la cobertura, de acuerdo con lo dispuesto en esta sección; </w:t>
      </w:r>
    </w:p>
    <w:p w14:paraId="0C8E8D3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3CB7A7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b) Presentar al FRECH - Mi Casa Ya, la cuenta de cobro correspondiente a los créditos desembolsados o contratos de leasing habitacional iniciados con derecho a la cobertura, registrados en el FRECH - Mi Casa Ya, por el valor neto del intercambio de flujos derivado de la permuta financiera, de acuerdo con lo dispuesto en esta sección; </w:t>
      </w:r>
    </w:p>
    <w:p w14:paraId="40256BF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6ABA29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 Certificar al Banco de la República, como administrador del FRECH: </w:t>
      </w:r>
    </w:p>
    <w:p w14:paraId="31888B97" w14:textId="3732C4E9"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i) Que los créditos o contratos de leasing habitacional objeto de la cobertura cumplen los requisitos y condiciones establecidos para el acceso y vigencia de la cobertura de tasa de interés, señalados en esta sección; </w:t>
      </w:r>
    </w:p>
    <w:p w14:paraId="31B8E1DB" w14:textId="77777777" w:rsidR="00683694" w:rsidRPr="009342F9" w:rsidRDefault="00683694" w:rsidP="00FC79C1">
      <w:pPr>
        <w:spacing w:after="0" w:line="240" w:lineRule="auto"/>
        <w:jc w:val="both"/>
        <w:rPr>
          <w:rFonts w:ascii="Arial" w:eastAsia="Times New Roman" w:hAnsi="Arial" w:cs="Arial"/>
          <w:color w:val="000000"/>
          <w:lang w:eastAsia="es-CO"/>
        </w:rPr>
      </w:pPr>
    </w:p>
    <w:p w14:paraId="5E5FDD85" w14:textId="0B1858CA"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ii) La veracidad de toda la información enviada al FRECH - Mi Casa Ya, en concordan</w:t>
      </w:r>
      <w:r w:rsidRPr="009342F9">
        <w:rPr>
          <w:rFonts w:ascii="Arial" w:eastAsia="Times New Roman" w:hAnsi="Arial" w:cs="Arial"/>
          <w:color w:val="000000"/>
          <w:lang w:eastAsia="es-CO"/>
        </w:rPr>
        <w:softHyphen/>
        <w:t>cia con los requisitos y condiciones para el acceso, vigencia, terminación anticipada de la cobertura de tasa de interés y aquella relacionada con el intercambio de flujos, establecidos en esta sección y en la normativa aplicable; </w:t>
      </w:r>
    </w:p>
    <w:p w14:paraId="4012FE7F" w14:textId="77777777" w:rsidR="00683694" w:rsidRPr="009342F9" w:rsidRDefault="00683694" w:rsidP="00FC79C1">
      <w:pPr>
        <w:spacing w:after="0" w:line="240" w:lineRule="auto"/>
        <w:jc w:val="both"/>
        <w:rPr>
          <w:rFonts w:ascii="Arial" w:eastAsia="Times New Roman" w:hAnsi="Arial" w:cs="Arial"/>
          <w:color w:val="000000"/>
          <w:lang w:eastAsia="es-CO"/>
        </w:rPr>
      </w:pPr>
    </w:p>
    <w:p w14:paraId="1EC223F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iii) Los créditos o contratos de leasing habitacional registrados en el FRECH - Mi Casa Ya que no tengan el derecho a la cobertura y las terminaciones anticipadas de la misma, de acuerdo con lo dispuesto en esta sección; </w:t>
      </w:r>
    </w:p>
    <w:p w14:paraId="18EA7CB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6C05FD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d) Suministrar la información que requiera el Banco de la República para la realización de la permuta financiera en la oportunidad que se establezca para el efecto; </w:t>
      </w:r>
    </w:p>
    <w:p w14:paraId="4D29744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A5E920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 Restituir los recursos de que trata el artículo 2.1.1.4.2.8 de la presente sección. </w:t>
      </w:r>
    </w:p>
    <w:p w14:paraId="2915B06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01E05D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Para el Banco de la República: </w:t>
      </w:r>
    </w:p>
    <w:p w14:paraId="5AD1C99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D2F753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a) Validar operativamente que el contenido de la información remitida por los esta</w:t>
      </w:r>
      <w:r w:rsidRPr="009342F9">
        <w:rPr>
          <w:rFonts w:ascii="Arial" w:eastAsia="Times New Roman" w:hAnsi="Arial" w:cs="Arial"/>
          <w:color w:val="000000"/>
          <w:lang w:eastAsia="es-CO"/>
        </w:rPr>
        <w:softHyphen/>
        <w:t xml:space="preserve">blecimientos de crédito al FRECH - Mi Casa Ya, para efectos del registro de los créditos desembolsados o contratos de leasing habitacional iniciados con derecho a la cobertura y para el pago de </w:t>
      </w:r>
      <w:proofErr w:type="gramStart"/>
      <w:r w:rsidRPr="009342F9">
        <w:rPr>
          <w:rFonts w:ascii="Arial" w:eastAsia="Times New Roman" w:hAnsi="Arial" w:cs="Arial"/>
          <w:color w:val="000000"/>
          <w:lang w:eastAsia="es-CO"/>
        </w:rPr>
        <w:t>la misma</w:t>
      </w:r>
      <w:proofErr w:type="gramEnd"/>
      <w:r w:rsidRPr="009342F9">
        <w:rPr>
          <w:rFonts w:ascii="Arial" w:eastAsia="Times New Roman" w:hAnsi="Arial" w:cs="Arial"/>
          <w:color w:val="000000"/>
          <w:lang w:eastAsia="es-CO"/>
        </w:rPr>
        <w:t>, sea consistente con la presente sección y su reglamentación; </w:t>
      </w:r>
    </w:p>
    <w:p w14:paraId="60B0337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2B250F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b) Registrar en el FRECH - Mi Casa Ya, atendiendo la fecha de recibo en el Banco de la República en orden de llegada, los créditos desembolsados o contratos de leasing habi</w:t>
      </w:r>
      <w:r w:rsidRPr="009342F9">
        <w:rPr>
          <w:rFonts w:ascii="Arial" w:eastAsia="Times New Roman" w:hAnsi="Arial" w:cs="Arial"/>
          <w:color w:val="000000"/>
          <w:lang w:eastAsia="es-CO"/>
        </w:rPr>
        <w:softHyphen/>
        <w:t>tacional iniciados con derecho a la cobertura, teniendo en cuenta el número de coberturas disponibles para los créditos o contratos de leasing habitacional establecidos por Fonvivienda y el número de créditos o contratos de leasing habitacional con cobertura registrados en el FRECH - Mi Casa Ya, de acuerdo con lo informado por los establecimientos de crédito; </w:t>
      </w:r>
    </w:p>
    <w:p w14:paraId="6DD7EDB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FC6655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 Pagar el valor neto del intercambio de flujos derivado de la permuta financiera, de acuerdo con las instrucciones que para el efecto imparta Fonvivienda; </w:t>
      </w:r>
    </w:p>
    <w:p w14:paraId="492B4DF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D5AEAE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d) Excluir de la cobertura los créditos o contratos de leasing habitacional registrados en el FRECH - Mi Casa Ya, que no tengan derecho a esta y registrar las terminaciones anti</w:t>
      </w:r>
      <w:r w:rsidRPr="009342F9">
        <w:rPr>
          <w:rFonts w:ascii="Arial" w:eastAsia="Times New Roman" w:hAnsi="Arial" w:cs="Arial"/>
          <w:color w:val="000000"/>
          <w:lang w:eastAsia="es-CO"/>
        </w:rPr>
        <w:softHyphen/>
        <w:t>cipadas de la misma, así como créditos o contratos de leasing habitacional respecto de los cuales no sea posible realizar el intercambio de flujos, de conformidad con la información presentada por los establecimientos de crédito; </w:t>
      </w:r>
    </w:p>
    <w:p w14:paraId="43F16DA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008E7E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 Informar mensualmente a los establecimientos de crédito y a Fonvivienda el número de créditos desembolsados y contratos de leasing habitacional con derecho a la cobertura registrados en el FRECH - Mi Casa Ya. Adicionalmente a Fonvivienda se remitirá men</w:t>
      </w:r>
      <w:r w:rsidRPr="009342F9">
        <w:rPr>
          <w:rFonts w:ascii="Arial" w:eastAsia="Times New Roman" w:hAnsi="Arial" w:cs="Arial"/>
          <w:color w:val="000000"/>
          <w:lang w:eastAsia="es-CO"/>
        </w:rPr>
        <w:softHyphen/>
        <w:t>sualmente una relación de los beneficiarios de la cobertura. </w:t>
      </w:r>
    </w:p>
    <w:p w14:paraId="10B4636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35636E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1º. En los contratos marco se estipulará que los establecimientos de crédito perderán la posibilidad de realizar el intercambio de flujos de la cobertura en los eventos que defina Fonvivienda, cuando haya lugar a ello, de acuerdo con la naturaleza y propósito de dicho mecanismo. </w:t>
      </w:r>
    </w:p>
    <w:p w14:paraId="4D84A5D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4DA066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2º. En todo caso el registro y pago de la cobertura estará condicionada a la suscripción, o modificación, cuando sea el caso, de los contratos marco aquí establecidos, entre los establecimientos de crédito y el Banco de la República. </w:t>
      </w:r>
    </w:p>
    <w:p w14:paraId="6B35C36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896935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3º. El Banco de la República, como administrador del FRECH, no verifica las condiciones y requisitos para el otorgamiento de las coberturas de tasas de interés esta</w:t>
      </w:r>
      <w:r w:rsidRPr="009342F9">
        <w:rPr>
          <w:rFonts w:ascii="Arial" w:eastAsia="Times New Roman" w:hAnsi="Arial" w:cs="Arial"/>
          <w:color w:val="000000"/>
          <w:lang w:eastAsia="es-CO"/>
        </w:rPr>
        <w:softHyphen/>
        <w:t>blecidos en la presente sección y en las normas que lo modifiquen, adicionen o sustituyan; ni le corresponde determinar si los créditos desembolsados o contratos de leasing habitacional iniciados con los establecimientos de crédito tienen derecho a la cobertura. En ningún caso el Banco de la República pagará con sus recursos propios las coberturas de tasas de interés. </w:t>
      </w:r>
    </w:p>
    <w:p w14:paraId="2B1971A4"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585" w:name="ver_30113981"/>
      <w:bookmarkStart w:id="586" w:name="ver_30109294"/>
      <w:bookmarkEnd w:id="584"/>
      <w:bookmarkEnd w:id="585"/>
    </w:p>
    <w:p w14:paraId="0A2968B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2.1.1.4.2.11. Responsabilidad de los establecimientos de crédito. Los esta</w:t>
      </w:r>
      <w:r w:rsidRPr="009342F9">
        <w:rPr>
          <w:rFonts w:ascii="Arial" w:eastAsia="Times New Roman" w:hAnsi="Arial" w:cs="Arial"/>
          <w:color w:val="000000"/>
          <w:lang w:eastAsia="es-CO"/>
        </w:rPr>
        <w:softHyphen/>
        <w:t>blecimientos de crédito serán los únicos responsables de verificar el cumplimiento de los requisitos y condiciones establecidos para el acceso, vigencia, y terminación anticipada de la cobertura de tasa de interés a los créditos o contratos de leasing habitacional de que trata la presente sección; así como de la veracidad de la información presentada al FRECH - Mi Casa Ya y del cumplimiento de las obligaciones contenidas en el contrato marco que sus</w:t>
      </w:r>
      <w:r w:rsidRPr="009342F9">
        <w:rPr>
          <w:rFonts w:ascii="Arial" w:eastAsia="Times New Roman" w:hAnsi="Arial" w:cs="Arial"/>
          <w:color w:val="000000"/>
          <w:lang w:eastAsia="es-CO"/>
        </w:rPr>
        <w:softHyphen/>
        <w:t>criban con el Banco de la República. Con la verificación del establecimiento de crédito se acreditará el cumplimiento de las condiciones y requisitos y no habrá lugar a verificaciones adicionales por parte del Banco de la República como administrador del FRECH.  </w:t>
      </w:r>
    </w:p>
    <w:p w14:paraId="71A3CB1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w:t>
      </w:r>
    </w:p>
    <w:p w14:paraId="33B20BB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Los establecimientos de crédito deberán informar a los potenciales deudores de créditos de vivienda o locatarios de los contratos de leasing habitacional acerca de las condiciones de acceso, vigencia, y terminación anticipada de la cobertura, en las condiciones establecidas en la presente sección y demás normas que la reglamenten, modifiquen, adicionen o susti</w:t>
      </w:r>
      <w:r w:rsidRPr="009342F9">
        <w:rPr>
          <w:rFonts w:ascii="Arial" w:eastAsia="Times New Roman" w:hAnsi="Arial" w:cs="Arial"/>
          <w:color w:val="000000"/>
          <w:lang w:eastAsia="es-CO"/>
        </w:rPr>
        <w:softHyphen/>
        <w:t>tuyan, así como las instrucciones que imparta la Superintendencia Financiera de Colombia.  </w:t>
      </w:r>
    </w:p>
    <w:p w14:paraId="507747E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B0EA1D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Los establecimientos de crédito no podrán desembolsar créditos o iniciar contratos de leasing habitacional con derecho a la cobertura, sin haber recibido de parte de los potenciales deudores de los créditos o locatarios de los contratos de leasing habitacional la manifestación escrita prevista en el artículo 2.1.1.4.2.3 del presente decreto.  </w:t>
      </w:r>
    </w:p>
    <w:p w14:paraId="4B639A0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719187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Igualmente, los establecimientos de crédito deberán informar al(los) deudor(es) o locatario(s): a) que su cobertura se encuentra sujeta a que en el momento del desembolso del crédito o inicio del contrato del leasing habitacional no se hayan agotado las coberturas disponibles y b) en el extracto de la obligación, el cálculo y aplicación de la cobertura, y remitir dentro de la proyección anual de los créditos individuales de vivienda o contratos de leasing habitacional lo que corresponda a la discriminación de los valores del beneficio.  </w:t>
      </w:r>
    </w:p>
    <w:p w14:paraId="28CBAAB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860745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Los establecimientos de crédito deberán verificar al momento del desembolso del crédito o inicio del contrato del leasing habitacional lo siguiente:  </w:t>
      </w:r>
    </w:p>
    <w:p w14:paraId="175BE2E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B1BB13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i) La disponibilidad de coberturas. En ningún caso los establecimientos de crédito podrán desembolsar créditos o iniciar los contratos del leasing habitacional con derecho a la cobertura en exceso del número de coberturas definidas por Fonvivienda, so pena de asumir el pago de </w:t>
      </w:r>
      <w:proofErr w:type="gramStart"/>
      <w:r w:rsidRPr="009342F9">
        <w:rPr>
          <w:rFonts w:ascii="Arial" w:eastAsia="Times New Roman" w:hAnsi="Arial" w:cs="Arial"/>
          <w:color w:val="000000"/>
          <w:lang w:eastAsia="es-CO"/>
        </w:rPr>
        <w:t>la misma</w:t>
      </w:r>
      <w:proofErr w:type="gramEnd"/>
      <w:r w:rsidRPr="009342F9">
        <w:rPr>
          <w:rFonts w:ascii="Arial" w:eastAsia="Times New Roman" w:hAnsi="Arial" w:cs="Arial"/>
          <w:color w:val="000000"/>
          <w:lang w:eastAsia="es-CO"/>
        </w:rPr>
        <w:t xml:space="preserve"> con sus propios recursos;  </w:t>
      </w:r>
    </w:p>
    <w:p w14:paraId="3069B4B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2478DE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ii) Que la cobertura se otorgue únicamente a un crédito o contrato del leasing habita</w:t>
      </w:r>
      <w:r w:rsidRPr="009342F9">
        <w:rPr>
          <w:rFonts w:ascii="Arial" w:eastAsia="Times New Roman" w:hAnsi="Arial" w:cs="Arial"/>
          <w:color w:val="000000"/>
          <w:lang w:eastAsia="es-CO"/>
        </w:rPr>
        <w:softHyphen/>
        <w:t>cional y que aquella se aplique a todos los deudores o locatarios del contrato de leasing habitacional, a cualquier título.  </w:t>
      </w:r>
    </w:p>
    <w:p w14:paraId="6E1AB4B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193073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Corresponderá a los establecimientos de crédito informar al Banco de la República los créditos desembolsados y contratos de leasing habitacional iniciados con derecho a la cobertura para efectos del registro y pago de la cobertura y comunicar lo pertinente al(los) deudor(es) o locatario(s).  </w:t>
      </w:r>
    </w:p>
    <w:p w14:paraId="5088172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FED150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El uso de los recursos otorgados como cobertura no podrán destinarse a propósitos diferentes a los indicados en la presente sección y las normas que lo reglamenten, modifi</w:t>
      </w:r>
      <w:r w:rsidRPr="009342F9">
        <w:rPr>
          <w:rFonts w:ascii="Arial" w:eastAsia="Times New Roman" w:hAnsi="Arial" w:cs="Arial"/>
          <w:color w:val="000000"/>
          <w:lang w:eastAsia="es-CO"/>
        </w:rPr>
        <w:softHyphen/>
        <w:t>quen, adicionen o sustituyan, so pena de incurrir en la conducta descrita en el artículo 311 del Código Penal </w:t>
      </w:r>
    </w:p>
    <w:p w14:paraId="06B95DB6" w14:textId="77777777" w:rsidR="00683694" w:rsidRPr="009342F9" w:rsidRDefault="00683694" w:rsidP="00683694">
      <w:pPr>
        <w:spacing w:after="0" w:line="240" w:lineRule="auto"/>
        <w:jc w:val="center"/>
        <w:rPr>
          <w:rFonts w:ascii="Arial" w:eastAsia="Times New Roman" w:hAnsi="Arial" w:cs="Arial"/>
          <w:b/>
          <w:bCs/>
          <w:color w:val="000000"/>
          <w:lang w:eastAsia="es-CO"/>
        </w:rPr>
      </w:pPr>
      <w:bookmarkStart w:id="587" w:name="ver_30071467"/>
      <w:bookmarkEnd w:id="586"/>
      <w:bookmarkEnd w:id="587"/>
    </w:p>
    <w:p w14:paraId="4D786ED8" w14:textId="33BA220F" w:rsidR="00FC79C1" w:rsidRPr="009342F9" w:rsidRDefault="00FC79C1" w:rsidP="00683694">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CAPÍTULO 5</w:t>
      </w:r>
    </w:p>
    <w:p w14:paraId="20413DF8" w14:textId="77777777" w:rsidR="00FC79C1" w:rsidRPr="009342F9" w:rsidRDefault="00FC79C1" w:rsidP="00683694">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CRÉDITO CON ALIANZAS ESTRATÉGICAS DEL FONDO NACIONAL DEL AHORRO</w:t>
      </w:r>
    </w:p>
    <w:p w14:paraId="01F32359"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588" w:name="ver_30071468"/>
      <w:bookmarkEnd w:id="588"/>
    </w:p>
    <w:p w14:paraId="679FAF0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2.1.1.5.1. Objeto. Dentro de los programas de crédito que desarrolle el Fondo Nacional de Ahorro se incluirá una modalidad a través de Alianzas Estratégicas, consistente en el desarrollo de convenios entre el Fondo Nacional de Ahorro y las Cajas de Compensación Familiar que cuenten con unidades de servicio técnico especializado de vivienda, con el fin de promover el acceso efectivo a la vivienda de interés social, en condiciones favorables para los afiliados del Fondo Nacional de Ahorro, e incentivar la utilización de los subsidios de vivienda. </w:t>
      </w:r>
    </w:p>
    <w:p w14:paraId="3F56EFF6" w14:textId="57AA231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589" w:name="ver_30071471"/>
      <w:bookmarkEnd w:id="589"/>
    </w:p>
    <w:p w14:paraId="05407AA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Artículo 2.1.1.5.2. Gerentes de los proyectos de vivienda. Las Cajas de Compensación Familiar que cuenten con unidades de servicio técnico especializado de vivienda actuarán, en el marco de los convenios antes mencionados, como gerentes de los proyectos de vivienda que se ofrezcan a los afiliados al Fondo Nacional de Ahorro, y entre sus funciones estarán las siguientes: </w:t>
      </w:r>
    </w:p>
    <w:p w14:paraId="15ACFFD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8DF283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 Seleccionar las empresas constructoras, con observancia de las normas de contratación administrativa. </w:t>
      </w:r>
    </w:p>
    <w:p w14:paraId="14172C7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8117A3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b) Designar al interventor del proyecto. </w:t>
      </w:r>
    </w:p>
    <w:p w14:paraId="318A778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818774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 Ofrecer los proyectos. </w:t>
      </w:r>
    </w:p>
    <w:p w14:paraId="4DA55EB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C30B1C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d) Administrar los recursos de los créditos otorgados por el Fondo Nacional de Ahorro y demás dineros aportados para el desarrollo del proyecto, para lo cual deberá constituirse un encargo fiduciario donde serán desembolsados, siguiendo la metodología que para el efecto adopte el Fondo Nacional de Ahorro mediante resolución. </w:t>
      </w:r>
    </w:p>
    <w:p w14:paraId="5427468F"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590" w:name="ver_30071477"/>
      <w:bookmarkEnd w:id="590"/>
      <w:r w:rsidRPr="009342F9">
        <w:rPr>
          <w:rFonts w:ascii="Arial" w:eastAsia="Times New Roman" w:hAnsi="Arial" w:cs="Arial"/>
          <w:color w:val="000000"/>
          <w:lang w:eastAsia="es-CO"/>
        </w:rPr>
        <w:t>Artículo 2.1.1.5.3. Requisitos de los proyectos de vivienda. Será responsabilidad exclusiva de las Cajas de Compensación Familiar que suscriban los convenios, la evaluación y aprobación económica, administrativa, financiera, jurídica y técnica de los proyectos de vivienda para desarrollo con programas de crédito del Fondo Nacional de Ahorro. Para tal fin deberán verificar la existencia, entre otros, de los siguientes requisitos y condiciones: </w:t>
      </w:r>
    </w:p>
    <w:p w14:paraId="01CAC68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B2DDB3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 Que existan las condiciones técnicas, jurídicas y financieras necesarias para que el proyecto se desarrolle. </w:t>
      </w:r>
    </w:p>
    <w:p w14:paraId="093FA81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A208CC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b) Que cuenten con las licencias de construcción y permisos necesarios para el desarrollo de las obras, y que los predios donde se vayan a desarrollar los </w:t>
      </w:r>
      <w:proofErr w:type="gramStart"/>
      <w:r w:rsidRPr="009342F9">
        <w:rPr>
          <w:rFonts w:ascii="Arial" w:eastAsia="Times New Roman" w:hAnsi="Arial" w:cs="Arial"/>
          <w:color w:val="000000"/>
          <w:lang w:eastAsia="es-CO"/>
        </w:rPr>
        <w:t>proyectos,</w:t>
      </w:r>
      <w:proofErr w:type="gramEnd"/>
      <w:r w:rsidRPr="009342F9">
        <w:rPr>
          <w:rFonts w:ascii="Arial" w:eastAsia="Times New Roman" w:hAnsi="Arial" w:cs="Arial"/>
          <w:color w:val="000000"/>
          <w:lang w:eastAsia="es-CO"/>
        </w:rPr>
        <w:t xml:space="preserve"> se encuentren libres de gravámenes y sean de propiedad de las respectivas Cajas de Compensación Familiar, los constructores privados, de las entidades territoriales o de las cooperativas y/o asociaciones que participen en el desarrollo del respectivo proyecto. </w:t>
      </w:r>
    </w:p>
    <w:p w14:paraId="7DC5123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C57DD9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 Que el constructor o promotor del proyecto acredite un mínimo de dos años de experiencia en construcción de vivienda y manifieste que no se le han hecho efectivas pólizas de cumplimiento en desarrollo de proyectos de vivienda, ni se encuentra inhabilitado para la celebración del contrato. </w:t>
      </w:r>
    </w:p>
    <w:p w14:paraId="21DC79A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234551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d) Que presente un beneficio para los afiliados al Fondo Nacional de Ahorro en cuanto a precio, características, ubicación, área y especificaciones de las viviendas. </w:t>
      </w:r>
    </w:p>
    <w:p w14:paraId="4CB1F1A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19095B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 Que se hayan constituido las pólizas tendientes a mitigar los riesgos inherentes al desarrollo de los proyectos. </w:t>
      </w:r>
    </w:p>
    <w:p w14:paraId="02CD807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0C5A13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f) Los demás que determine el Fondo Nacional de Ahorro mediante resolución. </w:t>
      </w:r>
    </w:p>
    <w:p w14:paraId="12CD9F6A" w14:textId="7F891932"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591" w:name="ver_30071616"/>
      <w:bookmarkEnd w:id="591"/>
    </w:p>
    <w:p w14:paraId="7569697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2.1.1.5.4. Publicación proyectos de vivienda. Las Cajas de Compensación Familiar que cuenten con unidades de servicio técnico especializado de vivienda y hayan suscrito los convenios de que trata el presente capítulo, darán a conocer a los afiliados al Fondo Nacional de Ahorro los proyectos de vivienda, para que quienes lo estimen conveniente, radiquen la solicitud de crédito en el Fondo Nacional de Ahorro, que estudiará la solicitud de conformidad con los parámetros establecidos en su Reglamento de Crédito y se encargará de autorizar o negar los créditos de conformidad con las normas vigentes. </w:t>
      </w:r>
    </w:p>
    <w:p w14:paraId="0208FAA9" w14:textId="77777777" w:rsidR="00D25E1B" w:rsidRDefault="00D25E1B" w:rsidP="00FC79C1">
      <w:pPr>
        <w:spacing w:after="0" w:line="240" w:lineRule="auto"/>
        <w:jc w:val="both"/>
        <w:rPr>
          <w:rFonts w:ascii="Arial" w:eastAsia="Times New Roman" w:hAnsi="Arial" w:cs="Arial"/>
          <w:color w:val="000000"/>
          <w:lang w:eastAsia="es-CO"/>
        </w:rPr>
      </w:pPr>
      <w:bookmarkStart w:id="592" w:name="ver_30071618"/>
      <w:bookmarkEnd w:id="592"/>
    </w:p>
    <w:p w14:paraId="2A694165" w14:textId="61F4A91F"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2.1.1.5.5. Convenios con entidades territoriales. Las entidades territoriales que pretendan participar en los proyectos de los que trata el presente capítulo, dirigidos a generar soluciones de vivienda de interés social prioritario, deberán suscribir convenios en desarrollo de las Alianzas Estratégicas aquí reglamentadas y destinar recursos para subsidios en dinero y/o especie cuyo monto no podrá ser inferior al diez por ciento (10%) del valor final de la vivienda. </w:t>
      </w:r>
    </w:p>
    <w:p w14:paraId="5895C8DD" w14:textId="6D9E76CA"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593" w:name="ver_30072090"/>
      <w:bookmarkEnd w:id="593"/>
    </w:p>
    <w:p w14:paraId="0547A6F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2.1.1.5.6. Reglamentación del desembolso de créditos. El Fondo Nacional de Ahorro reglamentará mediante resolución los mecanismos de promoción de los proyectos, el procedimiento y condiciones del desembolso de los créditos, así como los demás aspectos necesarios para hacer efectivo el cumplimiento del presente capítulo. </w:t>
      </w:r>
    </w:p>
    <w:p w14:paraId="28DC518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E8C9376" w14:textId="53D09C3A" w:rsidR="00683694" w:rsidRPr="009342F9" w:rsidRDefault="00683694" w:rsidP="00D25E1B">
      <w:pPr>
        <w:spacing w:after="0" w:line="240" w:lineRule="auto"/>
        <w:jc w:val="both"/>
        <w:rPr>
          <w:rFonts w:ascii="Arial" w:eastAsia="Times New Roman" w:hAnsi="Arial" w:cs="Arial"/>
          <w:b/>
          <w:bCs/>
          <w:color w:val="000000"/>
          <w:lang w:eastAsia="es-CO"/>
        </w:rPr>
      </w:pPr>
      <w:bookmarkStart w:id="594" w:name="ver_30180368"/>
      <w:bookmarkEnd w:id="594"/>
    </w:p>
    <w:p w14:paraId="0C2CDEAE" w14:textId="104CD4CE" w:rsidR="00FC79C1" w:rsidRPr="009342F9" w:rsidRDefault="00FC79C1" w:rsidP="00683694">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CAPÍTULO 6</w:t>
      </w:r>
    </w:p>
    <w:p w14:paraId="30677767" w14:textId="77777777" w:rsidR="00FC79C1" w:rsidRPr="009342F9" w:rsidRDefault="00FC79C1" w:rsidP="00683694">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SUBSIDIO FAMILIAR DE VIVIENDA APLICABLE A CONTRATOS DE ARRENDAMIENTO Y ARRENDAMIENTO CON OPCIÓN DE COMPRA</w:t>
      </w:r>
    </w:p>
    <w:p w14:paraId="4B268352" w14:textId="77777777" w:rsidR="00E35FDD" w:rsidRDefault="00E35FDD" w:rsidP="00683694">
      <w:pPr>
        <w:spacing w:after="0" w:line="240" w:lineRule="auto"/>
        <w:jc w:val="center"/>
        <w:rPr>
          <w:rFonts w:ascii="Arial" w:eastAsia="Times New Roman" w:hAnsi="Arial" w:cs="Arial"/>
          <w:b/>
          <w:bCs/>
          <w:color w:val="000000"/>
          <w:lang w:eastAsia="es-CO"/>
        </w:rPr>
      </w:pPr>
    </w:p>
    <w:p w14:paraId="0C5C7B1F" w14:textId="535A52C7" w:rsidR="00FC79C1" w:rsidRPr="009342F9" w:rsidRDefault="00FC79C1" w:rsidP="00683694">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SECCIÓN 1</w:t>
      </w:r>
    </w:p>
    <w:p w14:paraId="52EBF96D" w14:textId="77777777" w:rsidR="00FC79C1" w:rsidRPr="009342F9" w:rsidRDefault="00FC79C1" w:rsidP="00683694">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GENERALIDADES</w:t>
      </w:r>
    </w:p>
    <w:p w14:paraId="41CCA809" w14:textId="77777777" w:rsidR="00FC79C1" w:rsidRPr="009342F9" w:rsidRDefault="00FC79C1" w:rsidP="00683694">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(Adicionado por artículo 1 Decreto 2413 de 2018)</w:t>
      </w:r>
    </w:p>
    <w:p w14:paraId="63572826"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595" w:name="ver_30180369"/>
      <w:bookmarkEnd w:id="595"/>
    </w:p>
    <w:p w14:paraId="21AC339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2.1.1.6.1.1. Aplicación: El presente capítulo aplica a las operaciones de arrendamiento y arrendamiento con opción de compra y su vinculación con el subsidio familiar de vivienda en el marco del programa de promoción y acceso a vivienda de interés social y prioritario “Semillero de Propietarios” </w:t>
      </w:r>
    </w:p>
    <w:p w14:paraId="57DEFC33"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596" w:name="ver_30180370"/>
      <w:bookmarkEnd w:id="596"/>
    </w:p>
    <w:p w14:paraId="207E1E9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2.1.1.6.1.2. Definiciones: Para efectos del programa reglamentado en el presente capítulo, se tendrán en cuenta las siguientes definiciones:  </w:t>
      </w:r>
    </w:p>
    <w:p w14:paraId="446BE9D7" w14:textId="77777777" w:rsidR="00683694" w:rsidRPr="009342F9" w:rsidRDefault="00683694" w:rsidP="00FC79C1">
      <w:pPr>
        <w:spacing w:after="0" w:line="240" w:lineRule="auto"/>
        <w:jc w:val="both"/>
        <w:rPr>
          <w:rFonts w:ascii="Arial" w:eastAsia="Times New Roman" w:hAnsi="Arial" w:cs="Arial"/>
          <w:color w:val="000000"/>
          <w:lang w:eastAsia="es-CO"/>
        </w:rPr>
      </w:pPr>
    </w:p>
    <w:p w14:paraId="2168A6E8" w14:textId="220211A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Agentes  </w:t>
      </w:r>
    </w:p>
    <w:p w14:paraId="67B53DFD" w14:textId="77777777" w:rsidR="00683694" w:rsidRPr="009342F9" w:rsidRDefault="00683694" w:rsidP="00FC79C1">
      <w:pPr>
        <w:spacing w:after="0" w:line="240" w:lineRule="auto"/>
        <w:jc w:val="both"/>
        <w:rPr>
          <w:rFonts w:ascii="Arial" w:eastAsia="Times New Roman" w:hAnsi="Arial" w:cs="Arial"/>
          <w:color w:val="000000"/>
          <w:lang w:eastAsia="es-CO"/>
        </w:rPr>
      </w:pPr>
    </w:p>
    <w:p w14:paraId="46D7C528" w14:textId="7AF6C374"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1.1. Hogar Beneficiario. Es aquel conformado por una o más personas que integren el mismo núcleo familiar, incluidos los cónyuges y las uniones maritales de hecho incluidas las conformadas por parejas del mismo sexo, y/o el grupo de personas unidas por vínculos de parentesco hasta el segundo grado de consanguinidad, primero de afinidad y único civil y </w:t>
      </w:r>
      <w:proofErr w:type="gramStart"/>
      <w:r w:rsidRPr="009342F9">
        <w:rPr>
          <w:rFonts w:ascii="Arial" w:eastAsia="Times New Roman" w:hAnsi="Arial" w:cs="Arial"/>
          <w:color w:val="000000"/>
          <w:lang w:eastAsia="es-CO"/>
        </w:rPr>
        <w:t>que</w:t>
      </w:r>
      <w:proofErr w:type="gramEnd"/>
      <w:r w:rsidRPr="009342F9">
        <w:rPr>
          <w:rFonts w:ascii="Arial" w:eastAsia="Times New Roman" w:hAnsi="Arial" w:cs="Arial"/>
          <w:color w:val="000000"/>
          <w:lang w:eastAsia="es-CO"/>
        </w:rPr>
        <w:t xml:space="preserve"> al cumplir con los requisitos de acceso, puede ser beneficiario del subsidio familiar de vivienda de que trata el presente capítulo.  </w:t>
      </w:r>
    </w:p>
    <w:p w14:paraId="442D100F" w14:textId="77777777" w:rsidR="00683694" w:rsidRPr="009342F9" w:rsidRDefault="00683694" w:rsidP="00FC79C1">
      <w:pPr>
        <w:spacing w:after="0" w:line="240" w:lineRule="auto"/>
        <w:jc w:val="both"/>
        <w:rPr>
          <w:rFonts w:ascii="Arial" w:eastAsia="Times New Roman" w:hAnsi="Arial" w:cs="Arial"/>
          <w:color w:val="000000"/>
          <w:lang w:eastAsia="es-CO"/>
        </w:rPr>
      </w:pPr>
    </w:p>
    <w:p w14:paraId="5EB3762E" w14:textId="2F17EEB3"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1.2. Gestor Inmobiliario. Son aquellas personas jurídicas o patrimonios autónomos encargados de la suscripción de los contratos de arrendamiento y de arrendamiento con opción de compra en calidad de arrendador, así como de efectuar la administración de las unidades de vivienda, sean propietarios o no de las mismas. Su gestión </w:t>
      </w:r>
      <w:proofErr w:type="gramStart"/>
      <w:r w:rsidRPr="009342F9">
        <w:rPr>
          <w:rFonts w:ascii="Arial" w:eastAsia="Times New Roman" w:hAnsi="Arial" w:cs="Arial"/>
          <w:color w:val="000000"/>
          <w:lang w:eastAsia="es-CO"/>
        </w:rPr>
        <w:t>se enmarcará dentro de</w:t>
      </w:r>
      <w:proofErr w:type="gramEnd"/>
      <w:r w:rsidRPr="009342F9">
        <w:rPr>
          <w:rFonts w:ascii="Arial" w:eastAsia="Times New Roman" w:hAnsi="Arial" w:cs="Arial"/>
          <w:color w:val="000000"/>
          <w:lang w:eastAsia="es-CO"/>
        </w:rPr>
        <w:t xml:space="preserve"> lo resuelto en el presente capítulo para efectos del programa “Semillero de Propietarios”, y le serán aplicables en su integralidad las disposiciones de la Ley 820 de 2003 y demás normas que regulen la actuación del arrendador de vivienda urbana.  </w:t>
      </w:r>
    </w:p>
    <w:p w14:paraId="6A9B009F" w14:textId="77777777" w:rsidR="00683694" w:rsidRPr="009342F9" w:rsidRDefault="00683694" w:rsidP="00FC79C1">
      <w:pPr>
        <w:spacing w:after="0" w:line="240" w:lineRule="auto"/>
        <w:jc w:val="both"/>
        <w:rPr>
          <w:rFonts w:ascii="Arial" w:eastAsia="Times New Roman" w:hAnsi="Arial" w:cs="Arial"/>
          <w:color w:val="000000"/>
          <w:lang w:eastAsia="es-CO"/>
        </w:rPr>
      </w:pPr>
    </w:p>
    <w:p w14:paraId="25C9BD12" w14:textId="0FCDF0C9"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1.3. Sociedad Fiduciaria. Entendida como aquella </w:t>
      </w:r>
      <w:proofErr w:type="gramStart"/>
      <w:r w:rsidRPr="009342F9">
        <w:rPr>
          <w:rFonts w:ascii="Arial" w:eastAsia="Times New Roman" w:hAnsi="Arial" w:cs="Arial"/>
          <w:color w:val="000000"/>
          <w:lang w:eastAsia="es-CO"/>
        </w:rPr>
        <w:t>que</w:t>
      </w:r>
      <w:proofErr w:type="gramEnd"/>
      <w:r w:rsidRPr="009342F9">
        <w:rPr>
          <w:rFonts w:ascii="Arial" w:eastAsia="Times New Roman" w:hAnsi="Arial" w:cs="Arial"/>
          <w:color w:val="000000"/>
          <w:lang w:eastAsia="es-CO"/>
        </w:rPr>
        <w:t xml:space="preserve"> en virtud de un contrato de fiducia mercantil, administra en calidad de vocera, el Patrimonio Autónomo que se constituya con los recursos que transfiera Fonvivienda y los demás que reciba de terceros para la ejecución del programa. En virtud de lo anterior, esta entidad podrá suscribir contratos a nombre del patrimonio autónomo y efectuar los desembolsos de recursos necesarios para la ejecución del programa.  </w:t>
      </w:r>
    </w:p>
    <w:p w14:paraId="0D41EE53" w14:textId="77777777" w:rsidR="00683694" w:rsidRPr="009342F9" w:rsidRDefault="00683694" w:rsidP="00FC79C1">
      <w:pPr>
        <w:spacing w:after="0" w:line="240" w:lineRule="auto"/>
        <w:jc w:val="both"/>
        <w:rPr>
          <w:rFonts w:ascii="Arial" w:eastAsia="Times New Roman" w:hAnsi="Arial" w:cs="Arial"/>
          <w:color w:val="000000"/>
          <w:lang w:eastAsia="es-CO"/>
        </w:rPr>
      </w:pPr>
    </w:p>
    <w:p w14:paraId="476726C4" w14:textId="5773B70A"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Recursos  </w:t>
      </w:r>
    </w:p>
    <w:p w14:paraId="588D6928" w14:textId="77777777" w:rsidR="00683694" w:rsidRPr="009342F9" w:rsidRDefault="00683694" w:rsidP="00FC79C1">
      <w:pPr>
        <w:spacing w:after="0" w:line="240" w:lineRule="auto"/>
        <w:jc w:val="both"/>
        <w:rPr>
          <w:rFonts w:ascii="Arial" w:eastAsia="Times New Roman" w:hAnsi="Arial" w:cs="Arial"/>
          <w:color w:val="000000"/>
          <w:lang w:eastAsia="es-CO"/>
        </w:rPr>
      </w:pPr>
    </w:p>
    <w:p w14:paraId="5B471521" w14:textId="05064932" w:rsidR="00FC79C1"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2.1. Subsidio Familiar de Vivienda aplicable al canon mensual en contratos de arrendamiento y arrendamiento con opción de compra. Es un aporte estatal en dinero, que se otorga por una sola vez al beneficiario y se entrega de forma periódica o anticipada, sin cargo de restitución, destinado a cubrir un porcentaje del canon mensual de arrendamiento, que le permita acceder en calidad de arrendatario a una solución de vivienda de interés social o prioritario nueva o usada.  </w:t>
      </w:r>
    </w:p>
    <w:p w14:paraId="5D32BAC2" w14:textId="77777777" w:rsidR="00D25E1B" w:rsidRPr="009342F9" w:rsidRDefault="00D25E1B" w:rsidP="00FC79C1">
      <w:pPr>
        <w:spacing w:after="0" w:line="240" w:lineRule="auto"/>
        <w:jc w:val="both"/>
        <w:rPr>
          <w:rFonts w:ascii="Arial" w:eastAsia="Times New Roman" w:hAnsi="Arial" w:cs="Arial"/>
          <w:color w:val="000000"/>
          <w:lang w:eastAsia="es-CO"/>
        </w:rPr>
      </w:pPr>
    </w:p>
    <w:p w14:paraId="51026A5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2.2. Porcentaje del canon a cargo del hogar. Corresponde al porcentaje del canon mensual de arrendamiento que no se encuentra cubierto por el subsidio familiar de vivienda y que debe ser sufragado por el hogar.  </w:t>
      </w:r>
    </w:p>
    <w:p w14:paraId="01F1B2CA" w14:textId="77777777" w:rsidR="00683694" w:rsidRPr="009342F9" w:rsidRDefault="00683694" w:rsidP="00FC79C1">
      <w:pPr>
        <w:spacing w:after="0" w:line="240" w:lineRule="auto"/>
        <w:jc w:val="both"/>
        <w:rPr>
          <w:rFonts w:ascii="Arial" w:eastAsia="Times New Roman" w:hAnsi="Arial" w:cs="Arial"/>
          <w:color w:val="000000"/>
          <w:lang w:eastAsia="es-CO"/>
        </w:rPr>
      </w:pPr>
    </w:p>
    <w:p w14:paraId="64B6F6F4" w14:textId="4407FFEB"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2.3. Aporte del hogar. Es un monto mínimo adicional de 0.25 salarios mínimos legales mensuales vigentes de propiedad del hogar, que este debe aportar mensualmente durante la etapa de arrendamiento subsidiado, al producto financiero que se defina para tal efecto, el cual puede estar destinado a facilitar el ejercicio de la opción de compra. Durante la etapa de arrendamiento estos recursos solo podrán usarse como instrumento para hacer efectivas las garantías que los hogares beneficiarios constituyan para respaldar el cumplimiento de sus obligaciones con el garante del contrato de arrendamiento o de arrendamiento con opción de compra.  </w:t>
      </w:r>
    </w:p>
    <w:p w14:paraId="21B70D5B" w14:textId="77777777" w:rsidR="00683694" w:rsidRPr="009342F9" w:rsidRDefault="00683694" w:rsidP="00FC79C1">
      <w:pPr>
        <w:spacing w:after="0" w:line="240" w:lineRule="auto"/>
        <w:jc w:val="both"/>
        <w:rPr>
          <w:rFonts w:ascii="Arial" w:eastAsia="Times New Roman" w:hAnsi="Arial" w:cs="Arial"/>
          <w:color w:val="000000"/>
          <w:lang w:eastAsia="es-CO"/>
        </w:rPr>
      </w:pPr>
    </w:p>
    <w:p w14:paraId="5A2CDCEF" w14:textId="3064AFBF"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Instrumentos contractuales  </w:t>
      </w:r>
    </w:p>
    <w:p w14:paraId="2D6CA512" w14:textId="77777777" w:rsidR="00683694" w:rsidRPr="009342F9" w:rsidRDefault="00683694" w:rsidP="00FC79C1">
      <w:pPr>
        <w:spacing w:after="0" w:line="240" w:lineRule="auto"/>
        <w:jc w:val="both"/>
        <w:rPr>
          <w:rFonts w:ascii="Arial" w:eastAsia="Times New Roman" w:hAnsi="Arial" w:cs="Arial"/>
          <w:color w:val="000000"/>
          <w:lang w:eastAsia="es-CO"/>
        </w:rPr>
      </w:pPr>
    </w:p>
    <w:p w14:paraId="0624A50E" w14:textId="068813CF"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3.1. Contrato de arrendamiento. Aquel por el cual dos partes se obligan recíprocamente, la una a conceder el goce de un inmueble urbano destinado a vivienda, y la otra a pagar en contraprestación, un precio determinado, de acuerdo con las disposiciones establecidas en la Ley 820 de 2003.  </w:t>
      </w:r>
    </w:p>
    <w:p w14:paraId="38E16CD6" w14:textId="77777777" w:rsidR="00683694" w:rsidRPr="009342F9" w:rsidRDefault="00683694" w:rsidP="00FC79C1">
      <w:pPr>
        <w:spacing w:after="0" w:line="240" w:lineRule="auto"/>
        <w:jc w:val="both"/>
        <w:rPr>
          <w:rFonts w:ascii="Arial" w:eastAsia="Times New Roman" w:hAnsi="Arial" w:cs="Arial"/>
          <w:color w:val="000000"/>
          <w:lang w:eastAsia="es-CO"/>
        </w:rPr>
      </w:pPr>
    </w:p>
    <w:p w14:paraId="46DCB099" w14:textId="3C057835"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3.2. Contrato de arrendamiento con opción de compra. Aquel por el cual dos partes se obligan recíprocamente, la una a conceder el goce de un inmueble urbano destinado a vivienda, y la otra a pagar por este goce un precio determinado, durante un plazo convenido, a cuyo vencimiento el bien se restituye al arrendador o se transfiere al arrendatario, si este último decide ejercer la opción de compra pactada a su favor y al cual le serán aplicables en la etapa de alquiler las disposiciones de la Ley 820 de 2003.  </w:t>
      </w:r>
    </w:p>
    <w:p w14:paraId="4B9DD881" w14:textId="77777777" w:rsidR="00683694" w:rsidRPr="009342F9" w:rsidRDefault="00683694" w:rsidP="00FC79C1">
      <w:pPr>
        <w:spacing w:after="0" w:line="240" w:lineRule="auto"/>
        <w:jc w:val="both"/>
        <w:rPr>
          <w:rFonts w:ascii="Arial" w:eastAsia="Times New Roman" w:hAnsi="Arial" w:cs="Arial"/>
          <w:color w:val="000000"/>
          <w:lang w:eastAsia="es-CO"/>
        </w:rPr>
      </w:pPr>
    </w:p>
    <w:p w14:paraId="1B6FC55C" w14:textId="3B191094"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3.3. Garantías a cargo del hogar. Son aquellas que suscriban los hogares beneficiarios del subsidio familiar de vivienda de que trata el presente capítulo para respaldar el cumplimiento de sus obligaciones con el garante principal del contrato de arrendamiento o de arrendamiento con opción de compra, y que estarán respaldadas con los recursos de los aportes del hogar a los que se refiere el numeral 2.3 del presente artículo.  </w:t>
      </w:r>
    </w:p>
    <w:p w14:paraId="4BE23B43" w14:textId="77777777" w:rsidR="00683694" w:rsidRPr="009342F9" w:rsidRDefault="00683694" w:rsidP="00FC79C1">
      <w:pPr>
        <w:spacing w:after="0" w:line="240" w:lineRule="auto"/>
        <w:jc w:val="both"/>
        <w:rPr>
          <w:rFonts w:ascii="Arial" w:eastAsia="Times New Roman" w:hAnsi="Arial" w:cs="Arial"/>
          <w:color w:val="000000"/>
          <w:lang w:eastAsia="es-CO"/>
        </w:rPr>
      </w:pPr>
    </w:p>
    <w:p w14:paraId="29F323DA" w14:textId="0187A56F"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3.4. Instrumento Financiero de recaudo de aportes del hogar. Es el producto ofrecido por una entidad vigilada por la Superintendencia Financiera de Colombia, al cual se girarán los aportes de que trata el numeral 2.3 del presente artículo y que debe garantizar como mínimo, la posibilidad de utilizar los recursos allí depositados como respaldo al cumplimiento de las obligaciones del hogar con el garante del contrato de arrendamiento o de arrendamiento con opción de compra. A través de este instrumento también podrá efectuarse el recaudo del porcentaje del canon a cargo del hogar de que trata el numeral 2.2 de este artículo.  </w:t>
      </w:r>
    </w:p>
    <w:p w14:paraId="4A1E766C" w14:textId="41084C10"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0367055" w14:textId="77777777" w:rsidR="00FC79C1" w:rsidRPr="009342F9" w:rsidRDefault="00FC79C1" w:rsidP="00683694">
      <w:pPr>
        <w:spacing w:after="0" w:line="240" w:lineRule="auto"/>
        <w:jc w:val="center"/>
        <w:rPr>
          <w:rFonts w:ascii="Arial" w:eastAsia="Times New Roman" w:hAnsi="Arial" w:cs="Arial"/>
          <w:b/>
          <w:bCs/>
          <w:color w:val="000000"/>
          <w:lang w:eastAsia="es-CO"/>
        </w:rPr>
      </w:pPr>
      <w:bookmarkStart w:id="597" w:name="ver_30180371"/>
      <w:bookmarkEnd w:id="597"/>
      <w:r w:rsidRPr="009342F9">
        <w:rPr>
          <w:rFonts w:ascii="Arial" w:eastAsia="Times New Roman" w:hAnsi="Arial" w:cs="Arial"/>
          <w:b/>
          <w:bCs/>
          <w:color w:val="000000"/>
          <w:lang w:eastAsia="es-CO"/>
        </w:rPr>
        <w:t>SECCIÓN 2</w:t>
      </w:r>
    </w:p>
    <w:p w14:paraId="4380224E" w14:textId="77777777" w:rsidR="00FC79C1" w:rsidRPr="009342F9" w:rsidRDefault="00FC79C1" w:rsidP="00683694">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BENEFICIOS PARA LOS HOGARES OBJETO DEL PROGRAMA</w:t>
      </w:r>
    </w:p>
    <w:p w14:paraId="0B5CF2DF"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598" w:name="ver_30180372"/>
      <w:bookmarkEnd w:id="598"/>
    </w:p>
    <w:p w14:paraId="07DE01D3" w14:textId="356C27F5" w:rsidR="00FC79C1"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2.1.1.6.2.1. Valor del subsidio familiar de vivienda. El valor del subsidio familiar de vivienda destinado a cubrir un porcentaje del canon de arrendamiento </w:t>
      </w:r>
      <w:proofErr w:type="gramStart"/>
      <w:r w:rsidRPr="009342F9">
        <w:rPr>
          <w:rFonts w:ascii="Arial" w:eastAsia="Times New Roman" w:hAnsi="Arial" w:cs="Arial"/>
          <w:color w:val="000000"/>
          <w:lang w:eastAsia="es-CO"/>
        </w:rPr>
        <w:t>mensual,</w:t>
      </w:r>
      <w:proofErr w:type="gramEnd"/>
      <w:r w:rsidRPr="009342F9">
        <w:rPr>
          <w:rFonts w:ascii="Arial" w:eastAsia="Times New Roman" w:hAnsi="Arial" w:cs="Arial"/>
          <w:color w:val="000000"/>
          <w:lang w:eastAsia="es-CO"/>
        </w:rPr>
        <w:t xml:space="preserve"> será de hasta 0.6 salarios mínimos legales mensuales vigentes al momento de asignación del subsidio para cada canon de arrendamiento, hasta por veinticuatro (24) meses. El valor será determinado por el Ministerio de Vivienda, Ciudad y Territorio, de conformidad con el canon pactado en el contrato de arrendamiento o de arrendamiento con opción de compra.  </w:t>
      </w:r>
    </w:p>
    <w:p w14:paraId="1145ABE3" w14:textId="77777777" w:rsidR="00D25E1B" w:rsidRPr="009342F9" w:rsidRDefault="00D25E1B" w:rsidP="00FC79C1">
      <w:pPr>
        <w:spacing w:after="0" w:line="240" w:lineRule="auto"/>
        <w:jc w:val="both"/>
        <w:rPr>
          <w:rFonts w:ascii="Arial" w:eastAsia="Times New Roman" w:hAnsi="Arial" w:cs="Arial"/>
          <w:color w:val="000000"/>
          <w:lang w:eastAsia="es-CO"/>
        </w:rPr>
      </w:pPr>
    </w:p>
    <w:p w14:paraId="6AF8A097" w14:textId="765AD521"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El valor del subsidio podrá ser ajustado por una sola vez dentro de los veinticuatro (24) meses antes señalados en los términos del artículo 20 de la Ley 820 de 2003 y de acuerdo con lo pactado en el respectivo contrato de arrendamiento o de arrendamiento con opción de compra.  </w:t>
      </w:r>
    </w:p>
    <w:p w14:paraId="15AF5298" w14:textId="77777777" w:rsidR="00683694" w:rsidRPr="009342F9" w:rsidRDefault="00683694" w:rsidP="00FC79C1">
      <w:pPr>
        <w:spacing w:after="0" w:line="240" w:lineRule="auto"/>
        <w:jc w:val="both"/>
        <w:rPr>
          <w:rFonts w:ascii="Arial" w:eastAsia="Times New Roman" w:hAnsi="Arial" w:cs="Arial"/>
          <w:color w:val="000000"/>
          <w:lang w:eastAsia="es-CO"/>
        </w:rPr>
      </w:pPr>
    </w:p>
    <w:p w14:paraId="5F35AFB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El valor del subsidio en ningún caso podrá sobrepasar el valor del canon pactado en el contrato de arrendamiento o de arrendamiento con opción de compra.  </w:t>
      </w:r>
    </w:p>
    <w:p w14:paraId="12219EB6"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599" w:name="ver_30180373"/>
      <w:bookmarkEnd w:id="599"/>
    </w:p>
    <w:p w14:paraId="2ED2548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2.1.1.6.2.2 Garantía de Contratos de Arrendamiento y de Arrendamiento con Opción de Compra. Los contratos de arrendamiento o de arrendamiento con opción de compra que suscriban los hogares que resulten beneficiarios del programa, deberán ser objeto de una garantía que cubra el posible incumplimiento de </w:t>
      </w:r>
      <w:proofErr w:type="gramStart"/>
      <w:r w:rsidRPr="009342F9">
        <w:rPr>
          <w:rFonts w:ascii="Arial" w:eastAsia="Times New Roman" w:hAnsi="Arial" w:cs="Arial"/>
          <w:color w:val="000000"/>
          <w:lang w:eastAsia="es-CO"/>
        </w:rPr>
        <w:t>los mismos</w:t>
      </w:r>
      <w:proofErr w:type="gramEnd"/>
      <w:r w:rsidRPr="009342F9">
        <w:rPr>
          <w:rFonts w:ascii="Arial" w:eastAsia="Times New Roman" w:hAnsi="Arial" w:cs="Arial"/>
          <w:color w:val="000000"/>
          <w:lang w:eastAsia="es-CO"/>
        </w:rPr>
        <w:t>, incluyendo lo relacionado con la restitución final del inmueble. Fonvivienda podrá pagar el costo de adquisición de la garantía ya sea directamente o a través del patrimonio autónomo que se constituya para la administración de los recursos del programa. </w:t>
      </w:r>
    </w:p>
    <w:p w14:paraId="61469C17" w14:textId="77777777" w:rsidR="00683694" w:rsidRPr="009342F9" w:rsidRDefault="00683694" w:rsidP="00FC79C1">
      <w:pPr>
        <w:spacing w:after="0" w:line="240" w:lineRule="auto"/>
        <w:jc w:val="both"/>
        <w:rPr>
          <w:rFonts w:ascii="Arial" w:eastAsia="Times New Roman" w:hAnsi="Arial" w:cs="Arial"/>
          <w:color w:val="000000"/>
          <w:lang w:eastAsia="es-CO"/>
        </w:rPr>
      </w:pPr>
    </w:p>
    <w:p w14:paraId="288DFF2F" w14:textId="02005196"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2.1.1.6.2.3 Concurrencia de Subsidios. Los hogares beneficiarios del subsidio de que trata el presente </w:t>
      </w:r>
      <w:proofErr w:type="gramStart"/>
      <w:r w:rsidRPr="009342F9">
        <w:rPr>
          <w:rFonts w:ascii="Arial" w:eastAsia="Times New Roman" w:hAnsi="Arial" w:cs="Arial"/>
          <w:color w:val="000000"/>
          <w:lang w:eastAsia="es-CO"/>
        </w:rPr>
        <w:t>capítulo,</w:t>
      </w:r>
      <w:proofErr w:type="gramEnd"/>
      <w:r w:rsidRPr="009342F9">
        <w:rPr>
          <w:rFonts w:ascii="Arial" w:eastAsia="Times New Roman" w:hAnsi="Arial" w:cs="Arial"/>
          <w:color w:val="000000"/>
          <w:lang w:eastAsia="es-CO"/>
        </w:rPr>
        <w:t xml:space="preserve"> podrán aplicarlo de manera complementaria y concurrente con otros subsidios otorgados por entidades partícipes del Sistema Nacional de Vivienda de Interés Social, destinados a facilitar la tenencia de vivienda en arrendamiento con o sin opción de compra. </w:t>
      </w:r>
    </w:p>
    <w:p w14:paraId="730B20E1" w14:textId="77777777" w:rsidR="00683694" w:rsidRPr="009342F9" w:rsidRDefault="00683694" w:rsidP="00FC79C1">
      <w:pPr>
        <w:spacing w:after="0" w:line="240" w:lineRule="auto"/>
        <w:jc w:val="both"/>
        <w:rPr>
          <w:rFonts w:ascii="Arial" w:eastAsia="Times New Roman" w:hAnsi="Arial" w:cs="Arial"/>
          <w:color w:val="000000"/>
          <w:lang w:eastAsia="es-CO"/>
        </w:rPr>
      </w:pPr>
      <w:bookmarkStart w:id="600" w:name="ver_30180375"/>
      <w:bookmarkEnd w:id="600"/>
    </w:p>
    <w:p w14:paraId="5BA1F441" w14:textId="72384064" w:rsidR="00FC79C1" w:rsidRPr="00E35FDD" w:rsidRDefault="00FC79C1" w:rsidP="00683694">
      <w:pPr>
        <w:spacing w:after="0" w:line="240" w:lineRule="auto"/>
        <w:jc w:val="center"/>
        <w:rPr>
          <w:rFonts w:ascii="Arial" w:eastAsia="Times New Roman" w:hAnsi="Arial" w:cs="Arial"/>
          <w:b/>
          <w:bCs/>
          <w:color w:val="000000"/>
          <w:lang w:eastAsia="es-CO"/>
        </w:rPr>
      </w:pPr>
      <w:r w:rsidRPr="00E35FDD">
        <w:rPr>
          <w:rFonts w:ascii="Arial" w:eastAsia="Times New Roman" w:hAnsi="Arial" w:cs="Arial"/>
          <w:b/>
          <w:bCs/>
          <w:color w:val="000000"/>
          <w:lang w:eastAsia="es-CO"/>
        </w:rPr>
        <w:t>SECCIÓN 3</w:t>
      </w:r>
    </w:p>
    <w:p w14:paraId="6F2448F0" w14:textId="77777777" w:rsidR="00FC79C1" w:rsidRPr="009342F9" w:rsidRDefault="00FC79C1" w:rsidP="00683694">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CONDICIONES DE ACCESO AL SUBSIDIO FAMILIAR DE VIVIENDA</w:t>
      </w:r>
    </w:p>
    <w:p w14:paraId="023A536D"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601" w:name="ver_30180376"/>
      <w:bookmarkEnd w:id="601"/>
    </w:p>
    <w:p w14:paraId="129F291C" w14:textId="0CF94EF4"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2.1.1.6.3.1 Distribución de Subsidios. El Ministerio de Vivienda, Ciudad y Territorio definirá mediante acto administrativo motivado, los Departamentos, Municipios y/o Regiones en donde se podrán aplicar los subsidios del programa a que se refiere este capítulo, para lo cual deberá tener en cuenta como mínimo, criterios de disponibilidad de oferta de vivienda de interés social y vivienda de interés prioritario.  </w:t>
      </w:r>
    </w:p>
    <w:p w14:paraId="535699D1" w14:textId="77777777" w:rsidR="00683694" w:rsidRPr="009342F9" w:rsidRDefault="00683694" w:rsidP="00FC79C1">
      <w:pPr>
        <w:spacing w:after="0" w:line="240" w:lineRule="auto"/>
        <w:jc w:val="both"/>
        <w:rPr>
          <w:rFonts w:ascii="Arial" w:eastAsia="Times New Roman" w:hAnsi="Arial" w:cs="Arial"/>
          <w:color w:val="000000"/>
          <w:lang w:eastAsia="es-CO"/>
        </w:rPr>
      </w:pPr>
    </w:p>
    <w:p w14:paraId="7EF8C69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dicha regulación también se establecerá hasta un 20% como porcentaje mínimo de destinación de subsidios con aplicación de criterios de enfoque diferencial dentro de los que deberán estar incluidos como mínimo: la población víctima de desplazamiento forzado, las mujeres cabeza de familia de los estratos más pobres de la población, las trabajadoras del sector informal, las madres comunitarias, las personas de la tercera edad, los miembros de comunidades étnicas, la población en situación de discapacidad, los miembros de la fuerza pública y los familiares beneficiarios de estos que hubieren fallecido en actos del servicio, y personal que haya tenido disminución en capacidad psicofísica o incapacidad absoluta permanente por gran invalidez. </w:t>
      </w:r>
    </w:p>
    <w:p w14:paraId="0A87D233"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602" w:name="ver_30180377"/>
      <w:bookmarkEnd w:id="602"/>
    </w:p>
    <w:p w14:paraId="1797B470" w14:textId="3C57C31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2.1.1.6.3.2 Beneficiarios del Programa Semillero de Propietarios. Podrán ser beneficiarios del subsidio familiar de vivienda aplicable al canon mensual en contratos de arrendamiento y arrendamiento con opción de compra, los hogares que cumplan las siguientes condiciones:  </w:t>
      </w:r>
    </w:p>
    <w:p w14:paraId="0DE40CDF" w14:textId="77777777" w:rsidR="00683694" w:rsidRPr="009342F9" w:rsidRDefault="00683694" w:rsidP="00FC79C1">
      <w:pPr>
        <w:spacing w:after="0" w:line="240" w:lineRule="auto"/>
        <w:jc w:val="both"/>
        <w:rPr>
          <w:rFonts w:ascii="Arial" w:eastAsia="Times New Roman" w:hAnsi="Arial" w:cs="Arial"/>
          <w:color w:val="000000"/>
          <w:lang w:eastAsia="es-CO"/>
        </w:rPr>
      </w:pPr>
    </w:p>
    <w:p w14:paraId="31F1F23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 Acreditar ingresos mensuales hasta por el equivalente a dos (2) salarios mínimos legales mensuales vigentes.  </w:t>
      </w:r>
    </w:p>
    <w:p w14:paraId="29E63DC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b) Para la población no perteneciente al sistema formal de trabajo, contar al momento de la postulación, con un puntaje del Sisbén igual o inferior al que determine el Ministerio de Vivienda, Ciudad y Territorio mediante Acto Administrativo, o en su defecto, estar incluidos en las herramientas de focalización establecidas por entidades del orden nacional.  </w:t>
      </w:r>
    </w:p>
    <w:p w14:paraId="00DC3F81" w14:textId="00CE6D61"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 No ser propietarios de una vivienda en el territorio nacional.  </w:t>
      </w:r>
    </w:p>
    <w:p w14:paraId="0A46D5B8" w14:textId="77777777" w:rsidR="00683694" w:rsidRPr="009342F9" w:rsidRDefault="00683694" w:rsidP="00FC79C1">
      <w:pPr>
        <w:spacing w:after="0" w:line="240" w:lineRule="auto"/>
        <w:jc w:val="both"/>
        <w:rPr>
          <w:rFonts w:ascii="Arial" w:eastAsia="Times New Roman" w:hAnsi="Arial" w:cs="Arial"/>
          <w:color w:val="000000"/>
          <w:lang w:eastAsia="es-CO"/>
        </w:rPr>
      </w:pPr>
    </w:p>
    <w:p w14:paraId="1C7CED4A" w14:textId="5A819F2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d) No haber sido beneficiarios de un subsidio familiar vivienda, que haya sido efectivamente aplicado, salvo quienes hayan perdido la vivienda por imposibilidad de pago, de acuerdo con lo establecido en el artículo 33 de la Ley 546 de 1999, o esta haya resultado afectada o destruida por causas no imputables al hogar beneficiario, o cuando la vivienda en la cual se haya aplicado el subsidio haya resultado totalmente destruid o quedado inhabitable como consecuencia de desastres naturales, calamidades públicas, emergencias, o atentados terroristas, o que haya sido abandonada o despojada en el marco del conflicto armado interno.  </w:t>
      </w:r>
    </w:p>
    <w:p w14:paraId="39C3800F" w14:textId="77777777" w:rsidR="00683694" w:rsidRPr="009342F9" w:rsidRDefault="00683694" w:rsidP="00FC79C1">
      <w:pPr>
        <w:spacing w:after="0" w:line="240" w:lineRule="auto"/>
        <w:jc w:val="both"/>
        <w:rPr>
          <w:rFonts w:ascii="Arial" w:eastAsia="Times New Roman" w:hAnsi="Arial" w:cs="Arial"/>
          <w:color w:val="000000"/>
          <w:lang w:eastAsia="es-CO"/>
        </w:rPr>
      </w:pPr>
    </w:p>
    <w:p w14:paraId="7FA7F6EA" w14:textId="1C149C5D"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 No haber sido beneficiarios del subsidio familiar de vivienda de que trata el presente capítulo. Esta restricción no aplicará para quienes conformen hasta por una sola vez, un nuevo núcleo familiar al inicialmente beneficiado.  </w:t>
      </w:r>
    </w:p>
    <w:p w14:paraId="5DBF5840" w14:textId="77777777" w:rsidR="00683694" w:rsidRPr="009342F9" w:rsidRDefault="00683694" w:rsidP="00FC79C1">
      <w:pPr>
        <w:spacing w:after="0" w:line="240" w:lineRule="auto"/>
        <w:jc w:val="both"/>
        <w:rPr>
          <w:rFonts w:ascii="Arial" w:eastAsia="Times New Roman" w:hAnsi="Arial" w:cs="Arial"/>
          <w:color w:val="000000"/>
          <w:lang w:eastAsia="es-CO"/>
        </w:rPr>
      </w:pPr>
    </w:p>
    <w:p w14:paraId="69B85BD7" w14:textId="10A97F7F"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f) No haber sido beneficiarios a cualquier título, de las coberturas de tasa de interés, salvo quienes hayan perdido la vivienda por imposibilidad de pago, de acuerdo con lo establecido en el artículo 33 de la Ley 546 de 1999, o esta haya resultado afectada o destruida por incumplimientos imputables a oferentes, constructores, gestores y/o ejecutores, o cuando la vivienda en la cual se haya aplicado la cobertura haya resultado totalmente destruida o quedado inhabitable como consecuencia de desastres naturales, calamidades públicas, emergencias, o atentados terroristas, o que haya sido abandonada o despojada en el marco del conflicto armado interno.  </w:t>
      </w:r>
    </w:p>
    <w:p w14:paraId="518CE25C" w14:textId="77777777" w:rsidR="00683694" w:rsidRPr="009342F9" w:rsidRDefault="00683694" w:rsidP="00FC79C1">
      <w:pPr>
        <w:spacing w:after="0" w:line="240" w:lineRule="auto"/>
        <w:jc w:val="both"/>
        <w:rPr>
          <w:rFonts w:ascii="Arial" w:eastAsia="Times New Roman" w:hAnsi="Arial" w:cs="Arial"/>
          <w:color w:val="000000"/>
          <w:lang w:eastAsia="es-CO"/>
        </w:rPr>
      </w:pPr>
    </w:p>
    <w:p w14:paraId="60A82DD5" w14:textId="24D4B83E"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g) Contar con el puntaje de corte en el análisis de riesgo crediticio, de acuerdo con los criterios que establezca el Ministerio de Vivienda, Ciudad y Territorio.  </w:t>
      </w:r>
    </w:p>
    <w:p w14:paraId="0FACEDAE" w14:textId="77777777" w:rsidR="00683694" w:rsidRPr="009342F9" w:rsidRDefault="00683694" w:rsidP="00FC79C1">
      <w:pPr>
        <w:spacing w:after="0" w:line="240" w:lineRule="auto"/>
        <w:jc w:val="both"/>
        <w:rPr>
          <w:rFonts w:ascii="Arial" w:eastAsia="Times New Roman" w:hAnsi="Arial" w:cs="Arial"/>
          <w:color w:val="000000"/>
          <w:lang w:eastAsia="es-CO"/>
        </w:rPr>
      </w:pPr>
    </w:p>
    <w:p w14:paraId="2EF31F58" w14:textId="7826E6CD"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h) Contar con concepto favorable por parte del gestor inmobiliario para la suscripción de un contrato de arrendamiento o arrendamiento con opción de compra.  </w:t>
      </w:r>
    </w:p>
    <w:p w14:paraId="07714854" w14:textId="77777777" w:rsidR="00683694" w:rsidRPr="009342F9" w:rsidRDefault="00683694" w:rsidP="00FC79C1">
      <w:pPr>
        <w:spacing w:after="0" w:line="240" w:lineRule="auto"/>
        <w:jc w:val="both"/>
        <w:rPr>
          <w:rFonts w:ascii="Arial" w:eastAsia="Times New Roman" w:hAnsi="Arial" w:cs="Arial"/>
          <w:color w:val="000000"/>
          <w:lang w:eastAsia="es-CO"/>
        </w:rPr>
      </w:pPr>
    </w:p>
    <w:p w14:paraId="40063A13" w14:textId="1FF069C0"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1°. Para todos los efectos, cuando en el presente capítulo se hace referencia a los ingresos del hogar, se entenderá que son los ingresos totales que aquel devenga mensualmente.  </w:t>
      </w:r>
    </w:p>
    <w:p w14:paraId="6515BD2B" w14:textId="77777777" w:rsidR="00683694" w:rsidRPr="009342F9" w:rsidRDefault="00683694" w:rsidP="00FC79C1">
      <w:pPr>
        <w:spacing w:after="0" w:line="240" w:lineRule="auto"/>
        <w:jc w:val="both"/>
        <w:rPr>
          <w:rFonts w:ascii="Arial" w:eastAsia="Times New Roman" w:hAnsi="Arial" w:cs="Arial"/>
          <w:color w:val="000000"/>
          <w:lang w:eastAsia="es-CO"/>
        </w:rPr>
      </w:pPr>
    </w:p>
    <w:p w14:paraId="49EED33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2°. Quien haya sido beneficiario de un subsidio familiar de vivienda para la adquisición de vivienda urbana que se encuentre vigente y sin aplicar, asignado por Fonvivienda, podrá ser beneficiario del subsidio familiar de vivienda a que se refiere el presente capítulo, previa renuncia al subsidio asignado que se encuentre sin aplicar.  </w:t>
      </w:r>
    </w:p>
    <w:p w14:paraId="407D6F42" w14:textId="77777777" w:rsidR="00683694" w:rsidRPr="009342F9" w:rsidRDefault="00683694" w:rsidP="00FC79C1">
      <w:pPr>
        <w:spacing w:after="0" w:line="240" w:lineRule="auto"/>
        <w:jc w:val="both"/>
        <w:rPr>
          <w:rFonts w:ascii="Arial" w:eastAsia="Times New Roman" w:hAnsi="Arial" w:cs="Arial"/>
          <w:color w:val="000000"/>
          <w:lang w:eastAsia="es-CO"/>
        </w:rPr>
      </w:pPr>
    </w:p>
    <w:p w14:paraId="342011D9" w14:textId="0E071355"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2.1.1.6.3.3 Obligaciones de los beneficiarios. Los hogares que resulten beneficiados con la asignación del subsidio familiar de vivienda de que trata el presente capítulo por parte de Fonvivienda, tendrán las siguientes obligaciones:  </w:t>
      </w:r>
    </w:p>
    <w:p w14:paraId="5F5F4571" w14:textId="77777777" w:rsidR="00683694" w:rsidRPr="009342F9" w:rsidRDefault="00683694" w:rsidP="00FC79C1">
      <w:pPr>
        <w:spacing w:after="0" w:line="240" w:lineRule="auto"/>
        <w:jc w:val="both"/>
        <w:rPr>
          <w:rFonts w:ascii="Arial" w:eastAsia="Times New Roman" w:hAnsi="Arial" w:cs="Arial"/>
          <w:color w:val="000000"/>
          <w:lang w:eastAsia="es-CO"/>
        </w:rPr>
      </w:pPr>
    </w:p>
    <w:p w14:paraId="4D597C9C" w14:textId="2722067A"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Pagar el porcentaje del canon de arrendamiento que no se encuentre cubierto por el subsidio familiar de vivienda.  </w:t>
      </w:r>
    </w:p>
    <w:p w14:paraId="181A9BB4" w14:textId="77777777" w:rsidR="00683694" w:rsidRPr="009342F9" w:rsidRDefault="00683694" w:rsidP="00FC79C1">
      <w:pPr>
        <w:spacing w:after="0" w:line="240" w:lineRule="auto"/>
        <w:jc w:val="both"/>
        <w:rPr>
          <w:rFonts w:ascii="Arial" w:eastAsia="Times New Roman" w:hAnsi="Arial" w:cs="Arial"/>
          <w:color w:val="000000"/>
          <w:lang w:eastAsia="es-CO"/>
        </w:rPr>
      </w:pPr>
    </w:p>
    <w:p w14:paraId="7D0E5126" w14:textId="64F7F90F"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2. Efectuar el aporte de que trata el numeral 2.3 del artículo 2.1.1.6.1.2 del presente decreto.  </w:t>
      </w:r>
    </w:p>
    <w:p w14:paraId="142CF168" w14:textId="77777777" w:rsidR="00683694" w:rsidRPr="009342F9" w:rsidRDefault="00683694" w:rsidP="00FC79C1">
      <w:pPr>
        <w:spacing w:after="0" w:line="240" w:lineRule="auto"/>
        <w:jc w:val="both"/>
        <w:rPr>
          <w:rFonts w:ascii="Arial" w:eastAsia="Times New Roman" w:hAnsi="Arial" w:cs="Arial"/>
          <w:color w:val="000000"/>
          <w:lang w:eastAsia="es-CO"/>
        </w:rPr>
      </w:pPr>
    </w:p>
    <w:p w14:paraId="294C0EE6" w14:textId="4FD40768"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Constituir las garantías que se requieran para respaldar el cumplimiento de sus obligaciones con el garante principal del contrato.  </w:t>
      </w:r>
    </w:p>
    <w:p w14:paraId="7DF8D629" w14:textId="77777777" w:rsidR="00683694" w:rsidRPr="009342F9" w:rsidRDefault="00683694" w:rsidP="00FC79C1">
      <w:pPr>
        <w:spacing w:after="0" w:line="240" w:lineRule="auto"/>
        <w:jc w:val="both"/>
        <w:rPr>
          <w:rFonts w:ascii="Arial" w:eastAsia="Times New Roman" w:hAnsi="Arial" w:cs="Arial"/>
          <w:color w:val="000000"/>
          <w:lang w:eastAsia="es-CO"/>
        </w:rPr>
      </w:pPr>
    </w:p>
    <w:p w14:paraId="65E45D34" w14:textId="1B35E758"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Restituir el inmueble inmediatamente a la terminación del contrato de arrendamiento o cuando se presente incumplimiento de las obligaciones a su cargo establecidas en el presente capítulo, en el contrato de arrendamiento y en las demás normas aplicables.  </w:t>
      </w:r>
    </w:p>
    <w:p w14:paraId="0DFB6933" w14:textId="77777777" w:rsidR="00683694" w:rsidRPr="009342F9" w:rsidRDefault="00683694" w:rsidP="00FC79C1">
      <w:pPr>
        <w:spacing w:after="0" w:line="240" w:lineRule="auto"/>
        <w:jc w:val="both"/>
        <w:rPr>
          <w:rFonts w:ascii="Arial" w:eastAsia="Times New Roman" w:hAnsi="Arial" w:cs="Arial"/>
          <w:color w:val="000000"/>
          <w:lang w:eastAsia="es-CO"/>
        </w:rPr>
      </w:pPr>
    </w:p>
    <w:p w14:paraId="04D870F5" w14:textId="4E3CCFC4"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 Las demás que se establezcan en el contrato de arrendamiento o de arrendamiento con opción de compra. </w:t>
      </w:r>
    </w:p>
    <w:p w14:paraId="4713F0F9"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603" w:name="ver_30180379"/>
      <w:bookmarkEnd w:id="603"/>
    </w:p>
    <w:p w14:paraId="63104E4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2.1.1.6.3.4 Condiciones de los beneficiarios. Los hogares beneficiarios deberán mantener las condiciones y requisitos para acceder al subsidio familiar de vivienda a que se refiere este capítulo, desde el momento de la postulación, hasta el momento del primer desembolso del subsidio, en consecuencia, será responsabilidad de los hogares informar a la entidad otorgante cualquier hecho que modifique las condiciones que le permiten ser beneficiario del subsidio familiar de vivienda. En todo caso, todos los miembros del hogar que se </w:t>
      </w:r>
      <w:proofErr w:type="gramStart"/>
      <w:r w:rsidRPr="009342F9">
        <w:rPr>
          <w:rFonts w:ascii="Arial" w:eastAsia="Times New Roman" w:hAnsi="Arial" w:cs="Arial"/>
          <w:color w:val="000000"/>
          <w:lang w:eastAsia="es-CO"/>
        </w:rPr>
        <w:t>postule,</w:t>
      </w:r>
      <w:proofErr w:type="gramEnd"/>
      <w:r w:rsidRPr="009342F9">
        <w:rPr>
          <w:rFonts w:ascii="Arial" w:eastAsia="Times New Roman" w:hAnsi="Arial" w:cs="Arial"/>
          <w:color w:val="000000"/>
          <w:lang w:eastAsia="es-CO"/>
        </w:rPr>
        <w:t xml:space="preserve"> se entenderán como beneficiarios del subsidio familiar de vivienda para todos los efectos. </w:t>
      </w:r>
    </w:p>
    <w:p w14:paraId="78FC3EA4"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604" w:name="ver_30205793"/>
      <w:bookmarkStart w:id="605" w:name="ver_30180381"/>
      <w:bookmarkEnd w:id="604"/>
    </w:p>
    <w:p w14:paraId="7FFBFFB4" w14:textId="00FF7896"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2.1.1.6.3.5 Condiciones de la vivienda. El valor de la vivienda en la que se aplicará el subsidio al que hace referencia el presente capítulo no podrá exceder el límite en salarios mínimos mensuales legales vigentes que se establezca para la Vivienda de Interés Social en las normas que regulen la materia. </w:t>
      </w:r>
    </w:p>
    <w:p w14:paraId="63C1C8AA" w14:textId="77777777" w:rsidR="00683694" w:rsidRPr="009342F9" w:rsidRDefault="00683694" w:rsidP="00FC79C1">
      <w:pPr>
        <w:spacing w:after="0" w:line="240" w:lineRule="auto"/>
        <w:jc w:val="both"/>
        <w:rPr>
          <w:rFonts w:ascii="Arial" w:eastAsia="Times New Roman" w:hAnsi="Arial" w:cs="Arial"/>
          <w:color w:val="000000"/>
          <w:lang w:eastAsia="es-CO"/>
        </w:rPr>
      </w:pPr>
    </w:p>
    <w:p w14:paraId="018D8C6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El valor de la vivienda deberá incluir el valor de los bienes muebles e inmuebles que presten usos y servicios complementarios o conexos a los mismos tales como parqueaderos, depósitos, buhardillas, terrazas, antejardines o patios, así como el correspondiente a contratos de mejoras o acabados suscritos con el oferente o con terceros. Todos los valores contenidos en los contratos adicionales que se suscriban por parte de los </w:t>
      </w:r>
      <w:proofErr w:type="gramStart"/>
      <w:r w:rsidRPr="009342F9">
        <w:rPr>
          <w:rFonts w:ascii="Arial" w:eastAsia="Times New Roman" w:hAnsi="Arial" w:cs="Arial"/>
          <w:color w:val="000000"/>
          <w:lang w:eastAsia="es-CO"/>
        </w:rPr>
        <w:t>interesados,</w:t>
      </w:r>
      <w:proofErr w:type="gramEnd"/>
      <w:r w:rsidRPr="009342F9">
        <w:rPr>
          <w:rFonts w:ascii="Arial" w:eastAsia="Times New Roman" w:hAnsi="Arial" w:cs="Arial"/>
          <w:color w:val="000000"/>
          <w:lang w:eastAsia="es-CO"/>
        </w:rPr>
        <w:t xml:space="preserve"> formarán parte del valor final de la vivienda. </w:t>
      </w:r>
    </w:p>
    <w:p w14:paraId="59E148B8" w14:textId="77777777" w:rsidR="00683694" w:rsidRPr="009342F9" w:rsidRDefault="00683694" w:rsidP="00FC79C1">
      <w:pPr>
        <w:spacing w:after="0" w:line="240" w:lineRule="auto"/>
        <w:jc w:val="both"/>
        <w:rPr>
          <w:rFonts w:ascii="Arial" w:eastAsia="Times New Roman" w:hAnsi="Arial" w:cs="Arial"/>
          <w:color w:val="000000"/>
          <w:lang w:eastAsia="es-CO"/>
        </w:rPr>
      </w:pPr>
    </w:p>
    <w:p w14:paraId="2E5060E7" w14:textId="6F7AECF4"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El subsidio familiar de vivienda de que trata el presente capítulo será aplicable a viviendas nuevas o usadas, entendiéndose por “nueva” aquella que estando terminada no ha sido habitada, y por “usada”, aquella que estando terminada ya ha sido habitada. </w:t>
      </w:r>
    </w:p>
    <w:p w14:paraId="197C9A7C" w14:textId="77777777" w:rsidR="00683694" w:rsidRPr="009342F9" w:rsidRDefault="00683694" w:rsidP="00FC79C1">
      <w:pPr>
        <w:spacing w:after="0" w:line="240" w:lineRule="auto"/>
        <w:jc w:val="both"/>
        <w:rPr>
          <w:rFonts w:ascii="Arial" w:eastAsia="Times New Roman" w:hAnsi="Arial" w:cs="Arial"/>
          <w:color w:val="000000"/>
          <w:lang w:eastAsia="es-CO"/>
        </w:rPr>
      </w:pPr>
    </w:p>
    <w:p w14:paraId="5CA23FB4" w14:textId="32AFB341"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“El valor de la vivienda nueva será el establecido en el avalúo comercial presentado por el gestor inmobiliario en el acto de postulación de la vivienda, el cual deberá cumplir con las condiciones que sobre el particular establezca la normatividad vigente que regule la materia. Para viviendas usadas, el valor de </w:t>
      </w:r>
      <w:proofErr w:type="gramStart"/>
      <w:r w:rsidRPr="009342F9">
        <w:rPr>
          <w:rFonts w:ascii="Arial" w:eastAsia="Times New Roman" w:hAnsi="Arial" w:cs="Arial"/>
          <w:color w:val="000000"/>
          <w:lang w:eastAsia="es-CO"/>
        </w:rPr>
        <w:t>la misma</w:t>
      </w:r>
      <w:proofErr w:type="gramEnd"/>
      <w:r w:rsidRPr="009342F9">
        <w:rPr>
          <w:rFonts w:ascii="Arial" w:eastAsia="Times New Roman" w:hAnsi="Arial" w:cs="Arial"/>
          <w:color w:val="000000"/>
          <w:lang w:eastAsia="es-CO"/>
        </w:rPr>
        <w:t xml:space="preserve"> será el establecido en el avalúo catastral”.  </w:t>
      </w:r>
    </w:p>
    <w:p w14:paraId="3D2440C7" w14:textId="77777777" w:rsidR="00FC79C1" w:rsidRPr="009342F9" w:rsidRDefault="00FC79C1" w:rsidP="00FC79C1">
      <w:pPr>
        <w:spacing w:after="0" w:line="240" w:lineRule="auto"/>
        <w:jc w:val="both"/>
        <w:rPr>
          <w:rFonts w:ascii="Arial" w:eastAsia="Times New Roman" w:hAnsi="Arial" w:cs="Arial"/>
          <w:color w:val="000000"/>
          <w:lang w:eastAsia="es-CO"/>
        </w:rPr>
      </w:pPr>
    </w:p>
    <w:p w14:paraId="32D5F1C1" w14:textId="77777777" w:rsidR="00FC79C1" w:rsidRPr="009342F9" w:rsidRDefault="00FC79C1" w:rsidP="00683694">
      <w:pPr>
        <w:spacing w:after="0" w:line="240" w:lineRule="auto"/>
        <w:jc w:val="center"/>
        <w:rPr>
          <w:rFonts w:ascii="Arial" w:eastAsia="Times New Roman" w:hAnsi="Arial" w:cs="Arial"/>
          <w:b/>
          <w:bCs/>
          <w:color w:val="000000"/>
          <w:lang w:eastAsia="es-CO"/>
        </w:rPr>
      </w:pPr>
      <w:bookmarkStart w:id="606" w:name="ver_30180383"/>
      <w:bookmarkEnd w:id="605"/>
      <w:bookmarkEnd w:id="606"/>
      <w:r w:rsidRPr="009342F9">
        <w:rPr>
          <w:rFonts w:ascii="Arial" w:eastAsia="Times New Roman" w:hAnsi="Arial" w:cs="Arial"/>
          <w:b/>
          <w:bCs/>
          <w:color w:val="000000"/>
          <w:lang w:eastAsia="es-CO"/>
        </w:rPr>
        <w:t>SECCIÓN 4</w:t>
      </w:r>
    </w:p>
    <w:p w14:paraId="54A83C53" w14:textId="77777777" w:rsidR="00FC79C1" w:rsidRPr="009342F9" w:rsidRDefault="00FC79C1" w:rsidP="00683694">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INSTRUMENTOS PARA LA OPERACIÓN, ASIGNACIÓN Y LEGALIZACIÓN DEL SUBSIDIO FAMILIAR DE VIVIENDA</w:t>
      </w:r>
    </w:p>
    <w:p w14:paraId="2436E779" w14:textId="77777777" w:rsidR="00FC79C1" w:rsidRPr="009342F9" w:rsidRDefault="00FC79C1" w:rsidP="00683694">
      <w:pPr>
        <w:spacing w:after="0" w:line="240" w:lineRule="auto"/>
        <w:jc w:val="center"/>
        <w:rPr>
          <w:rFonts w:ascii="Arial" w:eastAsia="Times New Roman" w:hAnsi="Arial" w:cs="Arial"/>
          <w:b/>
          <w:bCs/>
          <w:color w:val="000000"/>
          <w:lang w:eastAsia="es-CO"/>
        </w:rPr>
      </w:pPr>
      <w:bookmarkStart w:id="607" w:name="ver_30180385"/>
      <w:bookmarkEnd w:id="607"/>
    </w:p>
    <w:p w14:paraId="695ADD2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2.1.1.6.4.1 Contrato de fiducia mercantil. De acuerdo con las facultades atribuidas por el artículo 23 de la Ley 1469 de 2011 y el artículo 6° de la Ley 1537 de 2012, Fonvivienda celebrará en condición de fideicomitente, un contrato de fiducia mercantil, para que el patrimonio autónomo que se constituya administre los recursos del subsidio familiar de vivienda de que trata el presente capítulo.  </w:t>
      </w:r>
    </w:p>
    <w:p w14:paraId="09F2B36E"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608" w:name="ver_30180387"/>
      <w:bookmarkEnd w:id="608"/>
    </w:p>
    <w:p w14:paraId="3EDA48A5" w14:textId="5C3F40AA"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Artículo 2.1.1.6.4.2 Activos del patrimonio autónomo. Podrán ser activos del patrimonio autónomo los siguientes:  </w:t>
      </w:r>
    </w:p>
    <w:p w14:paraId="01A0ADC0" w14:textId="77777777" w:rsidR="00683694" w:rsidRPr="009342F9" w:rsidRDefault="00683694" w:rsidP="00FC79C1">
      <w:pPr>
        <w:spacing w:after="0" w:line="240" w:lineRule="auto"/>
        <w:jc w:val="both"/>
        <w:rPr>
          <w:rFonts w:ascii="Arial" w:eastAsia="Times New Roman" w:hAnsi="Arial" w:cs="Arial"/>
          <w:color w:val="000000"/>
          <w:lang w:eastAsia="es-CO"/>
        </w:rPr>
      </w:pPr>
    </w:p>
    <w:p w14:paraId="5721B8E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 Los recursos del Presupuesto General de la Nación destinados a Fonvivienda, que este último transfiera a título de aporte fiduciario, de acuerdo con las facultades otorgadas por el artículo 23 de la Ley 1469 de 2011 y el artículo 6° de la Ley 1537 de 2012.  </w:t>
      </w:r>
    </w:p>
    <w:p w14:paraId="1C05C0D9" w14:textId="77777777" w:rsidR="00683694" w:rsidRPr="009342F9" w:rsidRDefault="00683694" w:rsidP="00FC79C1">
      <w:pPr>
        <w:spacing w:after="0" w:line="240" w:lineRule="auto"/>
        <w:jc w:val="both"/>
        <w:rPr>
          <w:rFonts w:ascii="Arial" w:eastAsia="Times New Roman" w:hAnsi="Arial" w:cs="Arial"/>
          <w:color w:val="000000"/>
          <w:lang w:eastAsia="es-CO"/>
        </w:rPr>
      </w:pPr>
    </w:p>
    <w:p w14:paraId="43C07E3E" w14:textId="0C36591F"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b) Los que aporte cualquier entidad en calidad de otorgante del subsidio familiar de vivienda.  </w:t>
      </w:r>
    </w:p>
    <w:p w14:paraId="326E3589" w14:textId="77777777" w:rsidR="00683694" w:rsidRPr="009342F9" w:rsidRDefault="00683694" w:rsidP="00FC79C1">
      <w:pPr>
        <w:spacing w:after="0" w:line="240" w:lineRule="auto"/>
        <w:jc w:val="both"/>
        <w:rPr>
          <w:rFonts w:ascii="Arial" w:eastAsia="Times New Roman" w:hAnsi="Arial" w:cs="Arial"/>
          <w:color w:val="000000"/>
          <w:lang w:eastAsia="es-CO"/>
        </w:rPr>
      </w:pPr>
    </w:p>
    <w:p w14:paraId="4AB7ED0F" w14:textId="23C407DC"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 Los rendimientos financieros que produzcan los recursos fideicomitidos.  </w:t>
      </w:r>
    </w:p>
    <w:p w14:paraId="6C76CF37" w14:textId="77777777" w:rsidR="00683694" w:rsidRPr="009342F9" w:rsidRDefault="00683694" w:rsidP="00FC79C1">
      <w:pPr>
        <w:spacing w:after="0" w:line="240" w:lineRule="auto"/>
        <w:jc w:val="both"/>
        <w:rPr>
          <w:rFonts w:ascii="Arial" w:eastAsia="Times New Roman" w:hAnsi="Arial" w:cs="Arial"/>
          <w:color w:val="000000"/>
          <w:lang w:eastAsia="es-CO"/>
        </w:rPr>
      </w:pPr>
    </w:p>
    <w:p w14:paraId="0D0E3ECE" w14:textId="4908AA3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d) Los que aporte cualquier persona jurídica a título gratuito.  </w:t>
      </w:r>
    </w:p>
    <w:p w14:paraId="67B6A571" w14:textId="77777777" w:rsidR="00683694" w:rsidRPr="009342F9" w:rsidRDefault="00683694" w:rsidP="00FC79C1">
      <w:pPr>
        <w:spacing w:after="0" w:line="240" w:lineRule="auto"/>
        <w:jc w:val="both"/>
        <w:rPr>
          <w:rFonts w:ascii="Arial" w:eastAsia="Times New Roman" w:hAnsi="Arial" w:cs="Arial"/>
          <w:color w:val="000000"/>
          <w:lang w:eastAsia="es-CO"/>
        </w:rPr>
      </w:pPr>
    </w:p>
    <w:p w14:paraId="768C1CF4" w14:textId="24F8613A"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 Los que se determinen en el contrato de fiducia mercantil. </w:t>
      </w:r>
    </w:p>
    <w:p w14:paraId="3053A1CF"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609" w:name="ver_30180389"/>
      <w:bookmarkEnd w:id="609"/>
    </w:p>
    <w:p w14:paraId="137360C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2.1.1.6.4.3 Gastos de administración. Con cargo a los recursos girados por Fonvivienda al patrimonio autónomo al que hace referencia el presente capítulo, se sufragarán los costos en que se incurra para el manejo y control de los recursos, los gastos de operación, auditorías y cualquier otro gasto que se requiera para el desarrollo, implementación y divulgación del programa “Semillero de Propietarios”.  </w:t>
      </w:r>
    </w:p>
    <w:p w14:paraId="7B5B9491"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610" w:name="ver_30180391"/>
      <w:bookmarkEnd w:id="610"/>
    </w:p>
    <w:p w14:paraId="035F791D" w14:textId="64F5C2CE"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2.1.1.6.4.4 Postulación de viviendas al programa. Los gestores inmobiliarios podrán postular viviendas nuevas, usadas o en construcción, propias o de terceros según el formato que sea establecido para tal efecto. Para la postulación será requisito contar con la matrícula de que tratan los artículos 28, 29, 30 y 31 de la Ley 820 de 2003. Para las viviendas cuyo propietario no sea el gestor inmobiliario, deberá acreditarse el fundamento contractual que le permite al gestor disponer de dicha vivienda para la suscripción del contrato de arrendamiento o arrendamiento con opción de compra, en calidad de arrendador.  </w:t>
      </w:r>
    </w:p>
    <w:p w14:paraId="433F421C" w14:textId="77777777" w:rsidR="00683694" w:rsidRPr="009342F9" w:rsidRDefault="00683694" w:rsidP="00FC79C1">
      <w:pPr>
        <w:spacing w:after="0" w:line="240" w:lineRule="auto"/>
        <w:jc w:val="both"/>
        <w:rPr>
          <w:rFonts w:ascii="Arial" w:eastAsia="Times New Roman" w:hAnsi="Arial" w:cs="Arial"/>
          <w:color w:val="000000"/>
          <w:lang w:eastAsia="es-CO"/>
        </w:rPr>
      </w:pPr>
    </w:p>
    <w:p w14:paraId="00B5F986" w14:textId="6CD80DE0"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El gestor inmobiliario será el encargado de suscribir los contratos de arrendamiento y de arrendamiento con opción de compra en calidad de arrendador y de responder por la idoneidad de las viviendas que postulen.  </w:t>
      </w:r>
    </w:p>
    <w:p w14:paraId="3799452F" w14:textId="77777777" w:rsidR="00683694" w:rsidRPr="009342F9" w:rsidRDefault="00683694" w:rsidP="00FC79C1">
      <w:pPr>
        <w:spacing w:after="0" w:line="240" w:lineRule="auto"/>
        <w:jc w:val="both"/>
        <w:rPr>
          <w:rFonts w:ascii="Arial" w:eastAsia="Times New Roman" w:hAnsi="Arial" w:cs="Arial"/>
          <w:color w:val="000000"/>
          <w:lang w:eastAsia="es-CO"/>
        </w:rPr>
      </w:pPr>
    </w:p>
    <w:p w14:paraId="60322EB1" w14:textId="0DFFEAD4"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Fonvivienda podrá establecer directamente, o a través del Patrimonio Autónomo que administre los recursos del programa, los requisitos, obligaciones y responsabilidades de los gestores inmobiliarios para efectos de su participación en el programa, las condiciones de las viviendas que estos postulen, así como los elementos mínimos del contrato de arrendamiento o arrendamiento con opción de compra que se suscriba en el marco del programa.  </w:t>
      </w:r>
    </w:p>
    <w:p w14:paraId="2DE076D2" w14:textId="77777777" w:rsidR="00683694" w:rsidRPr="009342F9" w:rsidRDefault="00683694" w:rsidP="00FC79C1">
      <w:pPr>
        <w:spacing w:after="0" w:line="240" w:lineRule="auto"/>
        <w:jc w:val="both"/>
        <w:rPr>
          <w:rFonts w:ascii="Arial" w:eastAsia="Times New Roman" w:hAnsi="Arial" w:cs="Arial"/>
          <w:color w:val="000000"/>
          <w:lang w:eastAsia="es-CO"/>
        </w:rPr>
      </w:pPr>
    </w:p>
    <w:p w14:paraId="0036322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Dentro de los elementos mínimos que se definan para los contratos de arrendamiento o arrendamiento con opción de compra, podrá estipularse el giro anticipado de los recursos del subsidio de que trata el presente capítulo al gestor inmobiliario, hasta por doce (12) meses. </w:t>
      </w:r>
    </w:p>
    <w:p w14:paraId="3A2F4FD9" w14:textId="77777777" w:rsidR="00FC79C1" w:rsidRPr="009342F9" w:rsidRDefault="00FC79C1" w:rsidP="00FC79C1">
      <w:pPr>
        <w:spacing w:after="0" w:line="240" w:lineRule="auto"/>
        <w:jc w:val="both"/>
        <w:rPr>
          <w:rFonts w:ascii="Arial" w:eastAsia="Times New Roman" w:hAnsi="Arial" w:cs="Arial"/>
          <w:color w:val="000000"/>
          <w:lang w:eastAsia="es-CO"/>
        </w:rPr>
      </w:pPr>
    </w:p>
    <w:p w14:paraId="41C64DCC" w14:textId="77777777" w:rsidR="00FC79C1" w:rsidRPr="009342F9" w:rsidRDefault="00FC79C1" w:rsidP="00683694">
      <w:pPr>
        <w:spacing w:after="0" w:line="240" w:lineRule="auto"/>
        <w:jc w:val="center"/>
        <w:rPr>
          <w:rFonts w:ascii="Arial" w:eastAsia="Times New Roman" w:hAnsi="Arial" w:cs="Arial"/>
          <w:b/>
          <w:bCs/>
          <w:color w:val="000000"/>
          <w:lang w:eastAsia="es-CO"/>
        </w:rPr>
      </w:pPr>
      <w:bookmarkStart w:id="611" w:name="ver_30180393"/>
      <w:bookmarkEnd w:id="611"/>
      <w:r w:rsidRPr="009342F9">
        <w:rPr>
          <w:rFonts w:ascii="Arial" w:eastAsia="Times New Roman" w:hAnsi="Arial" w:cs="Arial"/>
          <w:b/>
          <w:bCs/>
          <w:color w:val="000000"/>
          <w:lang w:eastAsia="es-CO"/>
        </w:rPr>
        <w:t>SECCIÓN 5</w:t>
      </w:r>
    </w:p>
    <w:p w14:paraId="6FA35848" w14:textId="77777777" w:rsidR="00FC79C1" w:rsidRPr="009342F9" w:rsidRDefault="00FC79C1" w:rsidP="00683694">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POSTULACIÓN, ASIGNACIÓN Y LEGALIZACIÓN DEL SUBSIDIO FAMILIAR DE VIVIENDA</w:t>
      </w:r>
    </w:p>
    <w:p w14:paraId="62774F38"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612" w:name="ver_30180395"/>
      <w:bookmarkEnd w:id="612"/>
    </w:p>
    <w:p w14:paraId="1626F9F4" w14:textId="355E9F7B" w:rsidR="00FC79C1"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2.1.1.6.5.1 Postulación de beneficiarios al programa. Es la solicitud individual por parte de un hogar, con el objeto de acceder al subsidio familiar de vivienda de que trata el presente capítulo. Los hogares interesados en ser beneficiarios del programa podrán presentarla por medio del sistema de información que señale Fonvivienda para tal efecto. Fonvivienda o la entidad que éste designe para la recepción de la postulación, hará una primera verificación del cumplimiento </w:t>
      </w:r>
      <w:r w:rsidRPr="009342F9">
        <w:rPr>
          <w:rFonts w:ascii="Arial" w:eastAsia="Times New Roman" w:hAnsi="Arial" w:cs="Arial"/>
          <w:color w:val="000000"/>
          <w:lang w:eastAsia="es-CO"/>
        </w:rPr>
        <w:lastRenderedPageBreak/>
        <w:t>de los requisitos del hogar para acceder al subsidio de arrendamiento e indicará el resultado de dicha verificación en el sistema de información.  </w:t>
      </w:r>
    </w:p>
    <w:p w14:paraId="0A190F33" w14:textId="77777777" w:rsidR="00D25E1B" w:rsidRPr="009342F9" w:rsidRDefault="00D25E1B" w:rsidP="00FC79C1">
      <w:pPr>
        <w:spacing w:after="0" w:line="240" w:lineRule="auto"/>
        <w:jc w:val="both"/>
        <w:rPr>
          <w:rFonts w:ascii="Arial" w:eastAsia="Times New Roman" w:hAnsi="Arial" w:cs="Arial"/>
          <w:color w:val="000000"/>
          <w:lang w:eastAsia="es-CO"/>
        </w:rPr>
      </w:pPr>
    </w:p>
    <w:p w14:paraId="704FBA9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Surtido este trámite, el hogar postulante podrá acceder a la oferta de vivienda del programa a través del gestor inmobiliario, el cual emitirá el concepto favorable para la firma del contrato de arrendamiento o arrendamiento con opción de compra y dejará constancia de lo anterior en el respectivo sistema de información. </w:t>
      </w:r>
    </w:p>
    <w:p w14:paraId="0E114CFC"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613" w:name="ver_30180436"/>
      <w:bookmarkEnd w:id="613"/>
    </w:p>
    <w:p w14:paraId="48C3295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2.1.1.6.5.2 Apertura del Instrumento para el recaudo de aportes del hogar. Una vez inscrito y habilitado para el otorgamiento del subsidio, el hogar postulante deberá constituir el producto financiero al que se refiere el numeral 3.4 del artículo 2.1.1.6.1.2 del presente decreto, al cual se transferirán los recursos del aporte y del porcentaje del canon a cargo del hogar contemplados en los numerales 2.2 y 2.3 del mismo artículo. </w:t>
      </w:r>
    </w:p>
    <w:p w14:paraId="75A0A724"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614" w:name="ver_30180437"/>
      <w:bookmarkEnd w:id="614"/>
    </w:p>
    <w:p w14:paraId="2F390B90" w14:textId="173B2BC9"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2.1.1.6.5.3 Suscripción del contrato de arrendamiento y arrendamiento con opción de compra y solicitud de asignación del subsidio. Efectuada la apertura del instrumento financiero, el hogar postulante deberá presentar ante el gestor inmobiliario, el documento que certifique la existencia de dicho instrumento, lo cual quedará registrado en el sistema de información y habilitará al hogar postulante para la suscripción del respectivo contrato de arrendamiento o arrendamiento con opción de compra y la constitución de la garantía a favor del garante principal de dicho contrato.  </w:t>
      </w:r>
    </w:p>
    <w:p w14:paraId="540B7B29" w14:textId="77777777" w:rsidR="00683694" w:rsidRPr="009342F9" w:rsidRDefault="00683694" w:rsidP="00FC79C1">
      <w:pPr>
        <w:spacing w:after="0" w:line="240" w:lineRule="auto"/>
        <w:jc w:val="both"/>
        <w:rPr>
          <w:rFonts w:ascii="Arial" w:eastAsia="Times New Roman" w:hAnsi="Arial" w:cs="Arial"/>
          <w:color w:val="000000"/>
          <w:lang w:eastAsia="es-CO"/>
        </w:rPr>
      </w:pPr>
    </w:p>
    <w:p w14:paraId="3A7D53FA" w14:textId="5780B620"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El contrato de arrendamiento o arrendamiento con opción de compra será suscrito entre las partes de acuerdo con las condiciones establecidas por Fonvivienda para tal efecto.  </w:t>
      </w:r>
    </w:p>
    <w:p w14:paraId="7FD7C87B" w14:textId="77777777" w:rsidR="00683694" w:rsidRPr="009342F9" w:rsidRDefault="00683694" w:rsidP="00FC79C1">
      <w:pPr>
        <w:spacing w:after="0" w:line="240" w:lineRule="auto"/>
        <w:jc w:val="both"/>
        <w:rPr>
          <w:rFonts w:ascii="Arial" w:eastAsia="Times New Roman" w:hAnsi="Arial" w:cs="Arial"/>
          <w:color w:val="000000"/>
          <w:lang w:eastAsia="es-CO"/>
        </w:rPr>
      </w:pPr>
    </w:p>
    <w:p w14:paraId="750B6E4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Una vez suscrito el contrato de arrendamiento o arrendamiento con opción de compra y la respectiva garantía, el gestor inmobiliario solicitará la asignación del subsidio de que trata el presente capítulo, a través del sistema de información.  </w:t>
      </w:r>
    </w:p>
    <w:p w14:paraId="1F333F70" w14:textId="1433153E" w:rsidR="00FC79C1" w:rsidRPr="009342F9" w:rsidRDefault="00FC79C1" w:rsidP="00683694">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615" w:name="ver_30180438"/>
      <w:bookmarkEnd w:id="615"/>
    </w:p>
    <w:p w14:paraId="0C157D5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2.1.1.6.5.4 Asignación del subsidio familiar de vivienda. Una vez se reciba la solicitud para proceder a la asignación no se requerirán trámites adicionales y Fonvivienda procederá a la expedición del acto administrativo de asignación, la cual estará condicionada a la respectiva disponibilidad de recursos. El Ministerio de Vivienda, Ciudad y Territorio podrá suspender o cancelar los subsidios asignados si se agotan los recursos disponibles.  </w:t>
      </w:r>
    </w:p>
    <w:p w14:paraId="5DB12922"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616" w:name="ver_30180439"/>
      <w:bookmarkEnd w:id="616"/>
    </w:p>
    <w:p w14:paraId="7083EFB1" w14:textId="06C29710"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2.1.1.6.5.5 Legalización del subsidio familiar de vivienda. El subsidio familiar de vivienda de que trata el presente capítulo se entenderá legalizado para Fonvivienda, con los siguientes documentos:  </w:t>
      </w:r>
    </w:p>
    <w:p w14:paraId="7229E261" w14:textId="77777777" w:rsidR="00683694" w:rsidRPr="009342F9" w:rsidRDefault="00683694" w:rsidP="00FC79C1">
      <w:pPr>
        <w:spacing w:after="0" w:line="240" w:lineRule="auto"/>
        <w:jc w:val="both"/>
        <w:rPr>
          <w:rFonts w:ascii="Arial" w:eastAsia="Times New Roman" w:hAnsi="Arial" w:cs="Arial"/>
          <w:color w:val="000000"/>
          <w:lang w:eastAsia="es-CO"/>
        </w:rPr>
      </w:pPr>
    </w:p>
    <w:p w14:paraId="3399212F" w14:textId="77777777" w:rsidR="00683694"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1. El documento que acredita la asignación del subsidio familiar de vivienda. </w:t>
      </w:r>
    </w:p>
    <w:p w14:paraId="108F3A30" w14:textId="4BDE8B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1B7F1AB" w14:textId="26220BC8"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El documento que acredite la entrega a satisfacción del inmueble por parte del gestor inmobiliario al hogar beneficiario.  </w:t>
      </w:r>
    </w:p>
    <w:p w14:paraId="032ACD3A" w14:textId="77777777" w:rsidR="00683694" w:rsidRPr="009342F9" w:rsidRDefault="00683694" w:rsidP="00FC79C1">
      <w:pPr>
        <w:spacing w:after="0" w:line="240" w:lineRule="auto"/>
        <w:jc w:val="both"/>
        <w:rPr>
          <w:rFonts w:ascii="Arial" w:eastAsia="Times New Roman" w:hAnsi="Arial" w:cs="Arial"/>
          <w:color w:val="000000"/>
          <w:lang w:eastAsia="es-CO"/>
        </w:rPr>
      </w:pPr>
    </w:p>
    <w:p w14:paraId="68BF09B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3. </w:t>
      </w:r>
      <w:proofErr w:type="gramStart"/>
      <w:r w:rsidRPr="009342F9">
        <w:rPr>
          <w:rFonts w:ascii="Arial" w:eastAsia="Times New Roman" w:hAnsi="Arial" w:cs="Arial"/>
          <w:color w:val="000000"/>
          <w:lang w:eastAsia="es-CO"/>
        </w:rPr>
        <w:t>El paz</w:t>
      </w:r>
      <w:proofErr w:type="gramEnd"/>
      <w:r w:rsidRPr="009342F9">
        <w:rPr>
          <w:rFonts w:ascii="Arial" w:eastAsia="Times New Roman" w:hAnsi="Arial" w:cs="Arial"/>
          <w:color w:val="000000"/>
          <w:lang w:eastAsia="es-CO"/>
        </w:rPr>
        <w:t xml:space="preserve"> y salvo emitido por el gestor inmobiliario en el que conste el pago de la totalidad de los cánones de arrendamiento que fueron objeto del subsidio.  </w:t>
      </w:r>
    </w:p>
    <w:p w14:paraId="0BABEFFB" w14:textId="1C0FEE2F"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F15182F" w14:textId="77777777" w:rsidR="00FC79C1" w:rsidRPr="009342F9" w:rsidRDefault="00FC79C1" w:rsidP="00683694">
      <w:pPr>
        <w:spacing w:after="0" w:line="240" w:lineRule="auto"/>
        <w:jc w:val="center"/>
        <w:rPr>
          <w:rFonts w:ascii="Arial" w:eastAsia="Times New Roman" w:hAnsi="Arial" w:cs="Arial"/>
          <w:b/>
          <w:bCs/>
          <w:color w:val="000000"/>
          <w:lang w:eastAsia="es-CO"/>
        </w:rPr>
      </w:pPr>
      <w:bookmarkStart w:id="617" w:name="ver_30180441"/>
      <w:bookmarkEnd w:id="617"/>
      <w:r w:rsidRPr="009342F9">
        <w:rPr>
          <w:rFonts w:ascii="Arial" w:eastAsia="Times New Roman" w:hAnsi="Arial" w:cs="Arial"/>
          <w:b/>
          <w:bCs/>
          <w:color w:val="000000"/>
          <w:lang w:eastAsia="es-CO"/>
        </w:rPr>
        <w:t>SECCIÓN 6</w:t>
      </w:r>
    </w:p>
    <w:p w14:paraId="474DBA49" w14:textId="77777777" w:rsidR="00FC79C1" w:rsidRPr="009342F9" w:rsidRDefault="00FC79C1" w:rsidP="00683694">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PÉRDIDA Y RESTITUCIÓN DEL SUBSIDIO FAMILIAR DE VIVIENDA</w:t>
      </w:r>
    </w:p>
    <w:p w14:paraId="1F05A7BE"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618" w:name="ver_30180442"/>
      <w:bookmarkEnd w:id="618"/>
    </w:p>
    <w:p w14:paraId="3700EBA8" w14:textId="2A3138D3"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Artículo 2.1.1.6.6.1 Pérdida y restitución del subsidio familiar de vivienda. Serán causales de pérdida y restitución del subsidio aplicable al canon, las establecidas en las normas vigentes y especialmente las siguientes:  </w:t>
      </w:r>
    </w:p>
    <w:p w14:paraId="3D5DC687" w14:textId="77777777" w:rsidR="00683694" w:rsidRPr="009342F9" w:rsidRDefault="00683694" w:rsidP="00FC79C1">
      <w:pPr>
        <w:spacing w:after="0" w:line="240" w:lineRule="auto"/>
        <w:jc w:val="both"/>
        <w:rPr>
          <w:rFonts w:ascii="Arial" w:eastAsia="Times New Roman" w:hAnsi="Arial" w:cs="Arial"/>
          <w:color w:val="000000"/>
          <w:lang w:eastAsia="es-CO"/>
        </w:rPr>
      </w:pPr>
    </w:p>
    <w:p w14:paraId="395D5862" w14:textId="303487DA"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Cuando el hogar beneficiario deje de residir en la vivienda dentro del plazo por el cual se haya subsidiado el canon, sin mediar permiso específico fundamentado en razones de fuerza mayor.  </w:t>
      </w:r>
    </w:p>
    <w:p w14:paraId="6A4C925B" w14:textId="77777777" w:rsidR="00683694" w:rsidRPr="009342F9" w:rsidRDefault="00683694" w:rsidP="00FC79C1">
      <w:pPr>
        <w:spacing w:after="0" w:line="240" w:lineRule="auto"/>
        <w:jc w:val="both"/>
        <w:rPr>
          <w:rFonts w:ascii="Arial" w:eastAsia="Times New Roman" w:hAnsi="Arial" w:cs="Arial"/>
          <w:color w:val="000000"/>
          <w:lang w:eastAsia="es-CO"/>
        </w:rPr>
      </w:pPr>
    </w:p>
    <w:p w14:paraId="4D1484F6" w14:textId="169796EF"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Por falta de veracidad en los datos entregados o en las condiciones o requisitos del hogar para la asignación del subsidio familiar de vivienda.  </w:t>
      </w:r>
    </w:p>
    <w:p w14:paraId="50861B8D" w14:textId="77777777" w:rsidR="00683694" w:rsidRPr="009342F9" w:rsidRDefault="00683694" w:rsidP="00FC79C1">
      <w:pPr>
        <w:spacing w:after="0" w:line="240" w:lineRule="auto"/>
        <w:jc w:val="both"/>
        <w:rPr>
          <w:rFonts w:ascii="Arial" w:eastAsia="Times New Roman" w:hAnsi="Arial" w:cs="Arial"/>
          <w:color w:val="000000"/>
          <w:lang w:eastAsia="es-CO"/>
        </w:rPr>
      </w:pPr>
    </w:p>
    <w:p w14:paraId="273DB7A5" w14:textId="43DBCA10"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Por subarriendo del inmueble sobre el que se aplica el subsidio.  </w:t>
      </w:r>
    </w:p>
    <w:p w14:paraId="61E3997C" w14:textId="77777777" w:rsidR="00683694" w:rsidRPr="009342F9" w:rsidRDefault="00683694" w:rsidP="00FC79C1">
      <w:pPr>
        <w:spacing w:after="0" w:line="240" w:lineRule="auto"/>
        <w:jc w:val="both"/>
        <w:rPr>
          <w:rFonts w:ascii="Arial" w:eastAsia="Times New Roman" w:hAnsi="Arial" w:cs="Arial"/>
          <w:color w:val="000000"/>
          <w:lang w:eastAsia="es-CO"/>
        </w:rPr>
      </w:pPr>
    </w:p>
    <w:p w14:paraId="05BB0C76" w14:textId="7384036F"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Cuando el hogar incurra en mora de al menos tres (3) meses en el giro del aporte y/o del porcentaje del canon a su cargo o efectúe retiros del producto financiero en donde se recauden los recursos del aporte. No obstante lo anterior, Fonvivienda podrá ordenar la suspensión del giro del subsidio al canon, cuando se percate que el hogar no ha girado el valor correspondiente a su aporte y/o el porcentaje del canon a su cargo dentro de los plazos establecidos en el respectivo contrato de arrendamiento o de arrendamiento con opción de compra, todo lo anterior, sin perjuicio de que opere la garantía a la que se refiere el artículo 2.1.1.6.2.2 del presente decreto.  </w:t>
      </w:r>
    </w:p>
    <w:p w14:paraId="2A84ADEA" w14:textId="77777777" w:rsidR="00683694" w:rsidRPr="009342F9" w:rsidRDefault="00683694" w:rsidP="00FC79C1">
      <w:pPr>
        <w:spacing w:after="0" w:line="240" w:lineRule="auto"/>
        <w:jc w:val="both"/>
        <w:rPr>
          <w:rFonts w:ascii="Arial" w:eastAsia="Times New Roman" w:hAnsi="Arial" w:cs="Arial"/>
          <w:color w:val="000000"/>
          <w:lang w:eastAsia="es-CO"/>
        </w:rPr>
      </w:pPr>
    </w:p>
    <w:p w14:paraId="73D9C456" w14:textId="3F10B5C3"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 Por incumplimiento del contrato de arrendamiento o de arrendamiento con opción de compra que dé lugar a su terminación.  </w:t>
      </w:r>
    </w:p>
    <w:p w14:paraId="7F19C5D0" w14:textId="77777777" w:rsidR="00683694" w:rsidRPr="009342F9" w:rsidRDefault="00683694" w:rsidP="00FC79C1">
      <w:pPr>
        <w:spacing w:after="0" w:line="240" w:lineRule="auto"/>
        <w:jc w:val="both"/>
        <w:rPr>
          <w:rFonts w:ascii="Arial" w:eastAsia="Times New Roman" w:hAnsi="Arial" w:cs="Arial"/>
          <w:color w:val="000000"/>
          <w:lang w:eastAsia="es-CO"/>
        </w:rPr>
      </w:pPr>
    </w:p>
    <w:p w14:paraId="044DFD4C" w14:textId="1AC6C3D0"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Cuando haya lugar a la restitución del subsidio familiar de vivienda otorgado, esta se hará indexada con la variación del índice de Precios al Consumidor, desde la fecha en que se realizó el último desembolso hasta la fecha en que efectivamente se realice el pago del valor a restituir, en la cuenta indicada por la respectiva entidad otorgante.  </w:t>
      </w:r>
    </w:p>
    <w:p w14:paraId="5652B0CB" w14:textId="77777777" w:rsidR="00683694" w:rsidRPr="009342F9" w:rsidRDefault="00683694" w:rsidP="00FC79C1">
      <w:pPr>
        <w:spacing w:after="0" w:line="240" w:lineRule="auto"/>
        <w:jc w:val="both"/>
        <w:rPr>
          <w:rFonts w:ascii="Arial" w:eastAsia="Times New Roman" w:hAnsi="Arial" w:cs="Arial"/>
          <w:color w:val="000000"/>
          <w:lang w:eastAsia="es-CO"/>
        </w:rPr>
      </w:pPr>
    </w:p>
    <w:p w14:paraId="3EFB0F5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Cuando se presente alguna de las causales contempladas para la restitución del subsidio, se solicitará al hogar que emita las aclaraciones del caso debidamente soportadas. Si dentro del plazo establecido por la entidad otorgante del subsidio, no se efectúan las aclaraciones del caso o persisten las causales para la restitución del subsidio, esta procederá a revocar la asignación del subsidio y a ordenar la restitución del mismo previo el agotamiento del proceso administrativo sancionatorio establecido en el Título III Capítulo III de la Ley 1437 de 2011, caso en el cual se iniciarán las acciones judiciales o extrajudiciales tendientes a la recuperación efectiva de dichos recursos.  </w:t>
      </w:r>
    </w:p>
    <w:p w14:paraId="4089834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67E3DD7" w14:textId="77777777" w:rsidR="00FC79C1" w:rsidRPr="009342F9" w:rsidRDefault="00FC79C1" w:rsidP="00FC79C1">
      <w:pPr>
        <w:spacing w:after="0" w:line="240" w:lineRule="auto"/>
        <w:jc w:val="both"/>
        <w:rPr>
          <w:rFonts w:ascii="Arial" w:eastAsia="Times New Roman" w:hAnsi="Arial" w:cs="Arial"/>
          <w:color w:val="000000"/>
          <w:lang w:eastAsia="es-CO"/>
        </w:rPr>
      </w:pPr>
    </w:p>
    <w:p w14:paraId="6E33D9EE" w14:textId="77777777" w:rsidR="00FC79C1" w:rsidRPr="009342F9" w:rsidRDefault="00FC79C1" w:rsidP="00683694">
      <w:pPr>
        <w:spacing w:after="0" w:line="240" w:lineRule="auto"/>
        <w:jc w:val="center"/>
        <w:rPr>
          <w:rFonts w:ascii="Arial" w:eastAsia="Times New Roman" w:hAnsi="Arial" w:cs="Arial"/>
          <w:b/>
          <w:bCs/>
          <w:color w:val="000000"/>
          <w:lang w:eastAsia="es-CO"/>
        </w:rPr>
      </w:pPr>
      <w:bookmarkStart w:id="619" w:name="ver_30180443"/>
      <w:bookmarkEnd w:id="619"/>
      <w:r w:rsidRPr="009342F9">
        <w:rPr>
          <w:rFonts w:ascii="Arial" w:eastAsia="Times New Roman" w:hAnsi="Arial" w:cs="Arial"/>
          <w:b/>
          <w:bCs/>
          <w:color w:val="000000"/>
          <w:lang w:eastAsia="es-CO"/>
        </w:rPr>
        <w:t>SECCIÓN 7</w:t>
      </w:r>
    </w:p>
    <w:p w14:paraId="563C8249" w14:textId="77777777" w:rsidR="00FC79C1" w:rsidRPr="009342F9" w:rsidRDefault="00FC79C1" w:rsidP="00683694">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EJERCICIO DE LA OPCIÓN DE COMPRA</w:t>
      </w:r>
    </w:p>
    <w:p w14:paraId="5B118543"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620" w:name="ver_30180444"/>
      <w:bookmarkEnd w:id="620"/>
    </w:p>
    <w:p w14:paraId="4A3254C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2.1.1.6.7.1 Utilización del Aporte del Hogar. A la terminación de la etapa de arrendamiento objeto de subsidio, el hogar podrá optar por adquirir la vivienda objeto de arrendamiento o una diferente, para lo cual podrá hacer uso de los recursos de su aporte que no hayan sido desembolsados en el ejercicio de las garantías constituidas por el hogar para respaldar el cumplimiento de sus obligaciones.  </w:t>
      </w:r>
    </w:p>
    <w:p w14:paraId="6F6A6B10"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621" w:name="ver_30180445"/>
      <w:bookmarkEnd w:id="621"/>
    </w:p>
    <w:p w14:paraId="609A40F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2.1.1.6.7.2 Normatividad aplicable al proceso de asignación del subsidio de adquisición. En el proceso de adquisición de la vivienda, el hogar que haya sido beneficiario del subsidio en la etapa de arrendamiento, podrá ser beneficiario de la cobertura a la tasa de interés y podrá postularse a las modalidades y programas de asignación del subsidio familiar de vivienda incluido </w:t>
      </w:r>
      <w:r w:rsidRPr="009342F9">
        <w:rPr>
          <w:rFonts w:ascii="Arial" w:eastAsia="Times New Roman" w:hAnsi="Arial" w:cs="Arial"/>
          <w:color w:val="000000"/>
          <w:lang w:eastAsia="es-CO"/>
        </w:rPr>
        <w:lastRenderedPageBreak/>
        <w:t>el otorgado por las Cajas de Compensación Familiar, que se encuentren vigentes en ese momento. </w:t>
      </w:r>
    </w:p>
    <w:p w14:paraId="18BB433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30D3AC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todo caso, el hogar deberá cumplir con los requisitos que se establezcan para el acceso a la cobertura a la tasa de interés, así como los relacionados con la modalidad o programa de asignación del subsidio familiar de vivienda destinado a la adquisición del inmueble, vigentes al momento de efectuar su postulación a dicha modalidad. </w:t>
      </w:r>
    </w:p>
    <w:p w14:paraId="44A38421"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622" w:name="ver_30180446"/>
      <w:bookmarkEnd w:id="622"/>
    </w:p>
    <w:p w14:paraId="5010C03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2.1.1.6.7.3 Requisitos de la vivienda. Cuando en la modalidad o programa de asignación del subsidio familiar de vivienda destinado a la adquisición de la vivienda escogida por el hogar, la entidad otorgante del subsidio sea Fonvivienda y/o las Cajas de Compensación Familiar, y las normas que regulan la modalidad o programa establezcan como requisito para la aplicación del subsidio de adquisición, que la vivienda sea nueva, podrá aplicarse el subsidio de adquisición excepcionalmente sobre una vivienda usada, siempre y cuando dicho inmueble haya sido nuevo al momento de su primera postulación al programa Semillero de Propietarios. Lo establecido en este artículo aplica igualmente para la cobertura a la tasa de interés. </w:t>
      </w:r>
    </w:p>
    <w:p w14:paraId="18982BC2"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623" w:name="ver_30180447"/>
      <w:bookmarkEnd w:id="623"/>
    </w:p>
    <w:p w14:paraId="20D36BB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2.1.1.6.7.4 Valor de la vivienda. Cuando al momento de la adquisición, por efectos de la valorización, el inmueble que fue objeto del contrato de arrendamiento con opción de compra tenga un precio superior al límite establecido para el tipo de vivienda al que se dirija el subsidio de adquisición, y la entidad otorgante del mismo sea Fonvivienda y/o las Cajas de Compensación Familiar, este podrá ser aplicado excepcionalmente sobre esa unidad de vivienda siempre y cuando el avalúo comercial en salarios mínimos legales mensuales vigentes al momento de la asignación del subsidio aplicado al canon, se encuentre dentro del rango establecido en las normas que regulen el acceso al subsidio para adquisición. </w:t>
      </w:r>
    </w:p>
    <w:p w14:paraId="69D76AA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8242E9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cualquier caso, la valorización de la vivienda no podrá superar el 15% nominal con respecto al avalúo inicial para efecto del otorgamiento del subsidio de adquisición. </w:t>
      </w:r>
    </w:p>
    <w:p w14:paraId="04FF208E"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624" w:name="ver_30180464"/>
      <w:bookmarkEnd w:id="624"/>
    </w:p>
    <w:p w14:paraId="4A9091D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2.1.1.6.7.5 Adquisición Anticipada. El hogar beneficiario podrá optar por adquirir el inmueble antes del vencimiento del término por el cual fue asignado el subsidio al canon; lo anterior sin perjuicio de la responsabilidad que le asista en el marco del contrato de arrendamiento o arrendamiento con opción de compra suscrito con el gestor inmobiliario. En caso de optar por la adquisición anticipada, la opción de compra solo podrá ejercerse una vez se haya dado por terminado el contrato de arrendamiento o de arrendamiento con opción de compra. </w:t>
      </w:r>
    </w:p>
    <w:p w14:paraId="1497BC3A" w14:textId="77777777" w:rsidR="0021587D" w:rsidRDefault="0021587D" w:rsidP="00FC79C1">
      <w:pPr>
        <w:spacing w:after="0" w:line="240" w:lineRule="auto"/>
        <w:jc w:val="both"/>
        <w:rPr>
          <w:rFonts w:ascii="Arial" w:eastAsia="Times New Roman" w:hAnsi="Arial" w:cs="Arial"/>
          <w:color w:val="000000"/>
          <w:lang w:eastAsia="es-CO"/>
        </w:rPr>
      </w:pPr>
      <w:bookmarkStart w:id="625" w:name="ver_30180722"/>
      <w:bookmarkEnd w:id="625"/>
    </w:p>
    <w:p w14:paraId="697EDC5F" w14:textId="00533EAA"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2.1.1.6.7.6. Adquisición a través del Programa “Mi Casa Ya”. En los casos en que el hogar beneficiario adelante el proceso de asignación del subsidio de adquisición a través del programa “Mi Casa Ya”, los trámites respectivos podrán adelantarse durante la etapa de arrendamiento. Así mismo, solamente para los beneficiarios del programa “Semillero de Propietarios”, el desembolso del subsidio familiar de vivienda de que trata el inciso tercero del artículo 2.1.1.4.1.5.2 del presente decreto podrá hacerse con anterioridad al desembolso del crédito hipotecario o al inicio del contrato de leasing habitacional, sin embargo, este desembolso no podrá hacerse con más de seis (6) meses de anterioridad a la terminación de la etapa de arrendamiento.  </w:t>
      </w:r>
    </w:p>
    <w:p w14:paraId="42D91D5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E46D9D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Cuando el subsidio dirigido al arrendamiento haya sido aplicado sobre una vivienda nueva en el marco de un contrato de arrendamiento con opción de compra y el hogar beneficiario no ejerza la opción de adquisición a su favor sobre dicho inmueble, este no podrá ser beneficiario del subsidio de adquisición de vivienda del programa “Mi Casa Ya” por un lapso de un año contado desde la terminación de la etapa de arrendamiento subsidiado, excepto cuando el no ejercicio de </w:t>
      </w:r>
      <w:r w:rsidRPr="009342F9">
        <w:rPr>
          <w:rFonts w:ascii="Arial" w:eastAsia="Times New Roman" w:hAnsi="Arial" w:cs="Arial"/>
          <w:color w:val="000000"/>
          <w:lang w:eastAsia="es-CO"/>
        </w:rPr>
        <w:lastRenderedPageBreak/>
        <w:t>la opción de compra se encuentre sustentado en razones de fuerza mayor o falta de cierre financiero lo cual deberá estar certificado por la no asignación del crédito hipotecario o la operación de leasing habitacional por parte de la respectiva entidad financiera. </w:t>
      </w:r>
    </w:p>
    <w:p w14:paraId="3DE04D03"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626" w:name="ver_30180723"/>
      <w:bookmarkEnd w:id="626"/>
    </w:p>
    <w:p w14:paraId="60F750B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2.1.1.6.7.7. Responsabilidad del hogar beneficiario. En los casos en que no se efectúe la adquisición de la vivienda al vencimiento del término por el cual fue asignado el subsidio familiar de vivienda de que trata el presente capítulo, corresponderá al hogar beneficiario, en caso de continuidad del contrato de arrendamiento, asumir el pago total del canon, para lo cual podrá hacer uso de los recursos del aporte que no hayan sido desembolsados en el ejercicio de las garantías constituidas por el hogar para respaldar el cumplimiento de sus obligaciones. </w:t>
      </w:r>
    </w:p>
    <w:p w14:paraId="095FE862" w14:textId="77777777" w:rsidR="00683694" w:rsidRPr="009342F9" w:rsidRDefault="00683694" w:rsidP="00FC79C1">
      <w:pPr>
        <w:spacing w:after="0" w:line="240" w:lineRule="auto"/>
        <w:jc w:val="both"/>
        <w:rPr>
          <w:rFonts w:ascii="Arial" w:eastAsia="Times New Roman" w:hAnsi="Arial" w:cs="Arial"/>
          <w:color w:val="000000"/>
          <w:lang w:eastAsia="es-CO"/>
        </w:rPr>
      </w:pPr>
      <w:bookmarkStart w:id="627" w:name="ver_30180725"/>
      <w:bookmarkEnd w:id="627"/>
    </w:p>
    <w:p w14:paraId="0FBAA673" w14:textId="3D55385C" w:rsidR="00FC79C1" w:rsidRPr="009342F9" w:rsidRDefault="00FC79C1" w:rsidP="00683694">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SECCIÓN 8</w:t>
      </w:r>
    </w:p>
    <w:p w14:paraId="06904D24" w14:textId="77777777" w:rsidR="00FC79C1" w:rsidRPr="009342F9" w:rsidRDefault="00FC79C1" w:rsidP="00683694">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Otras Disposiciones</w:t>
      </w:r>
    </w:p>
    <w:p w14:paraId="67F6C0B1" w14:textId="77777777" w:rsidR="008A536D" w:rsidRDefault="008A536D" w:rsidP="00FC79C1">
      <w:pPr>
        <w:spacing w:after="0" w:line="240" w:lineRule="auto"/>
        <w:jc w:val="both"/>
        <w:rPr>
          <w:rFonts w:ascii="Arial" w:eastAsia="Times New Roman" w:hAnsi="Arial" w:cs="Arial"/>
          <w:color w:val="000000"/>
          <w:lang w:eastAsia="es-CO"/>
        </w:rPr>
      </w:pPr>
      <w:bookmarkStart w:id="628" w:name="ver_30180727"/>
      <w:bookmarkEnd w:id="628"/>
    </w:p>
    <w:p w14:paraId="6A9EA0DB" w14:textId="481EFDAD"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2.1.1.6.8.1 Revisión de la consistencia y/o veracidad de la información.  </w:t>
      </w:r>
    </w:p>
    <w:p w14:paraId="475E0F08" w14:textId="77777777" w:rsidR="00683694" w:rsidRPr="009342F9" w:rsidRDefault="00683694" w:rsidP="00FC79C1">
      <w:pPr>
        <w:spacing w:after="0" w:line="240" w:lineRule="auto"/>
        <w:jc w:val="both"/>
        <w:rPr>
          <w:rFonts w:ascii="Arial" w:eastAsia="Times New Roman" w:hAnsi="Arial" w:cs="Arial"/>
          <w:color w:val="000000"/>
          <w:lang w:eastAsia="es-CO"/>
        </w:rPr>
      </w:pPr>
    </w:p>
    <w:p w14:paraId="628DD1FD" w14:textId="7E7388CF"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Fonvivienda o quien este indique, tendrá la facultad de revisar en cualquier momento la consistencia y/o veracidad de la información suministrada por los postulantes. Si se determina que existe imprecisión o falta de veracidad en los datos entregados o en las condiciones o requisitos del hogar, se le solicitará que emita las aclaraciones del caso. Si dentro del plazo establecido por la entidad otorgante no se subsanan las imprecisiones o se aclaran las presuntas irregularidades que se presenten, se rechazarán los hogares respecto de los cuales se hayan advertido las inconsistencias.  </w:t>
      </w:r>
    </w:p>
    <w:p w14:paraId="31546469" w14:textId="77777777" w:rsidR="00683694" w:rsidRPr="009342F9" w:rsidRDefault="00683694" w:rsidP="00FC79C1">
      <w:pPr>
        <w:spacing w:after="0" w:line="240" w:lineRule="auto"/>
        <w:jc w:val="both"/>
        <w:rPr>
          <w:rFonts w:ascii="Arial" w:eastAsia="Times New Roman" w:hAnsi="Arial" w:cs="Arial"/>
          <w:color w:val="000000"/>
          <w:lang w:eastAsia="es-CO"/>
        </w:rPr>
      </w:pPr>
    </w:p>
    <w:p w14:paraId="75BDCE5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Si las imprecisiones o inconsistencias se percatan con posterioridad a la asignación del subsidio, Fonvivienda podrá dar inicio al procedimiento administrativo sancionatorio establecido en el Título III, Capítulo III de la Ley 1437 de 2011, caso en el cual se iniciarán las acciones judiciales o extrajudiciales tendientes a la recuperación efectiva de dichos recursos.  </w:t>
      </w:r>
    </w:p>
    <w:p w14:paraId="32C19418" w14:textId="57BDBABC"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629" w:name="ver_30180729"/>
      <w:bookmarkEnd w:id="629"/>
    </w:p>
    <w:p w14:paraId="475B230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2.1.1.6.8.2 Responsabilidad de la entidad otorgante. Fonvivienda no será parte de los negocios jurídicos que realice el hogar beneficiario con el gestor inmobiliario ni de aquellos de este con el propietario del inmueble, en caso de presentarse. </w:t>
      </w:r>
    </w:p>
    <w:p w14:paraId="62F9533D" w14:textId="77777777" w:rsidR="008A536D" w:rsidRDefault="008A536D" w:rsidP="00FC79C1">
      <w:pPr>
        <w:spacing w:after="0" w:line="240" w:lineRule="auto"/>
        <w:jc w:val="both"/>
        <w:rPr>
          <w:rFonts w:ascii="Arial" w:eastAsia="Times New Roman" w:hAnsi="Arial" w:cs="Arial"/>
          <w:color w:val="000000"/>
          <w:lang w:eastAsia="es-CO"/>
        </w:rPr>
      </w:pPr>
      <w:bookmarkStart w:id="630" w:name="ver_30180730"/>
      <w:bookmarkEnd w:id="630"/>
    </w:p>
    <w:p w14:paraId="5423CF23" w14:textId="004B4742"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2.1.1.6.8.3 Aplicación de la línea de redescuento con tasa compensada. Las entidades territoriales, las entidades públicas y las entidades descentralizadas del orden nacional y territorial, así como las entidades de derecho privado que realicen inversiones relacionadas con proyectos de vivienda de interés social y prioritario para ser destinados al programa de qué trata el presente capítulo, podrán ser beneficiarías de la línea de redescuento con tasa compensada de la Financiera de Desarrollo Territorial Findeter de que trata el Capítulo 2, Título 7, Parte 6, Libro 2 del Decreto número 1068 de 2015, en los términos que establezca el Ministerio de Vivienda, Ciudad y Territorio en relación con los requisitos y condiciones que deben cumplir tales proyectos, de conformidad con la disponibilidad presupuestal con la que cuente la línea de redescuento con tasa compensada en la respectiva vigencia. </w:t>
      </w:r>
    </w:p>
    <w:p w14:paraId="01C67B36"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631" w:name="ver_30180732"/>
      <w:bookmarkEnd w:id="631"/>
    </w:p>
    <w:p w14:paraId="3671732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2.1.1.6.8.4. Ajuste al marco fiscal. La financiación del Subsidio Familiar de Vivienda aplicable a contratos de arrendamiento y arrendamiento con opción de compra, así como los demás costos en que incurra Fonvivienda asociados a la implementación del programa, estará sujeta a la disponibilidad de recursos del Marco Fiscal de Mediano Plazo y el Marco de Gasto de Mediano Plazo del sector vivienda. </w:t>
      </w:r>
    </w:p>
    <w:p w14:paraId="4E8D6CB6" w14:textId="77777777" w:rsidR="00683694" w:rsidRDefault="00683694" w:rsidP="00FC79C1">
      <w:pPr>
        <w:spacing w:after="0" w:line="240" w:lineRule="auto"/>
        <w:jc w:val="both"/>
        <w:rPr>
          <w:rFonts w:ascii="Arial" w:eastAsia="Times New Roman" w:hAnsi="Arial" w:cs="Arial"/>
          <w:color w:val="000000"/>
          <w:lang w:eastAsia="es-CO"/>
        </w:rPr>
      </w:pPr>
      <w:bookmarkStart w:id="632" w:name="ver_30189912"/>
      <w:bookmarkEnd w:id="632"/>
    </w:p>
    <w:p w14:paraId="70089488" w14:textId="77777777" w:rsidR="008A536D" w:rsidRDefault="008A536D" w:rsidP="00FC79C1">
      <w:pPr>
        <w:spacing w:after="0" w:line="240" w:lineRule="auto"/>
        <w:jc w:val="both"/>
        <w:rPr>
          <w:rFonts w:ascii="Arial" w:eastAsia="Times New Roman" w:hAnsi="Arial" w:cs="Arial"/>
          <w:color w:val="000000"/>
          <w:lang w:eastAsia="es-CO"/>
        </w:rPr>
      </w:pPr>
    </w:p>
    <w:p w14:paraId="62CE4B71" w14:textId="77777777" w:rsidR="008A536D" w:rsidRDefault="008A536D" w:rsidP="00683694">
      <w:pPr>
        <w:spacing w:after="0" w:line="240" w:lineRule="auto"/>
        <w:jc w:val="center"/>
        <w:rPr>
          <w:rFonts w:ascii="Arial" w:eastAsia="Times New Roman" w:hAnsi="Arial" w:cs="Arial"/>
          <w:b/>
          <w:bCs/>
          <w:color w:val="000000"/>
          <w:lang w:eastAsia="es-CO"/>
        </w:rPr>
      </w:pPr>
    </w:p>
    <w:p w14:paraId="394A4D82" w14:textId="77777777" w:rsidR="008A536D" w:rsidRDefault="008A536D" w:rsidP="00683694">
      <w:pPr>
        <w:spacing w:after="0" w:line="240" w:lineRule="auto"/>
        <w:jc w:val="center"/>
        <w:rPr>
          <w:rFonts w:ascii="Arial" w:eastAsia="Times New Roman" w:hAnsi="Arial" w:cs="Arial"/>
          <w:b/>
          <w:bCs/>
          <w:color w:val="000000"/>
          <w:lang w:eastAsia="es-CO"/>
        </w:rPr>
      </w:pPr>
    </w:p>
    <w:p w14:paraId="08237BD0" w14:textId="77777777" w:rsidR="008A536D" w:rsidRDefault="008A536D" w:rsidP="00683694">
      <w:pPr>
        <w:spacing w:after="0" w:line="240" w:lineRule="auto"/>
        <w:jc w:val="center"/>
        <w:rPr>
          <w:rFonts w:ascii="Arial" w:eastAsia="Times New Roman" w:hAnsi="Arial" w:cs="Arial"/>
          <w:b/>
          <w:bCs/>
          <w:color w:val="000000"/>
          <w:lang w:eastAsia="es-CO"/>
        </w:rPr>
      </w:pPr>
    </w:p>
    <w:p w14:paraId="2048B383" w14:textId="728C36E9" w:rsidR="00FC79C1" w:rsidRPr="009342F9" w:rsidRDefault="00FC79C1" w:rsidP="00683694">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“CAPÍTULO 7</w:t>
      </w:r>
    </w:p>
    <w:p w14:paraId="201B6369" w14:textId="77777777" w:rsidR="00FC79C1" w:rsidRPr="009342F9" w:rsidRDefault="00FC79C1" w:rsidP="00683694">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Subsidio familiar de vivienda en modalidad de mejoramiento en el marco del programa “casa digna, vida digna”</w:t>
      </w:r>
    </w:p>
    <w:p w14:paraId="55C17D2C"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633" w:name="ver_30189913"/>
      <w:bookmarkEnd w:id="633"/>
    </w:p>
    <w:p w14:paraId="7AEBEC8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2.1.1.7.1. Aplicación. Lo dispuesto en el presente capítulo aplica solamente a los procesos de asignación y ejecución del subsidio familiar de vivienda para áreas urbanas en la modalidad de mejoramiento a ser otorgado por Fonvivienda, en el marco del Programa denominado “Casa Digna, Vida Digna”.  </w:t>
      </w:r>
    </w:p>
    <w:p w14:paraId="64A038D2"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634" w:name="ver_30189914"/>
      <w:bookmarkEnd w:id="634"/>
      <w:r w:rsidRPr="009342F9">
        <w:rPr>
          <w:rFonts w:ascii="Arial" w:eastAsia="Times New Roman" w:hAnsi="Arial" w:cs="Arial"/>
          <w:color w:val="000000"/>
          <w:lang w:eastAsia="es-CO"/>
        </w:rPr>
        <w:t>  </w:t>
      </w:r>
    </w:p>
    <w:p w14:paraId="71B0CCAB" w14:textId="22905BF5"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2.1.1.7.2. Definición de los departamentos, municipios y/o regiones en que se ejecuta el programa. El Ministerio de Vivienda, Ciudad y Territorio definirá mediante acto administrativo los departamentos, municipios y/o regiones en los cuales se desarrollarán las intervenciones de que trata el presente capítulo.  </w:t>
      </w:r>
    </w:p>
    <w:p w14:paraId="172497AE" w14:textId="77777777" w:rsidR="00683694" w:rsidRPr="009342F9" w:rsidRDefault="00683694" w:rsidP="00FC79C1">
      <w:pPr>
        <w:spacing w:after="0" w:line="240" w:lineRule="auto"/>
        <w:jc w:val="both"/>
        <w:rPr>
          <w:rFonts w:ascii="Arial" w:eastAsia="Times New Roman" w:hAnsi="Arial" w:cs="Arial"/>
          <w:color w:val="000000"/>
          <w:lang w:eastAsia="es-CO"/>
        </w:rPr>
      </w:pPr>
    </w:p>
    <w:p w14:paraId="26A8AA0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dicha reglamentación deberán incluirse porcentajes mínimos de cupos para la asignación de subsidios a hogares con criterios de enfoque diferencial dentro de los que deberán estar incluidos como mínimo la población víctima de desplazamiento forzado, las mujeres cabeza de familia de los estratos más pobres de la población, las trabajadoras del sector informal y las madres comunitarias.  </w:t>
      </w:r>
    </w:p>
    <w:p w14:paraId="508CB9A3"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635" w:name="ver_30189915"/>
      <w:bookmarkEnd w:id="635"/>
    </w:p>
    <w:p w14:paraId="41BA7DA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2.1.1.7.3. Operación del Programa. Para la ejecución de las intervenciones de que trata este capítulo, Fonvivienda celebrará en condición de fideicomitente, un contrato de fiducia mercantil para que el patrimonio autónomo que se constituya administre los recursos del subsidio, y a través del cual podrá contratarse a la entidad encargada de la asistencia técnica y operación del programa. Las condiciones de postulación de beneficiarios, asignación del subsidio, participación de entidades territoriales y operación del programa, serán definidas por el Ministerio de Vivienda, Ciudad y Territorio mediante acto administrativo.  </w:t>
      </w:r>
    </w:p>
    <w:p w14:paraId="7C892C21"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636" w:name="ver_30189916"/>
      <w:bookmarkEnd w:id="636"/>
    </w:p>
    <w:p w14:paraId="356EE2F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2.1.1.7.4. Participación de las entidades territoriales. Las entidades territoriales podrán postular a los potenciales beneficiarios del subsidio ante Fonvivienda, a través de la identificación y postulación de las zonas y las unidades de vivienda habitadas por estos. Adicionalmente, podrán aportar recursos directamente al patrimonio autónomo que se constituya para la ejecución del programa de acuerdo con los porcentajes de cofinanciación que defina el Ministerio de Vivienda, Ciudad y Territorio.  </w:t>
      </w:r>
    </w:p>
    <w:p w14:paraId="29609609"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637" w:name="ver_30189917"/>
      <w:bookmarkEnd w:id="637"/>
    </w:p>
    <w:p w14:paraId="79689A8D" w14:textId="3C3256F6" w:rsidR="00FC79C1"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2.1.1.7.5. Beneficiarios del subsidio. El subsidio familiar de vivienda en la modalidad de mejoramiento que se otorgue en el marco del Programa “Casa Digna, Vida Digna” podrá beneficiar a propietarios, o a quienes demuestren posesión de un inmueble con al menos cinco (5) años de anterioridad a la postulación del subsidio y a los demás beneficiarios y ocupantes a los que se refiere la definición de la modalidad de subsidio de mejoramiento de vivienda contenida en el artículo 2.1.1.1.1.1.2 del Decreto 1077 de 2015.  </w:t>
      </w:r>
    </w:p>
    <w:p w14:paraId="723EE039" w14:textId="77777777" w:rsidR="00D25E1B" w:rsidRPr="009342F9" w:rsidRDefault="00D25E1B" w:rsidP="00FC79C1">
      <w:pPr>
        <w:spacing w:after="0" w:line="240" w:lineRule="auto"/>
        <w:jc w:val="both"/>
        <w:rPr>
          <w:rFonts w:ascii="Arial" w:eastAsia="Times New Roman" w:hAnsi="Arial" w:cs="Arial"/>
          <w:color w:val="000000"/>
          <w:lang w:eastAsia="es-CO"/>
        </w:rPr>
      </w:pPr>
    </w:p>
    <w:p w14:paraId="3CFE17C5" w14:textId="71DBA13C"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Cuando se trate de propietarios, el título de propiedad de la vivienda a </w:t>
      </w:r>
      <w:proofErr w:type="gramStart"/>
      <w:r w:rsidRPr="009342F9">
        <w:rPr>
          <w:rFonts w:ascii="Arial" w:eastAsia="Times New Roman" w:hAnsi="Arial" w:cs="Arial"/>
          <w:color w:val="000000"/>
          <w:lang w:eastAsia="es-CO"/>
        </w:rPr>
        <w:t>mejorar,</w:t>
      </w:r>
      <w:proofErr w:type="gramEnd"/>
      <w:r w:rsidRPr="009342F9">
        <w:rPr>
          <w:rFonts w:ascii="Arial" w:eastAsia="Times New Roman" w:hAnsi="Arial" w:cs="Arial"/>
          <w:color w:val="000000"/>
          <w:lang w:eastAsia="es-CO"/>
        </w:rPr>
        <w:t xml:space="preserve"> debe estar inscrito en la Oficina de Registro de Instrumentos Públicos a nombre de cualquiera de los miembros del hogar postulante, quienes deben habitar en la vivienda. Para acreditar la propiedad del inmueble se debe anexar certificado de libertad y tradición, con fecha de expedición no mayor a treinta (30) días.  </w:t>
      </w:r>
    </w:p>
    <w:p w14:paraId="11C56F63" w14:textId="77777777" w:rsidR="00683694" w:rsidRPr="009342F9" w:rsidRDefault="00683694" w:rsidP="00FC79C1">
      <w:pPr>
        <w:spacing w:after="0" w:line="240" w:lineRule="auto"/>
        <w:jc w:val="both"/>
        <w:rPr>
          <w:rFonts w:ascii="Arial" w:eastAsia="Times New Roman" w:hAnsi="Arial" w:cs="Arial"/>
          <w:color w:val="000000"/>
          <w:lang w:eastAsia="es-CO"/>
        </w:rPr>
      </w:pPr>
    </w:p>
    <w:p w14:paraId="7AE2C6D7" w14:textId="5E4EF4B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Cuando se trate de poseedores, sobre el inmueble no debe cursar proceso reivindicatorio, para lo cual debe aportarse el respectivo certificado de tradición y libertad con fecha de expedición no mayor a treinta (30) días, contados desde la entrega de documentos por parte del hogar a quien se defina en el manual operativo del programa, a su vez, deberá demostrarse la posesión ininterrumpida, pacífica y quieta del inmueble, en los términos de los artículos 762 y 764 del Código Civil, que podrá acreditarse a través de alguno de los siguientes documentos:  </w:t>
      </w:r>
    </w:p>
    <w:p w14:paraId="160F02D3" w14:textId="77777777" w:rsidR="00683694" w:rsidRPr="009342F9" w:rsidRDefault="00683694" w:rsidP="00FC79C1">
      <w:pPr>
        <w:spacing w:after="0" w:line="240" w:lineRule="auto"/>
        <w:jc w:val="both"/>
        <w:rPr>
          <w:rFonts w:ascii="Arial" w:eastAsia="Times New Roman" w:hAnsi="Arial" w:cs="Arial"/>
          <w:color w:val="000000"/>
          <w:lang w:eastAsia="es-CO"/>
        </w:rPr>
      </w:pPr>
    </w:p>
    <w:p w14:paraId="68F323FC" w14:textId="58EC132C"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 Escrito aportado por el hogar que se entenderá suscrito bajo la gravedad del juramento, en el que declare que ejerce la posesión regular del bien inmueble de manera quieta, pública, pacífica e ininterrumpida por un término mínimo de cinco (5) años, y que respecto el bien inmueble no está en curso proceso reivindicatorio.  </w:t>
      </w:r>
    </w:p>
    <w:p w14:paraId="73A85380" w14:textId="77777777" w:rsidR="00683694" w:rsidRPr="009342F9" w:rsidRDefault="00683694" w:rsidP="00FC79C1">
      <w:pPr>
        <w:spacing w:after="0" w:line="240" w:lineRule="auto"/>
        <w:jc w:val="both"/>
        <w:rPr>
          <w:rFonts w:ascii="Arial" w:eastAsia="Times New Roman" w:hAnsi="Arial" w:cs="Arial"/>
          <w:color w:val="000000"/>
          <w:lang w:eastAsia="es-CO"/>
        </w:rPr>
      </w:pPr>
    </w:p>
    <w:p w14:paraId="595C9880" w14:textId="77777777" w:rsidR="00683694"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b. Declaración del </w:t>
      </w:r>
      <w:proofErr w:type="gramStart"/>
      <w:r w:rsidRPr="009342F9">
        <w:rPr>
          <w:rFonts w:ascii="Arial" w:eastAsia="Times New Roman" w:hAnsi="Arial" w:cs="Arial"/>
          <w:color w:val="000000"/>
          <w:lang w:eastAsia="es-CO"/>
        </w:rPr>
        <w:t>Presidente</w:t>
      </w:r>
      <w:proofErr w:type="gramEnd"/>
      <w:r w:rsidRPr="009342F9">
        <w:rPr>
          <w:rFonts w:ascii="Arial" w:eastAsia="Times New Roman" w:hAnsi="Arial" w:cs="Arial"/>
          <w:color w:val="000000"/>
          <w:lang w:eastAsia="es-CO"/>
        </w:rPr>
        <w:t xml:space="preserve"> de la Junta de Acción Comunal del barrio en la que quede de manifiesto que el hogar ha ejercido la posesión regular del inmueble por un término mínimo de cinco (5) años, y que respecto el bien inmueble no está en curso proceso reivindicatorio. </w:t>
      </w:r>
    </w:p>
    <w:p w14:paraId="52B85A61" w14:textId="462D77E0"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570214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Además de lo anterior, se podrán aportar todos o alguno de los siguientes soportes, los cuales se analizarán para demostrar una sana posesión: pago de servicios públicos, pago de impuestos o contribuciones y valorizaciones, acciones o mejoras sobre el inmueble.  </w:t>
      </w:r>
    </w:p>
    <w:p w14:paraId="6AE8560A"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638" w:name="ver_30189918"/>
      <w:bookmarkEnd w:id="638"/>
    </w:p>
    <w:p w14:paraId="6E39B12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2.1.1.7.6. Acceso al Programa con subsidio vigente y sin aplicar. Quien haya sido beneficiario de un subsidio familiar de vivienda asignado por Fonvivienda en la modalidad de mejoramiento de vivienda o mejoramiento para vivienda saludable que se encuentre vigente y sin aplicar, podrá autorizar su aplicación bajo el esquema de que trata el presente capítulo y Fonvivienda podrá asignar los recursos necesarios para completar dicho subsidio hasta el valor establecido en el artículo 2.1.1.7.10 del presente decreto.  </w:t>
      </w:r>
    </w:p>
    <w:p w14:paraId="482DE22A"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639" w:name="ver_30189919"/>
      <w:bookmarkEnd w:id="639"/>
    </w:p>
    <w:p w14:paraId="234A415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2.1.1.7.7. Imposibilidad para postular al subsidio. No podrán postularse al subsidio de que trata este capítulo los hogares que sean propietarios o poseedores de una vivienda diferente a la que será objeto de intervención, ni aquellos que hayan sido beneficiarios de un subsidio familiar de vivienda que haya sido efectivamente aplicado, salvo quienes hayan sido beneficiarios del subsidio en la modalidad de arrendamiento, quienes hayan perdido la vivienda por imposibilidad de pago de acuerdo con lo establecido en el artículo 33 de la Ley 546 de 1999, o esta haya resultado afectada o destruida por causas no imputables al hogar beneficiario, o cuando la vivienda en la cual se haya aplicado el subsidio haya resultado totalmente destruida o quedado inhabitable como consecuencia de desastres naturales, calamidades públicas, emergencias, o atentados terroristas, o que haya sido abandonada o despojada en el marco del conflicto armado interno.  </w:t>
      </w:r>
    </w:p>
    <w:p w14:paraId="18786540"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640" w:name="ver_30189920"/>
      <w:bookmarkEnd w:id="640"/>
    </w:p>
    <w:p w14:paraId="5DD0FE0C" w14:textId="50535551"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2.1.1.7.8. Condiciones de las intervenciones de mejoramiento. El subsidio familiar de vivienda en la modalidad de mejoramiento de que trata este capítulo tiene por objeto mejorar las condiciones sanitarias satisfactorias de espacio, servicios públicos y calidad de estructura de las viviendas de los hogares beneficiarios, a través de intervenciones de tipo estructural que pueden incluir obras de mitigación de vulnerabilidad, o mejoras locativas que requieren o no la obtención de permisos o licencias por parte de las autoridades competentes. Estas intervenciones o mejoras locativas están asociadas, prioritariamente, a la habilitación o instalación de baños; lavaderos; cocinas; redes hidráulicas, sanitarias y eléctricas; cubiertas; pisos; reforzamiento estructural, mitigación de vulnerabilidad, ampliaciones y otras condiciones relacionadas con el saneamiento y mejoramiento de la solución habitacional, con el objeto de alcanzar progresivamente las condiciones de habitabilidad de la vivienda.  </w:t>
      </w:r>
    </w:p>
    <w:p w14:paraId="27FCF711" w14:textId="77777777" w:rsidR="00683694" w:rsidRPr="009342F9" w:rsidRDefault="00683694" w:rsidP="00FC79C1">
      <w:pPr>
        <w:spacing w:after="0" w:line="240" w:lineRule="auto"/>
        <w:jc w:val="both"/>
        <w:rPr>
          <w:rFonts w:ascii="Arial" w:eastAsia="Times New Roman" w:hAnsi="Arial" w:cs="Arial"/>
          <w:color w:val="000000"/>
          <w:lang w:eastAsia="es-CO"/>
        </w:rPr>
      </w:pPr>
    </w:p>
    <w:p w14:paraId="35AEFC3C" w14:textId="2E9F1D92"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Parágrafo. Las intervenciones podrán realizarse en barrios susceptibles de ser legalizados, de acuerdo con las disposiciones del Plan de Ordenamiento Territorial respectivo, siempre y cuando se hubiese iniciado el proceso de legalización, ya sea de oficio o por solicitud de los interesados, en los términos del presente decreto. La correspondencia con los planes de ordenamiento territorial deberá ser acreditada por el respectivo alcalde y avalada por el Ministerio de Vivienda, Ciudad y Territorio.  </w:t>
      </w:r>
    </w:p>
    <w:p w14:paraId="293E2E13" w14:textId="77777777" w:rsidR="00683694" w:rsidRPr="009342F9" w:rsidRDefault="00683694" w:rsidP="00FC79C1">
      <w:pPr>
        <w:spacing w:after="0" w:line="240" w:lineRule="auto"/>
        <w:jc w:val="both"/>
        <w:rPr>
          <w:rFonts w:ascii="Arial" w:eastAsia="Times New Roman" w:hAnsi="Arial" w:cs="Arial"/>
          <w:color w:val="000000"/>
          <w:lang w:eastAsia="es-CO"/>
        </w:rPr>
      </w:pPr>
    </w:p>
    <w:p w14:paraId="150F568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El alcalde adicionalmente, deberá certificar (i) que se ha iniciado el proceso de legalización en los términos del presente decreto, (ii) que los barrios cuentan con disponibilidad de servicios públicos domiciliarios, (iii) que los barrios tienen acceso a sistemas formales o alternativos de abastecimiento de agua y de disposición de aguas servidas, (</w:t>
      </w:r>
      <w:proofErr w:type="spellStart"/>
      <w:r w:rsidRPr="009342F9">
        <w:rPr>
          <w:rFonts w:ascii="Arial" w:eastAsia="Times New Roman" w:hAnsi="Arial" w:cs="Arial"/>
          <w:color w:val="000000"/>
          <w:lang w:eastAsia="es-CO"/>
        </w:rPr>
        <w:t>iv</w:t>
      </w:r>
      <w:proofErr w:type="spellEnd"/>
      <w:r w:rsidRPr="009342F9">
        <w:rPr>
          <w:rFonts w:ascii="Arial" w:eastAsia="Times New Roman" w:hAnsi="Arial" w:cs="Arial"/>
          <w:color w:val="000000"/>
          <w:lang w:eastAsia="es-CO"/>
        </w:rPr>
        <w:t>) que los predios no se encuentran ubicados en zonas de alto riesgo no mitigable, (v) que los predios no se encuentran en zonas de protección de los recursos naturales, y, (vi) que dichos predios no se hallan en zonas de reserva de obra pública o de infraestructuras básicas del nivel nacional, regional o municipal ni áreas no aptas para la localización de vivienda de acuerdo con los planes de ordenamiento territorial.  </w:t>
      </w:r>
    </w:p>
    <w:p w14:paraId="477FB24D"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641" w:name="ver_30189921"/>
      <w:bookmarkEnd w:id="641"/>
    </w:p>
    <w:p w14:paraId="08E80234" w14:textId="517A660B"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2.1.1.7.9. Categorización de las intervenciones. </w:t>
      </w:r>
      <w:proofErr w:type="gramStart"/>
      <w:r w:rsidRPr="009342F9">
        <w:rPr>
          <w:rFonts w:ascii="Arial" w:eastAsia="Times New Roman" w:hAnsi="Arial" w:cs="Arial"/>
          <w:color w:val="000000"/>
          <w:lang w:eastAsia="es-CO"/>
        </w:rPr>
        <w:t>Las intervenciones a efectuar</w:t>
      </w:r>
      <w:proofErr w:type="gramEnd"/>
      <w:r w:rsidRPr="009342F9">
        <w:rPr>
          <w:rFonts w:ascii="Arial" w:eastAsia="Times New Roman" w:hAnsi="Arial" w:cs="Arial"/>
          <w:color w:val="000000"/>
          <w:lang w:eastAsia="es-CO"/>
        </w:rPr>
        <w:t xml:space="preserve"> en las viviendas donde se aplique el subsidio familiar de vivienda en la modalidad de mejoramiento de que trata el presente capítulo, se categorizarán de la siguiente manera:  </w:t>
      </w:r>
    </w:p>
    <w:p w14:paraId="5FA99759" w14:textId="77777777" w:rsidR="00683694" w:rsidRPr="009342F9" w:rsidRDefault="00683694" w:rsidP="00FC79C1">
      <w:pPr>
        <w:spacing w:after="0" w:line="240" w:lineRule="auto"/>
        <w:jc w:val="both"/>
        <w:rPr>
          <w:rFonts w:ascii="Arial" w:eastAsia="Times New Roman" w:hAnsi="Arial" w:cs="Arial"/>
          <w:color w:val="000000"/>
          <w:lang w:eastAsia="es-CO"/>
        </w:rPr>
      </w:pPr>
    </w:p>
    <w:p w14:paraId="47A92A48" w14:textId="712CE822" w:rsidR="00FC79C1" w:rsidRDefault="48ABE02E" w:rsidP="00FC79C1">
      <w:pPr>
        <w:spacing w:after="0" w:line="240" w:lineRule="auto"/>
        <w:jc w:val="both"/>
        <w:rPr>
          <w:rFonts w:ascii="Arial" w:eastAsia="Times New Roman" w:hAnsi="Arial" w:cs="Arial"/>
          <w:color w:val="000000"/>
          <w:lang w:eastAsia="es-CO"/>
        </w:rPr>
      </w:pPr>
      <w:r>
        <w:rPr>
          <w:noProof/>
        </w:rPr>
        <w:drawing>
          <wp:inline distT="0" distB="0" distL="0" distR="0" wp14:anchorId="1432F04F" wp14:editId="7FBBBE3D">
            <wp:extent cx="5612130" cy="1700530"/>
            <wp:effectExtent l="0" t="0" r="762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14">
                      <a:extLst>
                        <a:ext uri="{28A0092B-C50C-407E-A947-70E740481C1C}">
                          <a14:useLocalDpi xmlns:a14="http://schemas.microsoft.com/office/drawing/2010/main" val="0"/>
                        </a:ext>
                      </a:extLst>
                    </a:blip>
                    <a:stretch>
                      <a:fillRect/>
                    </a:stretch>
                  </pic:blipFill>
                  <pic:spPr>
                    <a:xfrm>
                      <a:off x="0" y="0"/>
                      <a:ext cx="5612130" cy="1700530"/>
                    </a:xfrm>
                    <a:prstGeom prst="rect">
                      <a:avLst/>
                    </a:prstGeom>
                  </pic:spPr>
                </pic:pic>
              </a:graphicData>
            </a:graphic>
          </wp:inline>
        </w:drawing>
      </w:r>
      <w:r w:rsidR="00FC79C1" w:rsidRPr="3DD719FF">
        <w:rPr>
          <w:rFonts w:ascii="Arial" w:eastAsia="Times New Roman" w:hAnsi="Arial" w:cs="Arial"/>
          <w:color w:val="000000" w:themeColor="text1"/>
          <w:lang w:eastAsia="es-CO"/>
        </w:rPr>
        <w:t> </w:t>
      </w:r>
    </w:p>
    <w:p w14:paraId="62D26340" w14:textId="3C3674AD" w:rsidR="00D25E1B" w:rsidRDefault="00D25E1B" w:rsidP="00FC79C1">
      <w:pPr>
        <w:spacing w:after="0" w:line="240" w:lineRule="auto"/>
        <w:jc w:val="both"/>
        <w:rPr>
          <w:rFonts w:ascii="Arial" w:eastAsia="Times New Roman" w:hAnsi="Arial" w:cs="Arial"/>
          <w:color w:val="000000"/>
          <w:lang w:eastAsia="es-CO"/>
        </w:rPr>
      </w:pPr>
    </w:p>
    <w:p w14:paraId="1026F64E" w14:textId="77777777" w:rsidR="00D25E1B" w:rsidRPr="009342F9" w:rsidRDefault="00D25E1B" w:rsidP="00FC79C1">
      <w:pPr>
        <w:spacing w:after="0" w:line="240" w:lineRule="auto"/>
        <w:jc w:val="both"/>
        <w:rPr>
          <w:rFonts w:ascii="Arial" w:eastAsia="Times New Roman" w:hAnsi="Arial" w:cs="Arial"/>
          <w:color w:val="000000"/>
          <w:lang w:eastAsia="es-CO"/>
        </w:rPr>
      </w:pPr>
    </w:p>
    <w:p w14:paraId="3FC7D82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El Ministerio de Vivienda, Ciudad y Territorio definirá los lineamientos y responsables de llevar a cabo el diagnóstico que enmarque el inmueble en alguna de las anteriores categorías.  </w:t>
      </w:r>
    </w:p>
    <w:p w14:paraId="7D35099D"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642" w:name="ver_30189922"/>
      <w:bookmarkEnd w:id="642"/>
      <w:r w:rsidRPr="009342F9">
        <w:rPr>
          <w:rFonts w:ascii="Arial" w:eastAsia="Times New Roman" w:hAnsi="Arial" w:cs="Arial"/>
          <w:color w:val="000000"/>
          <w:lang w:eastAsia="es-CO"/>
        </w:rPr>
        <w:t> </w:t>
      </w:r>
    </w:p>
    <w:p w14:paraId="76BECC62" w14:textId="08202BFE"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2.1.1.7.10. Valor del subsidio familiar de vivienda. El valor del subsidio familiar de vivienda de interés social para áreas urbanas que otorgue Fonvivienda, con cargo a los recursos del Presupuesto General de la Nación en la modalidad de mejoramiento en el marco del Programa “Casa Digna, Vida Digna”, será otorgado por un valor equivalente hasta dieciocho (18) salarios mínimos legales mensuales vigentes.  </w:t>
      </w:r>
    </w:p>
    <w:p w14:paraId="55447003" w14:textId="77777777" w:rsidR="00683694" w:rsidRPr="009342F9" w:rsidRDefault="00683694" w:rsidP="00FC79C1">
      <w:pPr>
        <w:spacing w:after="0" w:line="240" w:lineRule="auto"/>
        <w:jc w:val="both"/>
        <w:rPr>
          <w:rFonts w:ascii="Arial" w:eastAsia="Times New Roman" w:hAnsi="Arial" w:cs="Arial"/>
          <w:color w:val="000000"/>
          <w:lang w:eastAsia="es-CO"/>
        </w:rPr>
      </w:pPr>
    </w:p>
    <w:p w14:paraId="10B3D1A7" w14:textId="3D89FA88"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El subsidio familiar de vivienda que asigne Fonvivienda en el marco de lo dispuesto en este </w:t>
      </w:r>
      <w:proofErr w:type="gramStart"/>
      <w:r w:rsidRPr="009342F9">
        <w:rPr>
          <w:rFonts w:ascii="Arial" w:eastAsia="Times New Roman" w:hAnsi="Arial" w:cs="Arial"/>
          <w:color w:val="000000"/>
          <w:lang w:eastAsia="es-CO"/>
        </w:rPr>
        <w:t>capítulo,</w:t>
      </w:r>
      <w:proofErr w:type="gramEnd"/>
      <w:r w:rsidRPr="009342F9">
        <w:rPr>
          <w:rFonts w:ascii="Arial" w:eastAsia="Times New Roman" w:hAnsi="Arial" w:cs="Arial"/>
          <w:color w:val="000000"/>
          <w:lang w:eastAsia="es-CO"/>
        </w:rPr>
        <w:t xml:space="preserve"> podrá aplicarse de forma concurrente con subsidios otorgados por otras entidades, para la ejecución de intervenciones que se realicen sobre un mismo inmueble. También podrá aplicarse concurrentemente cuando a los hogares beneficiarios se les haya asignado en cualquier tiempo, por parte de las distintas entidades partícipes del Sistema Nacional de Vivienda de Interés Social, subsidios de adquisición y construcción en sitio propio que hayan sido aplicados sobre las viviendas objeto de intervención.  </w:t>
      </w:r>
    </w:p>
    <w:p w14:paraId="715D0C45" w14:textId="77777777" w:rsidR="00683694" w:rsidRPr="009342F9" w:rsidRDefault="00683694" w:rsidP="00FC79C1">
      <w:pPr>
        <w:spacing w:after="0" w:line="240" w:lineRule="auto"/>
        <w:jc w:val="both"/>
        <w:rPr>
          <w:rFonts w:ascii="Arial" w:eastAsia="Times New Roman" w:hAnsi="Arial" w:cs="Arial"/>
          <w:color w:val="000000"/>
          <w:lang w:eastAsia="es-CO"/>
        </w:rPr>
      </w:pPr>
    </w:p>
    <w:p w14:paraId="5D7EA57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El subsidio familiar de vivienda de que trata el presente artículo podrá ser aplicado en viviendas cuyo precio no supere el límite establecido en las normas que regulen la materia para la vivienda de interés social, de acuerdo con el avalúo catastral.  </w:t>
      </w:r>
    </w:p>
    <w:p w14:paraId="532B82DC"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643" w:name="ver_30189923"/>
      <w:bookmarkEnd w:id="643"/>
    </w:p>
    <w:p w14:paraId="474824C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2.1.1.7.11 Vigencia del subsidio. La vigencia del subsidio familiar de vivienda de que trata el presente capítulo será de veinticuatro (24) meses calendario, contados desde el primer día del mes siguiente a la fecha de su asignación y hasta la legalización </w:t>
      </w:r>
      <w:proofErr w:type="gramStart"/>
      <w:r w:rsidRPr="009342F9">
        <w:rPr>
          <w:rFonts w:ascii="Arial" w:eastAsia="Times New Roman" w:hAnsi="Arial" w:cs="Arial"/>
          <w:color w:val="000000"/>
          <w:lang w:eastAsia="es-CO"/>
        </w:rPr>
        <w:t>del mismo</w:t>
      </w:r>
      <w:proofErr w:type="gramEnd"/>
      <w:r w:rsidRPr="009342F9">
        <w:rPr>
          <w:rFonts w:ascii="Arial" w:eastAsia="Times New Roman" w:hAnsi="Arial" w:cs="Arial"/>
          <w:color w:val="000000"/>
          <w:lang w:eastAsia="es-CO"/>
        </w:rPr>
        <w:t>. La entidad otorgante, a través de su representante legal, podrá prorrogar mediante acto administrativo el subsidio familiar de vivienda por un plazo no superior a veinticuatro (24) meses.  </w:t>
      </w:r>
    </w:p>
    <w:p w14:paraId="270F7222"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644" w:name="ver_30189934"/>
      <w:bookmarkEnd w:id="644"/>
    </w:p>
    <w:p w14:paraId="169A5B4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2.1.1.7.12. Renuncia al subsidio familiar de vivienda. El beneficiario del subsidio de que trata el presente capítulo podrá, antes del inicio de las obras, renunciar voluntariamente al beneficio obtenido, mediante comunicación suscrita por los miembros mayores de edad solicitantes del subsidio.  </w:t>
      </w:r>
    </w:p>
    <w:p w14:paraId="00068E21"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645" w:name="ver_30189935"/>
      <w:bookmarkEnd w:id="645"/>
    </w:p>
    <w:p w14:paraId="16873147" w14:textId="19AC9D3E"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2.1.1.7.13. Pérdida y restitución del subsidio familiar de vivienda. Serán causales de pérdida y restitución del subsidio de que trata el presente capítulo las siguientes:  </w:t>
      </w:r>
    </w:p>
    <w:p w14:paraId="0E1915D7" w14:textId="77777777" w:rsidR="00683694" w:rsidRPr="009342F9" w:rsidRDefault="00683694" w:rsidP="00FC79C1">
      <w:pPr>
        <w:spacing w:after="0" w:line="240" w:lineRule="auto"/>
        <w:jc w:val="both"/>
        <w:rPr>
          <w:rFonts w:ascii="Arial" w:eastAsia="Times New Roman" w:hAnsi="Arial" w:cs="Arial"/>
          <w:color w:val="000000"/>
          <w:lang w:eastAsia="es-CO"/>
        </w:rPr>
      </w:pPr>
    </w:p>
    <w:p w14:paraId="5B7A277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Cualquier falta de veracidad en los datos entregados por el hogar beneficia</w:t>
      </w:r>
      <w:r w:rsidRPr="009342F9">
        <w:rPr>
          <w:rFonts w:ascii="Arial" w:eastAsia="Times New Roman" w:hAnsi="Arial" w:cs="Arial"/>
          <w:color w:val="000000"/>
          <w:lang w:eastAsia="es-CO"/>
        </w:rPr>
        <w:softHyphen/>
        <w:t>rio.  </w:t>
      </w:r>
    </w:p>
    <w:p w14:paraId="651BF239" w14:textId="77777777" w:rsidR="00683694" w:rsidRPr="009342F9" w:rsidRDefault="00683694" w:rsidP="00FC79C1">
      <w:pPr>
        <w:spacing w:after="0" w:line="240" w:lineRule="auto"/>
        <w:jc w:val="both"/>
        <w:rPr>
          <w:rFonts w:ascii="Arial" w:eastAsia="Times New Roman" w:hAnsi="Arial" w:cs="Arial"/>
          <w:color w:val="000000"/>
          <w:lang w:eastAsia="es-CO"/>
        </w:rPr>
      </w:pPr>
    </w:p>
    <w:p w14:paraId="7849E4D4" w14:textId="7C2866D2"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Cuando los beneficiarios transfieran cualquier derecho real sobre la solución de vivienda o dejen de residir en ella antes de haber transcurrido al plazo de que trata el artículo 8° de la Ley 3ª de 1991 modificado por el artículo 21 de la Ley 1537 de 2012, contado desde la fecha de suscripción del acta de entrega de las obras, sin mediar permiso específico fundamentado en razones de fuerza mayor definidas por el reglamento.  </w:t>
      </w:r>
    </w:p>
    <w:p w14:paraId="34FD78A1" w14:textId="77777777" w:rsidR="00683694" w:rsidRPr="009342F9" w:rsidRDefault="00683694" w:rsidP="00FC79C1">
      <w:pPr>
        <w:spacing w:after="0" w:line="240" w:lineRule="auto"/>
        <w:jc w:val="both"/>
        <w:rPr>
          <w:rFonts w:ascii="Arial" w:eastAsia="Times New Roman" w:hAnsi="Arial" w:cs="Arial"/>
          <w:color w:val="000000"/>
          <w:lang w:eastAsia="es-CO"/>
        </w:rPr>
      </w:pPr>
    </w:p>
    <w:p w14:paraId="45DCA1C2" w14:textId="41C3BF90" w:rsidR="00FC79C1"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Cuando haya lugar a la restitución del subsidio familiar de vivienda otorgado, esta se hará indexada con la variación del índice de precios al consumidor, desde la fecha en que se haya hecho entrega de la intervención de mejoramiento al hogar beneficiario hasta la fecha en que efectivamente se realice el pago del valor a restituir, en la cuenta indicada por la entidad otorgante.  </w:t>
      </w:r>
    </w:p>
    <w:p w14:paraId="0D98DE1E" w14:textId="77777777" w:rsidR="00D25E1B" w:rsidRPr="009342F9" w:rsidRDefault="00D25E1B" w:rsidP="00FC79C1">
      <w:pPr>
        <w:spacing w:after="0" w:line="240" w:lineRule="auto"/>
        <w:jc w:val="both"/>
        <w:rPr>
          <w:rFonts w:ascii="Arial" w:eastAsia="Times New Roman" w:hAnsi="Arial" w:cs="Arial"/>
          <w:color w:val="000000"/>
          <w:lang w:eastAsia="es-CO"/>
        </w:rPr>
      </w:pPr>
    </w:p>
    <w:p w14:paraId="3C367C5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Cuando se presente alguna de las causales contempladas para la pérdida y restitución del subsidio, se solicitará al hogar que emita las aclaraciones del caso debidamente soportadas. Si dentro del plazo establecido por la entidad otorgante del subsidio, no se efectúan las aclaraciones del caso o persiste la causal para la restitución del subsidio, esta procederá a revocar la asignación del subsidio y a ordenar la restitución del mismo previo el agotamiento del proceso administrativo sancionatorio establecido en el título III capítulo III de la Ley 1437 de 2011, caso en el cual se iniciarán las acciones judiciales o extrajudiciales tendientes a la recuperación efectiva de dichos recursos.  </w:t>
      </w:r>
    </w:p>
    <w:p w14:paraId="64FF25AF"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646" w:name="ver_30189936"/>
      <w:bookmarkEnd w:id="646"/>
    </w:p>
    <w:p w14:paraId="2B55908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2.1.1.7.14. Legalización del subsidio familiar de vivienda. El subsidio familiar de vivienda de que trata el presente capítulo se entenderá legalizado para Fonvivienda, con el documento que acredita la asignación del subsidio familiar de vivienda y el certificado de existencia de la obra de mejoramiento, suscrito por el interventor.  </w:t>
      </w:r>
    </w:p>
    <w:p w14:paraId="2FF46285"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647" w:name="ver_30189937"/>
      <w:bookmarkEnd w:id="647"/>
    </w:p>
    <w:p w14:paraId="4D74590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2.1.1.7.15. Ajuste al Marco Fiscal. Los recursos del Presupuesto General de la Nación que se destinen para atender el subsidio familiar de vivienda de interés social de que trata el presente capítulo, así como los demás costos en que incurra Fonvivienda asociados a la ejecución de los subsidios estarán sujetos a la disponibilidad de recursos del Marco Fiscal de Mediano Plazo y el Marco de Gasto de Mediano Plazo del sector vivienda”.  </w:t>
      </w:r>
    </w:p>
    <w:p w14:paraId="3A5365C6" w14:textId="77777777" w:rsidR="00683694" w:rsidRDefault="00683694" w:rsidP="00FC79C1">
      <w:pPr>
        <w:spacing w:after="0" w:line="240" w:lineRule="auto"/>
        <w:jc w:val="both"/>
        <w:rPr>
          <w:rFonts w:ascii="Arial" w:eastAsia="Times New Roman" w:hAnsi="Arial" w:cs="Arial"/>
          <w:color w:val="000000"/>
          <w:lang w:eastAsia="es-CO"/>
        </w:rPr>
      </w:pPr>
      <w:bookmarkStart w:id="648" w:name="ver_30200400"/>
      <w:bookmarkEnd w:id="648"/>
    </w:p>
    <w:p w14:paraId="7B845D8A" w14:textId="77777777" w:rsidR="000A72FF" w:rsidRDefault="000A72FF" w:rsidP="00FC79C1">
      <w:pPr>
        <w:spacing w:after="0" w:line="240" w:lineRule="auto"/>
        <w:jc w:val="both"/>
        <w:rPr>
          <w:rFonts w:ascii="Arial" w:eastAsia="Times New Roman" w:hAnsi="Arial" w:cs="Arial"/>
          <w:color w:val="000000"/>
          <w:lang w:eastAsia="es-CO"/>
        </w:rPr>
      </w:pPr>
    </w:p>
    <w:p w14:paraId="0C80B2D6" w14:textId="77777777" w:rsidR="000A72FF" w:rsidRDefault="000A72FF" w:rsidP="00FC79C1">
      <w:pPr>
        <w:spacing w:after="0" w:line="240" w:lineRule="auto"/>
        <w:jc w:val="both"/>
        <w:rPr>
          <w:rFonts w:ascii="Arial" w:eastAsia="Times New Roman" w:hAnsi="Arial" w:cs="Arial"/>
          <w:color w:val="000000"/>
          <w:lang w:eastAsia="es-CO"/>
        </w:rPr>
      </w:pPr>
    </w:p>
    <w:p w14:paraId="451D45B6" w14:textId="77777777" w:rsidR="000A72FF" w:rsidRPr="009342F9" w:rsidRDefault="000A72FF" w:rsidP="00FC79C1">
      <w:pPr>
        <w:spacing w:after="0" w:line="240" w:lineRule="auto"/>
        <w:jc w:val="both"/>
        <w:rPr>
          <w:rFonts w:ascii="Arial" w:eastAsia="Times New Roman" w:hAnsi="Arial" w:cs="Arial"/>
          <w:color w:val="000000"/>
          <w:lang w:eastAsia="es-CO"/>
        </w:rPr>
      </w:pPr>
    </w:p>
    <w:p w14:paraId="7ABC2DA4" w14:textId="7B099984" w:rsidR="00FC79C1" w:rsidRPr="009342F9" w:rsidRDefault="00FC79C1" w:rsidP="00683694">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CAPÍTULO 8</w:t>
      </w:r>
    </w:p>
    <w:p w14:paraId="202FE657" w14:textId="77777777" w:rsidR="00FC79C1" w:rsidRPr="009342F9" w:rsidRDefault="00FC79C1" w:rsidP="00683694">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Concurrencia y complementariedad del subsidio familiar de vivienda</w:t>
      </w:r>
    </w:p>
    <w:p w14:paraId="02D86B2F" w14:textId="77777777" w:rsidR="00FC79C1" w:rsidRPr="009342F9" w:rsidRDefault="00FC79C1" w:rsidP="00683694">
      <w:pPr>
        <w:spacing w:after="0" w:line="240" w:lineRule="auto"/>
        <w:jc w:val="center"/>
        <w:rPr>
          <w:rFonts w:ascii="Arial" w:eastAsia="Times New Roman" w:hAnsi="Arial" w:cs="Arial"/>
          <w:b/>
          <w:bCs/>
          <w:color w:val="000000"/>
          <w:lang w:eastAsia="es-CO"/>
        </w:rPr>
      </w:pPr>
      <w:bookmarkStart w:id="649" w:name="ver_30200401"/>
      <w:bookmarkEnd w:id="649"/>
    </w:p>
    <w:p w14:paraId="439493F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2.1.1.8.1 Aplicación. Lo estipulado en este capítulo aplica para las nuevas postulaciones al subsidio familiar de vivienda destinado a la adquisición de vivienda nueva o usada, otorgado por el Gobierno nacional para zonas urbanas, a través del Fondo Nacional de Vivienda o quien haga sus veces y la aplicación concurrente y complementaria de este, con los nuevos subsidios familiares de vivienda otorgados por las cajas de compensación familiar.  </w:t>
      </w:r>
    </w:p>
    <w:p w14:paraId="35FD0C7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7D37E9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1°. También podrán aplicar a la concurrencia los beneficiarios que cuenten con subsidio asignado por alguna entidad otorgante y que se encuentre vigente y sin aplicar.  </w:t>
      </w:r>
    </w:p>
    <w:p w14:paraId="17ABD5B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631F70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Parágrafo 2°. Las disposiciones contenidas en este capítulo, no aplican para el subsidio familiar de vivienda para áreas urbanas de que trata la </w:t>
      </w:r>
      <w:proofErr w:type="spellStart"/>
      <w:r w:rsidRPr="009342F9">
        <w:rPr>
          <w:rFonts w:ascii="Arial" w:eastAsia="Times New Roman" w:hAnsi="Arial" w:cs="Arial"/>
          <w:color w:val="000000"/>
          <w:lang w:eastAsia="es-CO"/>
        </w:rPr>
        <w:t>Sub-subsección</w:t>
      </w:r>
      <w:proofErr w:type="spellEnd"/>
      <w:r w:rsidRPr="009342F9">
        <w:rPr>
          <w:rFonts w:ascii="Arial" w:eastAsia="Times New Roman" w:hAnsi="Arial" w:cs="Arial"/>
          <w:color w:val="000000"/>
          <w:lang w:eastAsia="es-CO"/>
        </w:rPr>
        <w:t xml:space="preserve"> 1 de la Subsección 1 de la Sección 1 del Capítulo 1 del Título 1 de la Parte 1 del Libro 2 del presente decreto, para el subsidio familiar de vivienda 100% en especie establecido en el Capítulo 2 del Título 1 de la Parte 1 del Libro 2, ni para el subsidio en modalidad de adquisición de vivienda nueva para los hogares afectados por desastres naturales, calamidad pública o emergencia, contemplado en el numeral 2.1 del artículo 2.1.1.1.8.1.2 de este decreto.  </w:t>
      </w:r>
    </w:p>
    <w:p w14:paraId="17E55B66"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650" w:name="ver_30200402"/>
      <w:bookmarkEnd w:id="650"/>
    </w:p>
    <w:p w14:paraId="54F01D1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2.1.1.8.2 Concurrencia de subsidios. El Fondo Nacional de Vivienda o quien haga sus veces, podrá otorgar el Subsidio Familiar de Vivienda en el marco de cualquiera de los programas contemplados en el presente decreto, de forma concurrente con el subsidio familiar de vivienda otorgado por las cajas de compensación familiar para la adquisición de una solución de vivienda, siempre y cuando la naturaleza de </w:t>
      </w:r>
      <w:proofErr w:type="gramStart"/>
      <w:r w:rsidRPr="009342F9">
        <w:rPr>
          <w:rFonts w:ascii="Arial" w:eastAsia="Times New Roman" w:hAnsi="Arial" w:cs="Arial"/>
          <w:color w:val="000000"/>
          <w:lang w:eastAsia="es-CO"/>
        </w:rPr>
        <w:t>los mismos</w:t>
      </w:r>
      <w:proofErr w:type="gramEnd"/>
      <w:r w:rsidRPr="009342F9">
        <w:rPr>
          <w:rFonts w:ascii="Arial" w:eastAsia="Times New Roman" w:hAnsi="Arial" w:cs="Arial"/>
          <w:color w:val="000000"/>
          <w:lang w:eastAsia="es-CO"/>
        </w:rPr>
        <w:t xml:space="preserve"> lo permita.  </w:t>
      </w:r>
    </w:p>
    <w:p w14:paraId="6CB904B4"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651" w:name="ver_30200403"/>
      <w:bookmarkEnd w:id="651"/>
    </w:p>
    <w:p w14:paraId="10F64D14" w14:textId="6F46FC70" w:rsidR="00FC79C1"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2.1.1.8.3. Condiciones de los beneficiarios. La concurrencia de subsidios de que trata el presente </w:t>
      </w:r>
      <w:proofErr w:type="gramStart"/>
      <w:r w:rsidRPr="009342F9">
        <w:rPr>
          <w:rFonts w:ascii="Arial" w:eastAsia="Times New Roman" w:hAnsi="Arial" w:cs="Arial"/>
          <w:color w:val="000000"/>
          <w:lang w:eastAsia="es-CO"/>
        </w:rPr>
        <w:t>capítulo,</w:t>
      </w:r>
      <w:proofErr w:type="gramEnd"/>
      <w:r w:rsidRPr="009342F9">
        <w:rPr>
          <w:rFonts w:ascii="Arial" w:eastAsia="Times New Roman" w:hAnsi="Arial" w:cs="Arial"/>
          <w:color w:val="000000"/>
          <w:lang w:eastAsia="es-CO"/>
        </w:rPr>
        <w:t xml:space="preserve"> solo podrá aplicarse para hogares cuyos ingresos mensuales no superen el límite de dos (2) salarios mínimos legales mensuales vigentes.  </w:t>
      </w:r>
    </w:p>
    <w:p w14:paraId="114F4B61" w14:textId="77777777" w:rsidR="00D25E1B" w:rsidRPr="009342F9" w:rsidRDefault="00D25E1B" w:rsidP="00FC79C1">
      <w:pPr>
        <w:spacing w:after="0" w:line="240" w:lineRule="auto"/>
        <w:jc w:val="both"/>
        <w:rPr>
          <w:rFonts w:ascii="Arial" w:eastAsia="Times New Roman" w:hAnsi="Arial" w:cs="Arial"/>
          <w:color w:val="000000"/>
          <w:lang w:eastAsia="es-CO"/>
        </w:rPr>
      </w:pPr>
    </w:p>
    <w:p w14:paraId="253B21DA"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652" w:name="ver_30200404"/>
      <w:bookmarkEnd w:id="652"/>
      <w:r w:rsidRPr="009342F9">
        <w:rPr>
          <w:rFonts w:ascii="Arial" w:eastAsia="Times New Roman" w:hAnsi="Arial" w:cs="Arial"/>
          <w:color w:val="000000"/>
          <w:lang w:eastAsia="es-CO"/>
        </w:rPr>
        <w:t xml:space="preserve">Artículo 2.1.1.8.4. Condiciones de las viviendas. La concurrencia de subsidios de que trata el presente </w:t>
      </w:r>
      <w:proofErr w:type="gramStart"/>
      <w:r w:rsidRPr="009342F9">
        <w:rPr>
          <w:rFonts w:ascii="Arial" w:eastAsia="Times New Roman" w:hAnsi="Arial" w:cs="Arial"/>
          <w:color w:val="000000"/>
          <w:lang w:eastAsia="es-CO"/>
        </w:rPr>
        <w:t>capítulo,</w:t>
      </w:r>
      <w:proofErr w:type="gramEnd"/>
      <w:r w:rsidRPr="009342F9">
        <w:rPr>
          <w:rFonts w:ascii="Arial" w:eastAsia="Times New Roman" w:hAnsi="Arial" w:cs="Arial"/>
          <w:color w:val="000000"/>
          <w:lang w:eastAsia="es-CO"/>
        </w:rPr>
        <w:t xml:space="preserve"> podrá aplicarse para la adquisición de viviendas cuyo precio no supere el límite establecido para la vivienda de interés social en las normas que regulen la materia.  </w:t>
      </w:r>
    </w:p>
    <w:p w14:paraId="05077E30"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653" w:name="ver_30200405"/>
      <w:bookmarkEnd w:id="653"/>
    </w:p>
    <w:p w14:paraId="0B80AA1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2.1.1.8.5. Monto del subsidio otorgado por Fonvivienda. El subsidio que otorgue Fonvivienda para la adquisición de vivienda en cualquiera de los esquemas o programas de que trata el presente decreto, se asignará por un monto de hasta 20 salarios mínimos legales mensuales vigentes, cuando este sea aplicado de forma concurrente con el subsidio familiar de vivienda otorgado por las cajas de compensación familiar. </w:t>
      </w:r>
    </w:p>
    <w:p w14:paraId="47CDEFF1"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654" w:name="ver_30200406"/>
      <w:bookmarkEnd w:id="654"/>
    </w:p>
    <w:p w14:paraId="427ABCA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2.1.1.8.6. Condiciones del subsidio. Los demás requisitos de acceso, asignación, operación, legalización, pérdida y restitución relativos al subsidio familiar de vivienda que asigne Fonvivienda, serán los que se encuentren establecidos en la normatividad vigente para los respectivos esquemas o programas a los que se postule el hogar.  </w:t>
      </w:r>
    </w:p>
    <w:p w14:paraId="6F8D918D" w14:textId="2C742A7B"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655" w:name="ver_30200407"/>
      <w:bookmarkEnd w:id="655"/>
    </w:p>
    <w:p w14:paraId="2515C37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2.1.1.8.7. Cobertura a la tasa. Las distintas modalidades de cobertura a la tasa de interés contempladas en este decreto son incompatibles entre sí, aun cuando el subsidio familiar de </w:t>
      </w:r>
      <w:r w:rsidRPr="009342F9">
        <w:rPr>
          <w:rFonts w:ascii="Arial" w:eastAsia="Times New Roman" w:hAnsi="Arial" w:cs="Arial"/>
          <w:color w:val="000000"/>
          <w:lang w:eastAsia="es-CO"/>
        </w:rPr>
        <w:lastRenderedPageBreak/>
        <w:t xml:space="preserve">vivienda se aplique de forma concurrente entre Fonvivienda y las cajas de compensación familiar. En virtud de lo anterior, los hogares beneficiarios de los subsidios otorgados de manera concurrente para la adquisición de una solución de </w:t>
      </w:r>
      <w:proofErr w:type="gramStart"/>
      <w:r w:rsidRPr="009342F9">
        <w:rPr>
          <w:rFonts w:ascii="Arial" w:eastAsia="Times New Roman" w:hAnsi="Arial" w:cs="Arial"/>
          <w:color w:val="000000"/>
          <w:lang w:eastAsia="es-CO"/>
        </w:rPr>
        <w:t>vivienda,</w:t>
      </w:r>
      <w:proofErr w:type="gramEnd"/>
      <w:r w:rsidRPr="009342F9">
        <w:rPr>
          <w:rFonts w:ascii="Arial" w:eastAsia="Times New Roman" w:hAnsi="Arial" w:cs="Arial"/>
          <w:color w:val="000000"/>
          <w:lang w:eastAsia="es-CO"/>
        </w:rPr>
        <w:t xml:space="preserve"> podrán tener acceso a una sola modalidad de cobertura a la tasa de interés. </w:t>
      </w:r>
    </w:p>
    <w:p w14:paraId="65771804"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656" w:name="ver_30200408"/>
      <w:bookmarkEnd w:id="656"/>
    </w:p>
    <w:p w14:paraId="24E12D0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2.1.1.8.8. Obligación de los hogares. Al momento de su postulación al subsidio otorgado por Fonvivienda, los hogares deberán informar su intención de aplicar el beneficio de manera concurrente con el subsidio otorgado por las cajas de compensación familiar.  </w:t>
      </w:r>
    </w:p>
    <w:p w14:paraId="03E72D6B" w14:textId="1A62287C"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657" w:name="ver_30200409"/>
      <w:bookmarkEnd w:id="657"/>
    </w:p>
    <w:p w14:paraId="56C6206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2.1.1.8.9 Pérdida y restitución del subsidio. El subsidio familiar de vivienda otorgado por Fonvivienda, que se asigne de manera concurrente con el subsidio otorgado por las cajas de compensación familiar, será objeto de restitución por cualquiera de las causales previstas en las normas vigentes, y adicionalmente por incumplimiento en la obligación a cargo del hogar de que trata el artículo anterior” </w:t>
      </w:r>
    </w:p>
    <w:p w14:paraId="21572FE3" w14:textId="77777777" w:rsidR="00683694" w:rsidRPr="009342F9" w:rsidRDefault="00683694" w:rsidP="00FC79C1">
      <w:pPr>
        <w:spacing w:after="0" w:line="240" w:lineRule="auto"/>
        <w:jc w:val="both"/>
        <w:rPr>
          <w:rFonts w:ascii="Arial" w:eastAsia="Times New Roman" w:hAnsi="Arial" w:cs="Arial"/>
          <w:color w:val="000000"/>
          <w:lang w:eastAsia="es-CO"/>
        </w:rPr>
      </w:pPr>
      <w:bookmarkStart w:id="658" w:name="ver_30205778"/>
      <w:bookmarkEnd w:id="658"/>
    </w:p>
    <w:p w14:paraId="75328C58" w14:textId="42B7D445" w:rsidR="00FC79C1" w:rsidRPr="009342F9" w:rsidRDefault="00FC79C1" w:rsidP="00683694">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CAPÍTULO 9</w:t>
      </w:r>
    </w:p>
    <w:p w14:paraId="2F3F0DF8" w14:textId="77777777" w:rsidR="00FC79C1" w:rsidRPr="009342F9" w:rsidRDefault="00FC79C1" w:rsidP="00683694">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SUBSIDIO FAMILIAR DE VIVIENDA CON REQUISITO DE AHORRO EN MODALIDAD DE ADQUISICIÓN EN EL MARCO DEL PROGRAMA “SEMILLERO DE PROPIETARIOS-AHORRADORES</w:t>
      </w:r>
    </w:p>
    <w:p w14:paraId="41C264AB"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659" w:name="ver_30205779"/>
      <w:bookmarkEnd w:id="659"/>
    </w:p>
    <w:p w14:paraId="599CC737" w14:textId="48254EF5"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2.1.1.9.1.</w:t>
      </w:r>
      <w:r w:rsidR="009C22F2">
        <w:rPr>
          <w:rFonts w:ascii="Arial" w:eastAsia="Times New Roman" w:hAnsi="Arial" w:cs="Arial"/>
          <w:color w:val="000000"/>
          <w:lang w:eastAsia="es-CO"/>
        </w:rPr>
        <w:t xml:space="preserve"> </w:t>
      </w:r>
      <w:r w:rsidRPr="009342F9">
        <w:rPr>
          <w:rFonts w:ascii="Arial" w:eastAsia="Times New Roman" w:hAnsi="Arial" w:cs="Arial"/>
          <w:color w:val="000000"/>
          <w:lang w:eastAsia="es-CO"/>
        </w:rPr>
        <w:t>Aplicación. El presente capítulo aplica al proceso de asignación del subsidio familiar de vivienda con requisito de ahorro, para la adquisición de vivienda de interés social nueva, del Programa “Semillero de Propietarios - Ahorradores”.  </w:t>
      </w:r>
    </w:p>
    <w:p w14:paraId="556D9732" w14:textId="0A06A85C"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660" w:name="ver_30205780"/>
      <w:bookmarkEnd w:id="660"/>
    </w:p>
    <w:p w14:paraId="684E2E0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2.1.1.9.2. Contrato de fiducia mercantil. De acuerdo con las facultades atribuidas por el artículo 23 de la Ley 1469 de 2011, el Fondo Nacional de Vivienda podrá administrar los recursos del subsidio de que trata el presente capítulo, mediante la constitución de patrimonios autónomos. Para tal efecto, podrá hacerse uso del patrimonio autónomo constituido en el marco del Programa “Semillero de Propietarios” de acuerdo con lo dispuesto en el artículo 2.1.1.6.4.1 del presente decreto </w:t>
      </w:r>
    </w:p>
    <w:p w14:paraId="33B3553D"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661" w:name="ver_30205781"/>
      <w:bookmarkEnd w:id="661"/>
    </w:p>
    <w:p w14:paraId="01D9D32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2.1.1.9.3. Activos del patrimonio autónomo. Serán activos del patrimonio autónomo que se constituya, de conformidad con lo establecido en el presente capítulo:  </w:t>
      </w:r>
    </w:p>
    <w:p w14:paraId="1C86A91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512492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 Los recursos del Presupuesto General de la Nación destinados al Fondo Nacional de Vivienda, que este último transfiera a título de aporte fiduciario de acuerdo con las facultades otorgadas por el artículo 23 de la Ley 1469 de 2011.  </w:t>
      </w:r>
    </w:p>
    <w:p w14:paraId="598D2D9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819E9C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b) Los que aporte cualquier entidad en calidad de otorgante del subsidio familiar de vivienda.  </w:t>
      </w:r>
    </w:p>
    <w:p w14:paraId="3529F91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645CEF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 Los rendimientos financieros que produzcan los recursos fideicomitidos.  </w:t>
      </w:r>
    </w:p>
    <w:p w14:paraId="5F22550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325430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d) Los que aporte cualquier persona natural o jurídica, a título gratuito.  </w:t>
      </w:r>
    </w:p>
    <w:p w14:paraId="0788B6E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2DCF26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 Los que se determinen en el contrato de fiducia mercantil.  </w:t>
      </w:r>
    </w:p>
    <w:p w14:paraId="16129FAC" w14:textId="03B77A63"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662" w:name="ver_30205782"/>
      <w:bookmarkEnd w:id="662"/>
    </w:p>
    <w:p w14:paraId="63845190" w14:textId="5A52DCE0"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2.1.1.9.4</w:t>
      </w:r>
      <w:r w:rsidR="009C22F2">
        <w:rPr>
          <w:rFonts w:ascii="Arial" w:eastAsia="Times New Roman" w:hAnsi="Arial" w:cs="Arial"/>
          <w:color w:val="000000"/>
          <w:lang w:eastAsia="es-CO"/>
        </w:rPr>
        <w:t xml:space="preserve"> </w:t>
      </w:r>
      <w:r w:rsidRPr="009342F9">
        <w:rPr>
          <w:rFonts w:ascii="Arial" w:eastAsia="Times New Roman" w:hAnsi="Arial" w:cs="Arial"/>
          <w:color w:val="000000"/>
          <w:lang w:eastAsia="es-CO"/>
        </w:rPr>
        <w:t xml:space="preserve">Valor del subsidio familiar de vivienda. El valor del subsidio familiar de vivienda de que trata el presente </w:t>
      </w:r>
      <w:proofErr w:type="gramStart"/>
      <w:r w:rsidRPr="009342F9">
        <w:rPr>
          <w:rFonts w:ascii="Arial" w:eastAsia="Times New Roman" w:hAnsi="Arial" w:cs="Arial"/>
          <w:color w:val="000000"/>
          <w:lang w:eastAsia="es-CO"/>
        </w:rPr>
        <w:t>capítulo,</w:t>
      </w:r>
      <w:proofErr w:type="gramEnd"/>
      <w:r w:rsidRPr="009342F9">
        <w:rPr>
          <w:rFonts w:ascii="Arial" w:eastAsia="Times New Roman" w:hAnsi="Arial" w:cs="Arial"/>
          <w:color w:val="000000"/>
          <w:lang w:eastAsia="es-CO"/>
        </w:rPr>
        <w:t xml:space="preserve"> será de hasta seis (6) salarios mínimos legales mensuales vigentes al momento de la expedición del acto administrativo de cumplimiento de las condiciones para la aplicación efectiva del mismo. </w:t>
      </w:r>
    </w:p>
    <w:p w14:paraId="691EC42A"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663" w:name="ver_30205783"/>
      <w:bookmarkEnd w:id="663"/>
    </w:p>
    <w:p w14:paraId="5C586802" w14:textId="37F06F5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Artículo 2.1.1.9.5.</w:t>
      </w:r>
      <w:r w:rsidR="009C22F2">
        <w:rPr>
          <w:rFonts w:ascii="Arial" w:eastAsia="Times New Roman" w:hAnsi="Arial" w:cs="Arial"/>
          <w:color w:val="000000"/>
          <w:lang w:eastAsia="es-CO"/>
        </w:rPr>
        <w:t xml:space="preserve"> </w:t>
      </w:r>
      <w:r w:rsidRPr="009342F9">
        <w:rPr>
          <w:rFonts w:ascii="Arial" w:eastAsia="Times New Roman" w:hAnsi="Arial" w:cs="Arial"/>
          <w:color w:val="000000"/>
          <w:lang w:eastAsia="es-CO"/>
        </w:rPr>
        <w:t>Beneficiarios del subsidio. Podrán ser beneficiarios del subsidio familiar de vivienda de que trata el presente capítulo, los hogares que cumplan las siguientes condiciones:  </w:t>
      </w:r>
    </w:p>
    <w:p w14:paraId="469AEC0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05D46B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 Tener ingresos totales mensuales hasta por el equivalente a dos salarios mínimos mensuales legales vigentes.  </w:t>
      </w:r>
    </w:p>
    <w:p w14:paraId="556FD97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EF5858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b) No ser propietarios de una vivienda en el territorio nacional.  </w:t>
      </w:r>
    </w:p>
    <w:p w14:paraId="6C10CF8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BF66A6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 No haber sido beneficiarios de un subsidio familiar de vivienda otorgado por una Caja de Compensación Familiar que haya sido efectivamente aplicado.  </w:t>
      </w:r>
    </w:p>
    <w:p w14:paraId="175D9F2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DAF86E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d) No haber sido beneficiarios de un subsidio familiar de vivienda otorgado por el Gobierno nacional que haya sido efectivamente aplicado, incluido el subsidio aplicable a contratos de arrendamiento y arrendamiento con opción de compra, salvo quienes hayan perdido la vivienda por imposibilidad de pago, de acuerdo con lo establecido en el artículo 33 de la Ley 546 de 1999 o cuando la vivienda en la cual se haya aplicado el subsidio haya resultado totalmente destruida o queda</w:t>
      </w:r>
      <w:r w:rsidRPr="009342F9">
        <w:rPr>
          <w:rFonts w:ascii="Arial" w:eastAsia="Times New Roman" w:hAnsi="Arial" w:cs="Arial"/>
          <w:color w:val="000000"/>
          <w:lang w:eastAsia="es-CO"/>
        </w:rPr>
        <w:softHyphen/>
        <w:t>do inhabitable como consecuencia de desastres naturales, calamidades públicas, emergencias, o atentados terroristas, o que haya sido abandonada o despojada en el marco del conflicto armado interno.  </w:t>
      </w:r>
    </w:p>
    <w:p w14:paraId="51D7A07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834C16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 No haber sido beneficiarios a cualquier título, de las coberturas de tasa de inte</w:t>
      </w:r>
      <w:r w:rsidRPr="009342F9">
        <w:rPr>
          <w:rFonts w:ascii="Arial" w:eastAsia="Times New Roman" w:hAnsi="Arial" w:cs="Arial"/>
          <w:color w:val="000000"/>
          <w:lang w:eastAsia="es-CO"/>
        </w:rPr>
        <w:softHyphen/>
        <w:t>rés, establecidas en el Decreto 1068 de 2015, Decreto Único Reglamentario del Sector Hacienda y Crédito Público, y en el presente decreto, y las normas que los reglamenten, modifiquen, adicionen o sustituyan.  </w:t>
      </w:r>
    </w:p>
    <w:p w14:paraId="52143198" w14:textId="6E6D688D"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664" w:name="ver_30205784"/>
      <w:bookmarkEnd w:id="664"/>
    </w:p>
    <w:p w14:paraId="6BBF81FD" w14:textId="1DEC4103"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2.1.1.9.6.</w:t>
      </w:r>
      <w:r w:rsidR="009C22F2">
        <w:rPr>
          <w:rFonts w:ascii="Arial" w:eastAsia="Times New Roman" w:hAnsi="Arial" w:cs="Arial"/>
          <w:color w:val="000000"/>
          <w:lang w:eastAsia="es-CO"/>
        </w:rPr>
        <w:t xml:space="preserve"> </w:t>
      </w:r>
      <w:r w:rsidRPr="009342F9">
        <w:rPr>
          <w:rFonts w:ascii="Arial" w:eastAsia="Times New Roman" w:hAnsi="Arial" w:cs="Arial"/>
          <w:color w:val="000000"/>
          <w:lang w:eastAsia="es-CO"/>
        </w:rPr>
        <w:t>Postulación de beneficiarios y solicitud de habilitación del cupo de subsidio. La postulación de los hogares interesados en ser beneficiarios del subsidio se hará a través del diligenciamiento del documento de postulación que defina el Fondo Nacional de Vivienda y la apertura por parte de alguno de los miembros mayores de edad del hogar interesado, de un producto financiero de ahorro que cumpla con las condiciones que establezca el Ministerio de Vivienda, Ciudad y Territorio.  </w:t>
      </w:r>
    </w:p>
    <w:p w14:paraId="2CEAA4B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0BE109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 través de la consulta en el sistema que indique el Fondo Nacional de Vivienda, el establecimiento de crédito en el que se haya efectuado la apertura del producto, verificará que el hogar cumpla las condiciones de acceso establecidas en el artículo 2.1.1.9.5, y solicitará al Fondo Nacional de Vivienda la habilitación del cupo de subsidio.  </w:t>
      </w:r>
    </w:p>
    <w:p w14:paraId="568E6FD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164FA1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El establecimiento de crédito también podrá solicitar la habilitación del cupo de subsidio para los hogares que ya cuenten con el producto financiero que cumpla con las condiciones que establezca el Ministerio de Vivienda, Ciudad y Territorio, previo diligenciamiento del documento de postulación que defina el Fondo Nacional de Vivienda por parte de alguno de los miembros mayores de edad del hogar interesado.  </w:t>
      </w:r>
    </w:p>
    <w:p w14:paraId="53377075" w14:textId="16DEA5F4"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665" w:name="ver_30205785"/>
      <w:bookmarkEnd w:id="665"/>
    </w:p>
    <w:p w14:paraId="10E227A0" w14:textId="0B86D2DB"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2.1.1.9.7.</w:t>
      </w:r>
      <w:r w:rsidR="009C22F2">
        <w:rPr>
          <w:rFonts w:ascii="Arial" w:eastAsia="Times New Roman" w:hAnsi="Arial" w:cs="Arial"/>
          <w:color w:val="000000"/>
          <w:lang w:eastAsia="es-CO"/>
        </w:rPr>
        <w:t xml:space="preserve"> </w:t>
      </w:r>
      <w:r w:rsidRPr="009342F9">
        <w:rPr>
          <w:rFonts w:ascii="Arial" w:eastAsia="Times New Roman" w:hAnsi="Arial" w:cs="Arial"/>
          <w:color w:val="000000"/>
          <w:lang w:eastAsia="es-CO"/>
        </w:rPr>
        <w:t>Habilitación del cupo de subsidio. Una vez se reciba la solicitud de habilitación del cupo de subsidio de que trata el artículo anterior, el Fondo Nacional de Vivienda procederá a expedir la comunicación que acredita el cumplimiento de los requisitos y la reserva del cupo por un máximo de 24 meses en el programa. En dicha comunicación se dejarán explícitas las condiciones a las que se encuentra sujeta la asignación del subsidio.  </w:t>
      </w:r>
    </w:p>
    <w:p w14:paraId="4F16E6E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CA564E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 habilitación del cupo solo podrá hacerse siempre que la asignación del subsidio no supere el 31 de diciembre de 2025.  </w:t>
      </w:r>
    </w:p>
    <w:p w14:paraId="301D50E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FB59D5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xml:space="preserve">Parágrafo. El hogar que goce de la habilitación del cupo de </w:t>
      </w:r>
      <w:proofErr w:type="gramStart"/>
      <w:r w:rsidRPr="009342F9">
        <w:rPr>
          <w:rFonts w:ascii="Arial" w:eastAsia="Times New Roman" w:hAnsi="Arial" w:cs="Arial"/>
          <w:color w:val="000000"/>
          <w:lang w:eastAsia="es-CO"/>
        </w:rPr>
        <w:t>subsidio,</w:t>
      </w:r>
      <w:proofErr w:type="gramEnd"/>
      <w:r w:rsidRPr="009342F9">
        <w:rPr>
          <w:rFonts w:ascii="Arial" w:eastAsia="Times New Roman" w:hAnsi="Arial" w:cs="Arial"/>
          <w:color w:val="000000"/>
          <w:lang w:eastAsia="es-CO"/>
        </w:rPr>
        <w:t xml:space="preserve"> deberá mantener las condiciones y requisitos hasta que el Fondo Nacional de Vivienda profiera acto administrativo de asignación, so pena de perder dicho beneficio.  </w:t>
      </w:r>
    </w:p>
    <w:p w14:paraId="37E65022" w14:textId="3E393458"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666" w:name="ver_30205786"/>
      <w:bookmarkEnd w:id="666"/>
    </w:p>
    <w:p w14:paraId="199D0112" w14:textId="4E53C8F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2.1.1.9.8.</w:t>
      </w:r>
      <w:r w:rsidR="009C22F2">
        <w:rPr>
          <w:rFonts w:ascii="Arial" w:eastAsia="Times New Roman" w:hAnsi="Arial" w:cs="Arial"/>
          <w:color w:val="000000"/>
          <w:lang w:eastAsia="es-CO"/>
        </w:rPr>
        <w:t xml:space="preserve"> </w:t>
      </w:r>
      <w:r w:rsidRPr="009342F9">
        <w:rPr>
          <w:rFonts w:ascii="Arial" w:eastAsia="Times New Roman" w:hAnsi="Arial" w:cs="Arial"/>
          <w:color w:val="000000"/>
          <w:lang w:eastAsia="es-CO"/>
        </w:rPr>
        <w:t xml:space="preserve">Condiciones para la asignación del Subsidio. La asignación del subsidio familiar de vivienda habilitado de conformidad con lo estipulado en este </w:t>
      </w:r>
      <w:proofErr w:type="gramStart"/>
      <w:r w:rsidRPr="009342F9">
        <w:rPr>
          <w:rFonts w:ascii="Arial" w:eastAsia="Times New Roman" w:hAnsi="Arial" w:cs="Arial"/>
          <w:color w:val="000000"/>
          <w:lang w:eastAsia="es-CO"/>
        </w:rPr>
        <w:t>capítulo,</w:t>
      </w:r>
      <w:proofErr w:type="gramEnd"/>
      <w:r w:rsidRPr="009342F9">
        <w:rPr>
          <w:rFonts w:ascii="Arial" w:eastAsia="Times New Roman" w:hAnsi="Arial" w:cs="Arial"/>
          <w:color w:val="000000"/>
          <w:lang w:eastAsia="es-CO"/>
        </w:rPr>
        <w:t xml:space="preserve"> estará sujeta al cumplimiento de las </w:t>
      </w:r>
      <w:proofErr w:type="spellStart"/>
      <w:r w:rsidRPr="009342F9">
        <w:rPr>
          <w:rFonts w:ascii="Arial" w:eastAsia="Times New Roman" w:hAnsi="Arial" w:cs="Arial"/>
          <w:color w:val="000000"/>
          <w:lang w:eastAsia="es-CO"/>
        </w:rPr>
        <w:t>siguienteis</w:t>
      </w:r>
      <w:proofErr w:type="spellEnd"/>
      <w:r w:rsidRPr="009342F9">
        <w:rPr>
          <w:rFonts w:ascii="Arial" w:eastAsia="Times New Roman" w:hAnsi="Arial" w:cs="Arial"/>
          <w:color w:val="000000"/>
          <w:lang w:eastAsia="es-CO"/>
        </w:rPr>
        <w:t xml:space="preserve"> condiciones:  </w:t>
      </w:r>
    </w:p>
    <w:p w14:paraId="373EC56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E283DF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 Que el hogar beneficiario complete un monto mínimo de 4.5 salarios mínimos legales mensuales vigentes en el producto financiero de ahorro, en máximo die</w:t>
      </w:r>
      <w:r w:rsidRPr="009342F9">
        <w:rPr>
          <w:rFonts w:ascii="Arial" w:eastAsia="Times New Roman" w:hAnsi="Arial" w:cs="Arial"/>
          <w:color w:val="000000"/>
          <w:lang w:eastAsia="es-CO"/>
        </w:rPr>
        <w:softHyphen/>
        <w:t>ciocho (18) meses que empezarán a contar a partir de la expedición de la comu</w:t>
      </w:r>
      <w:r w:rsidRPr="009342F9">
        <w:rPr>
          <w:rFonts w:ascii="Arial" w:eastAsia="Times New Roman" w:hAnsi="Arial" w:cs="Arial"/>
          <w:color w:val="000000"/>
          <w:lang w:eastAsia="es-CO"/>
        </w:rPr>
        <w:softHyphen/>
        <w:t>nicación de habilitación en el programa.  </w:t>
      </w:r>
    </w:p>
    <w:p w14:paraId="68DEDB8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898313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b) Que dentro de los seis (6) meses posteriores al cumplimiento del requisito es</w:t>
      </w:r>
      <w:r w:rsidRPr="009342F9">
        <w:rPr>
          <w:rFonts w:ascii="Arial" w:eastAsia="Times New Roman" w:hAnsi="Arial" w:cs="Arial"/>
          <w:color w:val="000000"/>
          <w:lang w:eastAsia="es-CO"/>
        </w:rPr>
        <w:softHyphen/>
        <w:t xml:space="preserve">tablecido en el literal (a) del presente artículo, el hogar cuente con una carta de aprobación de crédito hipotecario o una operación de leasing habitacional. Para los hogares </w:t>
      </w:r>
      <w:proofErr w:type="gramStart"/>
      <w:r w:rsidRPr="009342F9">
        <w:rPr>
          <w:rFonts w:ascii="Arial" w:eastAsia="Times New Roman" w:hAnsi="Arial" w:cs="Arial"/>
          <w:color w:val="000000"/>
          <w:lang w:eastAsia="es-CO"/>
        </w:rPr>
        <w:t>que</w:t>
      </w:r>
      <w:proofErr w:type="gramEnd"/>
      <w:r w:rsidRPr="009342F9">
        <w:rPr>
          <w:rFonts w:ascii="Arial" w:eastAsia="Times New Roman" w:hAnsi="Arial" w:cs="Arial"/>
          <w:color w:val="000000"/>
          <w:lang w:eastAsia="es-CO"/>
        </w:rPr>
        <w:t xml:space="preserve"> a la entrada en vigencia de este capítulo, ya hayan cumplido con el requisito establecido en el literal (a) del presente artículo, el término para la acreditación de la aprobación del crédito hipotecario o la aprobación del leasing habitacional empezará a contar a partir de la fecha de entrada en vigencia del acto administrativo expedido por el Ministerio de Vivienda, Ciudad y Territorio, a través del cual se reglamenten las condiciones del producto financiero.  </w:t>
      </w:r>
    </w:p>
    <w:p w14:paraId="4EDADDA4" w14:textId="319B8303"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667" w:name="ver_30205787"/>
      <w:bookmarkEnd w:id="667"/>
    </w:p>
    <w:p w14:paraId="3D75C674" w14:textId="7F51886A"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2.1.1.9.9.</w:t>
      </w:r>
      <w:r w:rsidR="009C22F2">
        <w:rPr>
          <w:rFonts w:ascii="Arial" w:eastAsia="Times New Roman" w:hAnsi="Arial" w:cs="Arial"/>
          <w:color w:val="000000"/>
          <w:lang w:eastAsia="es-CO"/>
        </w:rPr>
        <w:t xml:space="preserve"> </w:t>
      </w:r>
      <w:r w:rsidRPr="009342F9">
        <w:rPr>
          <w:rFonts w:ascii="Arial" w:eastAsia="Times New Roman" w:hAnsi="Arial" w:cs="Arial"/>
          <w:color w:val="000000"/>
          <w:lang w:eastAsia="es-CO"/>
        </w:rPr>
        <w:t>Solicitud de Asignación del Subsidio. Cumplidos los anteriores requisitos, el establecimiento de crédito verificará el cumplimiento de las condiciones establecidas en el artículo 2.1.1.9.5 a través de la consulta con el sistema que indique el Fondo Nacional de Vivienda, y solicitará a dicha entidad la expedición del acto administrativo de asignación del subsidio.  </w:t>
      </w:r>
    </w:p>
    <w:p w14:paraId="6A4B1CD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E9F4A7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 asignación del subsidio no podrá superar el 31 de diciembre de 2025.  </w:t>
      </w:r>
    </w:p>
    <w:p w14:paraId="1FF96F1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F27520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Los hogares que ya cuenten con el producto financiero de ahorro que cumpla con las condiciones establecidas por el Ministerio de Vivienda, Ciudad y Territorio, así como con las condiciones establecidas en los artículos 2.1.1.9.5 y 2.1.1.9.8 del presente decreto, no requerirán de habilitación del cupo de subsidio.  </w:t>
      </w:r>
    </w:p>
    <w:p w14:paraId="24D7DE74" w14:textId="67773AA2"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668" w:name="ver_30205788"/>
      <w:bookmarkEnd w:id="668"/>
    </w:p>
    <w:p w14:paraId="087DDCAA" w14:textId="75EB3ECB"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2.1.1.9.10.</w:t>
      </w:r>
      <w:r w:rsidR="009C22F2">
        <w:rPr>
          <w:rFonts w:ascii="Arial" w:eastAsia="Times New Roman" w:hAnsi="Arial" w:cs="Arial"/>
          <w:color w:val="000000"/>
          <w:lang w:eastAsia="es-CO"/>
        </w:rPr>
        <w:t xml:space="preserve"> </w:t>
      </w:r>
      <w:r w:rsidRPr="009342F9">
        <w:rPr>
          <w:rFonts w:ascii="Arial" w:eastAsia="Times New Roman" w:hAnsi="Arial" w:cs="Arial"/>
          <w:color w:val="000000"/>
          <w:lang w:eastAsia="es-CO"/>
        </w:rPr>
        <w:t xml:space="preserve">Desembolso del subsidio. El desembolso del subsidio familiar de vivienda al vendedor de la </w:t>
      </w:r>
      <w:proofErr w:type="gramStart"/>
      <w:r w:rsidRPr="009342F9">
        <w:rPr>
          <w:rFonts w:ascii="Arial" w:eastAsia="Times New Roman" w:hAnsi="Arial" w:cs="Arial"/>
          <w:color w:val="000000"/>
          <w:lang w:eastAsia="es-CO"/>
        </w:rPr>
        <w:t>misma,</w:t>
      </w:r>
      <w:proofErr w:type="gramEnd"/>
      <w:r w:rsidRPr="009342F9">
        <w:rPr>
          <w:rFonts w:ascii="Arial" w:eastAsia="Times New Roman" w:hAnsi="Arial" w:cs="Arial"/>
          <w:color w:val="000000"/>
          <w:lang w:eastAsia="es-CO"/>
        </w:rPr>
        <w:t xml:space="preserve"> estará condicionado al cumplimiento de las mismas condiciones establecidas para el desembolso del subsidio del Programa “Mi Casa Ya”, establecidas en el inciso tercero del artículo 2.1.1.4.1.5.2 de este decreto. </w:t>
      </w:r>
    </w:p>
    <w:p w14:paraId="74E57F1A"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669" w:name="ver_30205789"/>
      <w:bookmarkEnd w:id="669"/>
    </w:p>
    <w:p w14:paraId="234A0E6B" w14:textId="5C904951"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2.1.1.9.11.</w:t>
      </w:r>
      <w:r w:rsidR="00C2229B">
        <w:rPr>
          <w:rFonts w:ascii="Arial" w:eastAsia="Times New Roman" w:hAnsi="Arial" w:cs="Arial"/>
          <w:color w:val="000000"/>
          <w:lang w:eastAsia="es-CO"/>
        </w:rPr>
        <w:t xml:space="preserve"> </w:t>
      </w:r>
      <w:r w:rsidRPr="009342F9">
        <w:rPr>
          <w:rFonts w:ascii="Arial" w:eastAsia="Times New Roman" w:hAnsi="Arial" w:cs="Arial"/>
          <w:color w:val="000000"/>
          <w:lang w:eastAsia="es-CO"/>
        </w:rPr>
        <w:t>Enfoque diferencial. El Ministerio de Vivienda, Ciudad y Territorio podrá establecer hasta un veinte por ciento (20%) como porcentaje mínimo de destinación de subsidios con aplicación de criterios de enfoque diferencial dentro de los que deberán estar incluidos como mínimo la población víctima de desplazamiento forzado, las mujeres cabeza de familia de los estratos más pobres de la población, las trabajadoras del sector informal, las madres comunitarias, las personas de la tercera edad, los miembros de comunidades étnicas, la población en situación de discapacidad, los miembros de la fuerza pública, los familiares beneficiarios de estos que hubieren fallecido en actos del servicio y personal de la fuerza pública que haya tenido disminución en capacidad psicofísica o incapacidad absoluta permanente por gran invalidez.  </w:t>
      </w:r>
    </w:p>
    <w:p w14:paraId="4427369B"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670" w:name="ver_30205790"/>
      <w:bookmarkEnd w:id="670"/>
    </w:p>
    <w:p w14:paraId="2F66AF60" w14:textId="2659869D"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Artículo 2.1.1.9.12.</w:t>
      </w:r>
      <w:r w:rsidR="00C2229B">
        <w:rPr>
          <w:rFonts w:ascii="Arial" w:eastAsia="Times New Roman" w:hAnsi="Arial" w:cs="Arial"/>
          <w:color w:val="000000"/>
          <w:lang w:eastAsia="es-CO"/>
        </w:rPr>
        <w:t xml:space="preserve"> </w:t>
      </w:r>
      <w:r w:rsidRPr="009342F9">
        <w:rPr>
          <w:rFonts w:ascii="Arial" w:eastAsia="Times New Roman" w:hAnsi="Arial" w:cs="Arial"/>
          <w:color w:val="000000"/>
          <w:lang w:eastAsia="es-CO"/>
        </w:rPr>
        <w:t xml:space="preserve">Legalización y condiciones de restitución del subsidio. Para efectos de la legalización del subsidio y las condiciones de restitución </w:t>
      </w:r>
      <w:proofErr w:type="gramStart"/>
      <w:r w:rsidRPr="009342F9">
        <w:rPr>
          <w:rFonts w:ascii="Arial" w:eastAsia="Times New Roman" w:hAnsi="Arial" w:cs="Arial"/>
          <w:color w:val="000000"/>
          <w:lang w:eastAsia="es-CO"/>
        </w:rPr>
        <w:t>del mismo</w:t>
      </w:r>
      <w:proofErr w:type="gramEnd"/>
      <w:r w:rsidRPr="009342F9">
        <w:rPr>
          <w:rFonts w:ascii="Arial" w:eastAsia="Times New Roman" w:hAnsi="Arial" w:cs="Arial"/>
          <w:color w:val="000000"/>
          <w:lang w:eastAsia="es-CO"/>
        </w:rPr>
        <w:t>, se dará aplicación a lo dispuesto en los artículos 2.1.1.4.1.5.5 y 2.1.1.4.1.6.1 del presente decreto.  </w:t>
      </w:r>
    </w:p>
    <w:p w14:paraId="21A6CED8"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671" w:name="ver_30205791"/>
      <w:bookmarkEnd w:id="671"/>
    </w:p>
    <w:p w14:paraId="1759E912" w14:textId="538DF4E0"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2.1.1.9.13.</w:t>
      </w:r>
      <w:r w:rsidR="00C2229B">
        <w:rPr>
          <w:rFonts w:ascii="Arial" w:eastAsia="Times New Roman" w:hAnsi="Arial" w:cs="Arial"/>
          <w:color w:val="000000"/>
          <w:lang w:eastAsia="es-CO"/>
        </w:rPr>
        <w:t xml:space="preserve"> </w:t>
      </w:r>
      <w:r w:rsidRPr="009342F9">
        <w:rPr>
          <w:rFonts w:ascii="Arial" w:eastAsia="Times New Roman" w:hAnsi="Arial" w:cs="Arial"/>
          <w:color w:val="000000"/>
          <w:lang w:eastAsia="es-CO"/>
        </w:rPr>
        <w:t>Complementariedad y Concurrencia. El subsidio familiar de vivienda de que trata el presente capítulo se podrá aplicar de manera complementaria con el asignado en el marco del Programa “Mi Casa Ya” y de forma concurrente con el asignado por las Cajas de Compensación Familiar siempre y cuando se trate de postulaciones nuevas y se apliquen las siguientes reglas para la definición del valor del subsidio:  </w:t>
      </w:r>
    </w:p>
    <w:p w14:paraId="6F4F1EA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957883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Cuando se apliquen complementariamente los subsidios de los programas “Se</w:t>
      </w:r>
      <w:r w:rsidRPr="009342F9">
        <w:rPr>
          <w:rFonts w:ascii="Arial" w:eastAsia="Times New Roman" w:hAnsi="Arial" w:cs="Arial"/>
          <w:color w:val="000000"/>
          <w:lang w:eastAsia="es-CO"/>
        </w:rPr>
        <w:softHyphen/>
        <w:t>millero de Propietarios - Ahorradores” y “Mi Casa Ya” sin concurrencia con el subsidio otorgado por Cajas de Compensación Familiar:  </w:t>
      </w:r>
    </w:p>
    <w:p w14:paraId="3E12865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795"/>
        <w:gridCol w:w="5100"/>
      </w:tblGrid>
      <w:tr w:rsidR="00FC79C1" w:rsidRPr="009342F9" w14:paraId="0F009133" w14:textId="77777777" w:rsidTr="00FC79C1">
        <w:trPr>
          <w:trHeight w:val="105"/>
          <w:tblCellSpacing w:w="0" w:type="dxa"/>
        </w:trPr>
        <w:tc>
          <w:tcPr>
            <w:tcW w:w="3795" w:type="dxa"/>
            <w:tcBorders>
              <w:top w:val="outset" w:sz="6" w:space="0" w:color="auto"/>
              <w:left w:val="outset" w:sz="6" w:space="0" w:color="auto"/>
              <w:bottom w:val="outset" w:sz="6" w:space="0" w:color="auto"/>
              <w:right w:val="outset" w:sz="6" w:space="0" w:color="auto"/>
            </w:tcBorders>
            <w:vAlign w:val="center"/>
            <w:hideMark/>
          </w:tcPr>
          <w:p w14:paraId="67B9A7C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Programa </w:t>
            </w:r>
          </w:p>
        </w:tc>
        <w:tc>
          <w:tcPr>
            <w:tcW w:w="5100" w:type="dxa"/>
            <w:tcBorders>
              <w:top w:val="outset" w:sz="6" w:space="0" w:color="auto"/>
              <w:left w:val="outset" w:sz="6" w:space="0" w:color="auto"/>
              <w:bottom w:val="outset" w:sz="6" w:space="0" w:color="auto"/>
              <w:right w:val="outset" w:sz="6" w:space="0" w:color="auto"/>
            </w:tcBorders>
            <w:vAlign w:val="center"/>
            <w:hideMark/>
          </w:tcPr>
          <w:p w14:paraId="586753A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Monto del subsidio </w:t>
            </w:r>
          </w:p>
        </w:tc>
      </w:tr>
      <w:tr w:rsidR="00FC79C1" w:rsidRPr="009342F9" w14:paraId="5F8340F8" w14:textId="77777777" w:rsidTr="00FC79C1">
        <w:trPr>
          <w:trHeight w:val="105"/>
          <w:tblCellSpacing w:w="0" w:type="dxa"/>
        </w:trPr>
        <w:tc>
          <w:tcPr>
            <w:tcW w:w="3795" w:type="dxa"/>
            <w:tcBorders>
              <w:top w:val="outset" w:sz="6" w:space="0" w:color="auto"/>
              <w:left w:val="outset" w:sz="6" w:space="0" w:color="auto"/>
              <w:bottom w:val="outset" w:sz="6" w:space="0" w:color="auto"/>
              <w:right w:val="outset" w:sz="6" w:space="0" w:color="auto"/>
            </w:tcBorders>
            <w:vAlign w:val="center"/>
            <w:hideMark/>
          </w:tcPr>
          <w:p w14:paraId="23CF041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Semillero de Propietarios - Ahorradores  </w:t>
            </w:r>
          </w:p>
        </w:tc>
        <w:tc>
          <w:tcPr>
            <w:tcW w:w="5100" w:type="dxa"/>
            <w:tcBorders>
              <w:top w:val="outset" w:sz="6" w:space="0" w:color="auto"/>
              <w:left w:val="outset" w:sz="6" w:space="0" w:color="auto"/>
              <w:bottom w:val="outset" w:sz="6" w:space="0" w:color="auto"/>
              <w:right w:val="outset" w:sz="6" w:space="0" w:color="auto"/>
            </w:tcBorders>
            <w:vAlign w:val="center"/>
            <w:hideMark/>
          </w:tcPr>
          <w:p w14:paraId="57DD4A9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Hasta 6 salarios mínimos legales mensuales vigentes  </w:t>
            </w:r>
          </w:p>
        </w:tc>
      </w:tr>
      <w:tr w:rsidR="00FC79C1" w:rsidRPr="009342F9" w14:paraId="4E93300D" w14:textId="77777777" w:rsidTr="00FC79C1">
        <w:trPr>
          <w:trHeight w:val="105"/>
          <w:tblCellSpacing w:w="0" w:type="dxa"/>
        </w:trPr>
        <w:tc>
          <w:tcPr>
            <w:tcW w:w="3795" w:type="dxa"/>
            <w:tcBorders>
              <w:top w:val="outset" w:sz="6" w:space="0" w:color="auto"/>
              <w:left w:val="outset" w:sz="6" w:space="0" w:color="auto"/>
              <w:bottom w:val="outset" w:sz="6" w:space="0" w:color="auto"/>
              <w:right w:val="outset" w:sz="6" w:space="0" w:color="auto"/>
            </w:tcBorders>
            <w:vAlign w:val="center"/>
            <w:hideMark/>
          </w:tcPr>
          <w:p w14:paraId="49605A3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Mi Casa Ya  </w:t>
            </w:r>
          </w:p>
        </w:tc>
        <w:tc>
          <w:tcPr>
            <w:tcW w:w="5100" w:type="dxa"/>
            <w:tcBorders>
              <w:top w:val="outset" w:sz="6" w:space="0" w:color="auto"/>
              <w:left w:val="outset" w:sz="6" w:space="0" w:color="auto"/>
              <w:bottom w:val="outset" w:sz="6" w:space="0" w:color="auto"/>
              <w:right w:val="outset" w:sz="6" w:space="0" w:color="auto"/>
            </w:tcBorders>
            <w:vAlign w:val="center"/>
            <w:hideMark/>
          </w:tcPr>
          <w:p w14:paraId="1070B31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Hasta 30 salarios mínimos legales mensuales vigentes  </w:t>
            </w:r>
          </w:p>
        </w:tc>
      </w:tr>
    </w:tbl>
    <w:p w14:paraId="7FA7537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13ACA6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Cuando se apliquen complementariamente los subsidios de los programas “Se</w:t>
      </w:r>
      <w:r w:rsidRPr="009342F9">
        <w:rPr>
          <w:rFonts w:ascii="Arial" w:eastAsia="Times New Roman" w:hAnsi="Arial" w:cs="Arial"/>
          <w:color w:val="000000"/>
          <w:lang w:eastAsia="es-CO"/>
        </w:rPr>
        <w:softHyphen/>
        <w:t>millero de Propietarios - Ahorradores” y “Mi Casa Ya” con concurrencia con el subsidio otorgado por Cajas de Compensación Familiar:  </w:t>
      </w:r>
    </w:p>
    <w:p w14:paraId="5773FC7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05"/>
        <w:gridCol w:w="5490"/>
      </w:tblGrid>
      <w:tr w:rsidR="00FC79C1" w:rsidRPr="009342F9" w14:paraId="1FC4BFB1" w14:textId="77777777" w:rsidTr="00FC79C1">
        <w:trPr>
          <w:trHeight w:val="105"/>
          <w:tblCellSpacing w:w="0" w:type="dxa"/>
        </w:trPr>
        <w:tc>
          <w:tcPr>
            <w:tcW w:w="3405" w:type="dxa"/>
            <w:tcBorders>
              <w:top w:val="outset" w:sz="6" w:space="0" w:color="auto"/>
              <w:left w:val="outset" w:sz="6" w:space="0" w:color="auto"/>
              <w:bottom w:val="outset" w:sz="6" w:space="0" w:color="auto"/>
              <w:right w:val="outset" w:sz="6" w:space="0" w:color="auto"/>
            </w:tcBorders>
            <w:vAlign w:val="center"/>
            <w:hideMark/>
          </w:tcPr>
          <w:p w14:paraId="17A9C87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Programa  </w:t>
            </w:r>
          </w:p>
        </w:tc>
        <w:tc>
          <w:tcPr>
            <w:tcW w:w="5490" w:type="dxa"/>
            <w:tcBorders>
              <w:top w:val="outset" w:sz="6" w:space="0" w:color="auto"/>
              <w:left w:val="outset" w:sz="6" w:space="0" w:color="auto"/>
              <w:bottom w:val="outset" w:sz="6" w:space="0" w:color="auto"/>
              <w:right w:val="outset" w:sz="6" w:space="0" w:color="auto"/>
            </w:tcBorders>
            <w:vAlign w:val="center"/>
            <w:hideMark/>
          </w:tcPr>
          <w:p w14:paraId="677C1F2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Monto del subsidio  </w:t>
            </w:r>
          </w:p>
        </w:tc>
      </w:tr>
      <w:tr w:rsidR="00FC79C1" w:rsidRPr="009342F9" w14:paraId="6E6C091F" w14:textId="77777777" w:rsidTr="00FC79C1">
        <w:trPr>
          <w:trHeight w:val="105"/>
          <w:tblCellSpacing w:w="0" w:type="dxa"/>
        </w:trPr>
        <w:tc>
          <w:tcPr>
            <w:tcW w:w="3405" w:type="dxa"/>
            <w:tcBorders>
              <w:top w:val="outset" w:sz="6" w:space="0" w:color="auto"/>
              <w:left w:val="outset" w:sz="6" w:space="0" w:color="auto"/>
              <w:bottom w:val="outset" w:sz="6" w:space="0" w:color="auto"/>
              <w:right w:val="outset" w:sz="6" w:space="0" w:color="auto"/>
            </w:tcBorders>
            <w:vAlign w:val="center"/>
            <w:hideMark/>
          </w:tcPr>
          <w:p w14:paraId="59FAA19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Semillero de Propietarios - Ahorradores  </w:t>
            </w:r>
          </w:p>
        </w:tc>
        <w:tc>
          <w:tcPr>
            <w:tcW w:w="5490" w:type="dxa"/>
            <w:tcBorders>
              <w:top w:val="outset" w:sz="6" w:space="0" w:color="auto"/>
              <w:left w:val="outset" w:sz="6" w:space="0" w:color="auto"/>
              <w:bottom w:val="outset" w:sz="6" w:space="0" w:color="auto"/>
              <w:right w:val="outset" w:sz="6" w:space="0" w:color="auto"/>
            </w:tcBorders>
            <w:vAlign w:val="center"/>
            <w:hideMark/>
          </w:tcPr>
          <w:p w14:paraId="7F1547A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Hasta 6 salarios mínimos legales mensuales vigentes  </w:t>
            </w:r>
          </w:p>
        </w:tc>
      </w:tr>
      <w:tr w:rsidR="00FC79C1" w:rsidRPr="009342F9" w14:paraId="539D4102" w14:textId="77777777" w:rsidTr="00FC79C1">
        <w:trPr>
          <w:trHeight w:val="105"/>
          <w:tblCellSpacing w:w="0" w:type="dxa"/>
        </w:trPr>
        <w:tc>
          <w:tcPr>
            <w:tcW w:w="3405" w:type="dxa"/>
            <w:tcBorders>
              <w:top w:val="outset" w:sz="6" w:space="0" w:color="auto"/>
              <w:left w:val="outset" w:sz="6" w:space="0" w:color="auto"/>
              <w:bottom w:val="outset" w:sz="6" w:space="0" w:color="auto"/>
              <w:right w:val="outset" w:sz="6" w:space="0" w:color="auto"/>
            </w:tcBorders>
            <w:vAlign w:val="center"/>
            <w:hideMark/>
          </w:tcPr>
          <w:p w14:paraId="41A6D08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Mi Casa Ya  </w:t>
            </w:r>
          </w:p>
        </w:tc>
        <w:tc>
          <w:tcPr>
            <w:tcW w:w="5490" w:type="dxa"/>
            <w:tcBorders>
              <w:top w:val="outset" w:sz="6" w:space="0" w:color="auto"/>
              <w:left w:val="outset" w:sz="6" w:space="0" w:color="auto"/>
              <w:bottom w:val="outset" w:sz="6" w:space="0" w:color="auto"/>
              <w:right w:val="outset" w:sz="6" w:space="0" w:color="auto"/>
            </w:tcBorders>
            <w:vAlign w:val="center"/>
            <w:hideMark/>
          </w:tcPr>
          <w:p w14:paraId="379B15B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Hasta 20 salarios mínimos legales mensuales vigentes  </w:t>
            </w:r>
          </w:p>
        </w:tc>
      </w:tr>
      <w:tr w:rsidR="00FC79C1" w:rsidRPr="009342F9" w14:paraId="795ED2E9" w14:textId="77777777" w:rsidTr="00FC79C1">
        <w:trPr>
          <w:trHeight w:val="105"/>
          <w:tblCellSpacing w:w="0" w:type="dxa"/>
        </w:trPr>
        <w:tc>
          <w:tcPr>
            <w:tcW w:w="3405" w:type="dxa"/>
            <w:tcBorders>
              <w:top w:val="outset" w:sz="6" w:space="0" w:color="auto"/>
              <w:left w:val="outset" w:sz="6" w:space="0" w:color="auto"/>
              <w:bottom w:val="outset" w:sz="6" w:space="0" w:color="auto"/>
              <w:right w:val="outset" w:sz="6" w:space="0" w:color="auto"/>
            </w:tcBorders>
            <w:vAlign w:val="center"/>
            <w:hideMark/>
          </w:tcPr>
          <w:p w14:paraId="52D3CBA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Caja de Compensación Familiar  </w:t>
            </w:r>
          </w:p>
        </w:tc>
        <w:tc>
          <w:tcPr>
            <w:tcW w:w="5490" w:type="dxa"/>
            <w:tcBorders>
              <w:top w:val="outset" w:sz="6" w:space="0" w:color="auto"/>
              <w:left w:val="outset" w:sz="6" w:space="0" w:color="auto"/>
              <w:bottom w:val="outset" w:sz="6" w:space="0" w:color="auto"/>
              <w:right w:val="outset" w:sz="6" w:space="0" w:color="auto"/>
            </w:tcBorders>
            <w:vAlign w:val="center"/>
            <w:hideMark/>
          </w:tcPr>
          <w:p w14:paraId="2238D56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Hasta 30 salarios mínimos legales mensuales vigentes  </w:t>
            </w:r>
          </w:p>
        </w:tc>
      </w:tr>
    </w:tbl>
    <w:p w14:paraId="647D0216" w14:textId="0414737E"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672" w:name="ver_30205792"/>
      <w:bookmarkEnd w:id="672"/>
    </w:p>
    <w:p w14:paraId="2AC5EAF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2.1.1.9.</w:t>
      </w:r>
      <w:proofErr w:type="gramStart"/>
      <w:r w:rsidRPr="009342F9">
        <w:rPr>
          <w:rFonts w:ascii="Arial" w:eastAsia="Times New Roman" w:hAnsi="Arial" w:cs="Arial"/>
          <w:color w:val="000000"/>
          <w:lang w:eastAsia="es-CO"/>
        </w:rPr>
        <w:t>14.Ajuste</w:t>
      </w:r>
      <w:proofErr w:type="gramEnd"/>
      <w:r w:rsidRPr="009342F9">
        <w:rPr>
          <w:rFonts w:ascii="Arial" w:eastAsia="Times New Roman" w:hAnsi="Arial" w:cs="Arial"/>
          <w:color w:val="000000"/>
          <w:lang w:eastAsia="es-CO"/>
        </w:rPr>
        <w:t xml:space="preserve"> al Marco Fiscal. Los recursos del Presupuesto General de la Nación que se destinen para atender el subsidio familiar de vivienda de interés social de que trata este capítulo, así como los demás costos en que incurra Fonvivienda asociados a la ejecución de los subsidios estarán sujetos a la disponibilidad de recursos del Marco Fiscal de Mediano Plazo y el Marco de Gasto de Mediano Plazo del sector vivienda”.  </w:t>
      </w:r>
    </w:p>
    <w:p w14:paraId="05D50CC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1AC1892" w14:textId="77777777" w:rsidR="00FC79C1" w:rsidRPr="009342F9" w:rsidRDefault="00FC79C1" w:rsidP="00683694">
      <w:pPr>
        <w:spacing w:after="0" w:line="240" w:lineRule="auto"/>
        <w:jc w:val="center"/>
        <w:rPr>
          <w:rFonts w:ascii="Arial" w:eastAsia="Times New Roman" w:hAnsi="Arial" w:cs="Arial"/>
          <w:b/>
          <w:bCs/>
          <w:color w:val="000000"/>
          <w:lang w:eastAsia="es-CO"/>
        </w:rPr>
      </w:pPr>
      <w:bookmarkStart w:id="673" w:name="ver_30072247"/>
      <w:bookmarkEnd w:id="673"/>
      <w:r w:rsidRPr="009342F9">
        <w:rPr>
          <w:rFonts w:ascii="Arial" w:eastAsia="Times New Roman" w:hAnsi="Arial" w:cs="Arial"/>
          <w:b/>
          <w:bCs/>
          <w:color w:val="000000"/>
          <w:lang w:eastAsia="es-CO"/>
        </w:rPr>
        <w:t>TÍTULO 2</w:t>
      </w:r>
    </w:p>
    <w:p w14:paraId="22378A42" w14:textId="77777777" w:rsidR="00FC79C1" w:rsidRDefault="00FC79C1" w:rsidP="00683694">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TRANSFERENCIA DE BIENES FISCALES</w:t>
      </w:r>
    </w:p>
    <w:p w14:paraId="510812B0" w14:textId="77777777" w:rsidR="00C2229B" w:rsidRPr="009342F9" w:rsidRDefault="00C2229B" w:rsidP="00683694">
      <w:pPr>
        <w:spacing w:after="0" w:line="240" w:lineRule="auto"/>
        <w:jc w:val="center"/>
        <w:rPr>
          <w:rFonts w:ascii="Arial" w:eastAsia="Times New Roman" w:hAnsi="Arial" w:cs="Arial"/>
          <w:b/>
          <w:bCs/>
          <w:color w:val="000000"/>
          <w:lang w:eastAsia="es-CO"/>
        </w:rPr>
      </w:pPr>
    </w:p>
    <w:p w14:paraId="47BFCB0F" w14:textId="77777777" w:rsidR="00FC79C1" w:rsidRPr="009342F9" w:rsidRDefault="00FC79C1" w:rsidP="00683694">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CAPÍTULO 1</w:t>
      </w:r>
    </w:p>
    <w:p w14:paraId="23DDEA6C" w14:textId="77777777" w:rsidR="00FC79C1" w:rsidRPr="009342F9" w:rsidRDefault="00FC79C1" w:rsidP="00683694">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TRANSFERENCIA DE BIENES FISCALES PARA VIVIENDA DE INTERÉS SOCIAL DE LA LEY 708 DE 2002 Y LEY 1151 DE 2007</w:t>
      </w:r>
    </w:p>
    <w:p w14:paraId="13770143" w14:textId="77777777" w:rsidR="00FC79C1" w:rsidRPr="009342F9" w:rsidRDefault="00FC79C1" w:rsidP="00683694">
      <w:pPr>
        <w:spacing w:after="0" w:line="240" w:lineRule="auto"/>
        <w:jc w:val="center"/>
        <w:rPr>
          <w:rFonts w:ascii="Arial" w:eastAsia="Times New Roman" w:hAnsi="Arial" w:cs="Arial"/>
          <w:b/>
          <w:bCs/>
          <w:color w:val="000000"/>
          <w:lang w:eastAsia="es-CO"/>
        </w:rPr>
      </w:pPr>
      <w:bookmarkStart w:id="674" w:name="ver_30072249"/>
      <w:bookmarkEnd w:id="674"/>
    </w:p>
    <w:p w14:paraId="57781A8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2.1.2.1.1. Transferencia de bienes fiscales del inmueble denominado “La </w:t>
      </w:r>
      <w:proofErr w:type="spellStart"/>
      <w:r w:rsidRPr="009342F9">
        <w:rPr>
          <w:rFonts w:ascii="Arial" w:eastAsia="Times New Roman" w:hAnsi="Arial" w:cs="Arial"/>
          <w:color w:val="000000"/>
          <w:lang w:eastAsia="es-CO"/>
        </w:rPr>
        <w:t>Chiguaza</w:t>
      </w:r>
      <w:proofErr w:type="spellEnd"/>
      <w:r w:rsidRPr="009342F9">
        <w:rPr>
          <w:rFonts w:ascii="Arial" w:eastAsia="Times New Roman" w:hAnsi="Arial" w:cs="Arial"/>
          <w:color w:val="000000"/>
          <w:lang w:eastAsia="es-CO"/>
        </w:rPr>
        <w:t xml:space="preserve">”. El Ministerio de Vivienda, Ciudad y Territorio adelantará, en nombre de la Nación, las gestiones necesarias para dar cumplimiento a lo dispuesto en los artículos 90 de la Ley 1151 de 2007 y 8° de la Ley 708 de 2001, en relación con el inmueble denominado “La </w:t>
      </w:r>
      <w:proofErr w:type="spellStart"/>
      <w:r w:rsidRPr="009342F9">
        <w:rPr>
          <w:rFonts w:ascii="Arial" w:eastAsia="Times New Roman" w:hAnsi="Arial" w:cs="Arial"/>
          <w:color w:val="000000"/>
          <w:lang w:eastAsia="es-CO"/>
        </w:rPr>
        <w:t>Chiguaza</w:t>
      </w:r>
      <w:proofErr w:type="spellEnd"/>
      <w:r w:rsidRPr="009342F9">
        <w:rPr>
          <w:rFonts w:ascii="Arial" w:eastAsia="Times New Roman" w:hAnsi="Arial" w:cs="Arial"/>
          <w:color w:val="000000"/>
          <w:lang w:eastAsia="es-CO"/>
        </w:rPr>
        <w:t xml:space="preserve">”; ubicado entre las localidades de Usme y Rafael Uribe </w:t>
      </w:r>
      <w:proofErr w:type="spellStart"/>
      <w:r w:rsidRPr="009342F9">
        <w:rPr>
          <w:rFonts w:ascii="Arial" w:eastAsia="Times New Roman" w:hAnsi="Arial" w:cs="Arial"/>
          <w:color w:val="000000"/>
          <w:lang w:eastAsia="es-CO"/>
        </w:rPr>
        <w:t>Uribe</w:t>
      </w:r>
      <w:proofErr w:type="spellEnd"/>
      <w:r w:rsidRPr="009342F9">
        <w:rPr>
          <w:rFonts w:ascii="Arial" w:eastAsia="Times New Roman" w:hAnsi="Arial" w:cs="Arial"/>
          <w:color w:val="000000"/>
          <w:lang w:eastAsia="es-CO"/>
        </w:rPr>
        <w:t xml:space="preserve"> e identificado con el Folio de Matrícula Inmobiliaria número 50S-374420. </w:t>
      </w:r>
    </w:p>
    <w:p w14:paraId="3F6397C4" w14:textId="1ED42FEB" w:rsidR="00683694"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675" w:name="ver_30072251"/>
      <w:bookmarkEnd w:id="675"/>
    </w:p>
    <w:p w14:paraId="398AC8DF" w14:textId="1F9F5A9A" w:rsidR="00FC79C1" w:rsidRPr="009342F9" w:rsidRDefault="00FC79C1" w:rsidP="00683694">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lastRenderedPageBreak/>
        <w:t>CAPÍTULO 2</w:t>
      </w:r>
    </w:p>
    <w:p w14:paraId="1C48ECDA" w14:textId="77777777" w:rsidR="00FC79C1" w:rsidRPr="009342F9" w:rsidRDefault="00FC79C1" w:rsidP="00683694">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TRANSFERENCIA DE BIENES INMUEBLES FISCALES ENTRE ENTIDADES, CESIÓN A TÍTULO GRATUITO O ENAJENACIÓN DE BIENES FISCALES</w:t>
      </w:r>
    </w:p>
    <w:p w14:paraId="34B338DE" w14:textId="77777777" w:rsidR="00FC79C1" w:rsidRDefault="00FC79C1" w:rsidP="00683694">
      <w:pPr>
        <w:spacing w:after="0" w:line="240" w:lineRule="auto"/>
        <w:jc w:val="center"/>
        <w:rPr>
          <w:rFonts w:ascii="Arial" w:eastAsia="Times New Roman" w:hAnsi="Arial" w:cs="Arial"/>
          <w:b/>
          <w:bCs/>
          <w:color w:val="000000"/>
          <w:lang w:eastAsia="es-CO"/>
        </w:rPr>
      </w:pPr>
      <w:r w:rsidRPr="231E957E">
        <w:rPr>
          <w:rFonts w:ascii="Arial" w:eastAsia="Times New Roman" w:hAnsi="Arial" w:cs="Arial"/>
          <w:b/>
          <w:color w:val="000000" w:themeColor="text1"/>
          <w:lang w:eastAsia="es-CO"/>
        </w:rPr>
        <w:t>OCUPADOS ILEGALMENTE</w:t>
      </w:r>
    </w:p>
    <w:p w14:paraId="7AAC57D2" w14:textId="77777777" w:rsidR="007C7D44" w:rsidRPr="009342F9" w:rsidRDefault="007C7D44" w:rsidP="00683694">
      <w:pPr>
        <w:spacing w:after="0" w:line="240" w:lineRule="auto"/>
        <w:jc w:val="center"/>
        <w:rPr>
          <w:rFonts w:ascii="Arial" w:eastAsia="Times New Roman" w:hAnsi="Arial" w:cs="Arial"/>
          <w:b/>
          <w:bCs/>
          <w:color w:val="000000"/>
          <w:lang w:eastAsia="es-CO"/>
        </w:rPr>
      </w:pPr>
    </w:p>
    <w:p w14:paraId="4C522BDC" w14:textId="77777777" w:rsidR="00FC79C1" w:rsidRPr="009342F9" w:rsidRDefault="00FC79C1" w:rsidP="00683694">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SECCIÓN 1</w:t>
      </w:r>
    </w:p>
    <w:p w14:paraId="076962AE" w14:textId="77777777" w:rsidR="00FC79C1" w:rsidRPr="009342F9" w:rsidRDefault="00FC79C1" w:rsidP="00683694">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TITULACIÓN</w:t>
      </w:r>
    </w:p>
    <w:p w14:paraId="70FB52D3"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676" w:name="ver_30210336"/>
      <w:bookmarkStart w:id="677" w:name="ver_30072260"/>
      <w:bookmarkEnd w:id="676"/>
    </w:p>
    <w:p w14:paraId="74A5498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2.1.2.2.1.1. Ámbito de aplicación. El presente capítulo se aplica en su primera sección a los artículos 276 y 277 de la Ley 1955 de 2019. La segunda sección se refiere a la cesión a título gratuito o enajenación de bienes fiscales ocupados ilegalmente, en aplicación del artículo 277 de la Ley 1955 de 2019. La tercera sección se ocupa de la transferencia de dominio de bienes fiscales entre entidades, en aplicación del artículo 276 de la Ley 1955 de 2019; y la cuarta sección a asuntos relacionados con la licencia de subdivisión, zonas de cesión obligatoria y levantamiento de hipotecas.  </w:t>
      </w:r>
    </w:p>
    <w:p w14:paraId="064CC46F"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678" w:name="ver_30210337"/>
      <w:bookmarkStart w:id="679" w:name="ver_30072264"/>
      <w:bookmarkEnd w:id="677"/>
      <w:bookmarkEnd w:id="678"/>
    </w:p>
    <w:p w14:paraId="4A188F5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2.1.2.2.1.2. Definiciones. Para efectos de lo aquí dispuesto se adoptan las siguientes definiciones:  </w:t>
      </w:r>
    </w:p>
    <w:p w14:paraId="2B40059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222B3B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Entidad cedente o enajenadora. La definición de entidad cedente o enajenadora tendrá en cuenta los siguientes criterios:  </w:t>
      </w:r>
    </w:p>
    <w:p w14:paraId="1856439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06C8B5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1.1. Cuando se trate de la transferencia entre entidades de que trata el artículo 276 de la Ley 1955 de 2019, se entenderá por entidad cedente a aquella que ostente la titula</w:t>
      </w:r>
      <w:r w:rsidRPr="009342F9">
        <w:rPr>
          <w:rFonts w:ascii="Arial" w:eastAsia="Times New Roman" w:hAnsi="Arial" w:cs="Arial"/>
          <w:color w:val="000000"/>
          <w:lang w:eastAsia="es-CO"/>
        </w:rPr>
        <w:softHyphen/>
        <w:t>ridad de la propiedad de los bienes objeto del presente capítulo.  </w:t>
      </w:r>
    </w:p>
    <w:p w14:paraId="1F2B6AD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FAF98B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1.2. Cuando se trate de la cesión a título gratuito de que trata el artículo 277 de la Ley 1955 de 2019, se entenderá por entidad cedente o enajenadora a aquella facultada para adelantar el proceso de saneamiento y titulación de los bienes objeto del pre</w:t>
      </w:r>
      <w:r w:rsidRPr="009342F9">
        <w:rPr>
          <w:rFonts w:ascii="Arial" w:eastAsia="Times New Roman" w:hAnsi="Arial" w:cs="Arial"/>
          <w:color w:val="000000"/>
          <w:lang w:eastAsia="es-CO"/>
        </w:rPr>
        <w:softHyphen/>
        <w:t>sente capítulo.  </w:t>
      </w:r>
    </w:p>
    <w:p w14:paraId="6E81BA8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1DDD36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Receptor o cesionario.  </w:t>
      </w:r>
    </w:p>
    <w:p w14:paraId="3603710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D14013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2.1. Cuando se trate de la transferencia de que trata el artículo 276 de la Ley 1955 de 2019, se entenderá por receptor o cesionario la entidad a la cual se le transfiere mediante cesión a título gratuito el derecho real de dominio de los bienes inmuebles fiscales para atender necesidades en materia de infraestructura y vivienda.  </w:t>
      </w:r>
    </w:p>
    <w:p w14:paraId="4380A75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9A0FCE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2.2. Cuando se trate de la cesión a título gratuito de que trata el artículo 277 de la Ley 1955 de 2019, se entenderá por cesionario al (a los) integrante(s) del hogar corres</w:t>
      </w:r>
      <w:r w:rsidRPr="009342F9">
        <w:rPr>
          <w:rFonts w:ascii="Arial" w:eastAsia="Times New Roman" w:hAnsi="Arial" w:cs="Arial"/>
          <w:color w:val="000000"/>
          <w:lang w:eastAsia="es-CO"/>
        </w:rPr>
        <w:softHyphen/>
        <w:t>pondiente.  </w:t>
      </w:r>
    </w:p>
    <w:p w14:paraId="70127E7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08A413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Bien fiscal titulable. Corresponde a aquel de propiedad de entidades a las que se refieren los artículos 276 y 277 de la Ley 1955 de 2019, susceptible de cesión o enajenación de conformidad con las disposiciones mencionadas.  </w:t>
      </w:r>
    </w:p>
    <w:p w14:paraId="22F4DEC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713658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Ocupación. Corresponde a la situación de hecho en virtud de la cual un hogar se encuentra asentado en un bien inmueble fiscal.  </w:t>
      </w:r>
    </w:p>
    <w:p w14:paraId="2E2B328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A3E454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 Hogar. Se entiende por hogar el conformado por una o más personas que integren el mismo núcleo familiar, los cónyuges, las uniones maritales de hecho, incluyen</w:t>
      </w:r>
      <w:r w:rsidRPr="009342F9">
        <w:rPr>
          <w:rFonts w:ascii="Arial" w:eastAsia="Times New Roman" w:hAnsi="Arial" w:cs="Arial"/>
          <w:color w:val="000000"/>
          <w:lang w:eastAsia="es-CO"/>
        </w:rPr>
        <w:softHyphen/>
        <w:t xml:space="preserve">do las parejas del mismo sexo, y/o el grupo de personas unidas por vínculos de parentesco hasta tercer grado de consanguinidad, segundo de afinidad y primero civil que compartan un mismo espacio </w:t>
      </w:r>
      <w:r w:rsidRPr="009342F9">
        <w:rPr>
          <w:rFonts w:ascii="Arial" w:eastAsia="Times New Roman" w:hAnsi="Arial" w:cs="Arial"/>
          <w:color w:val="000000"/>
          <w:lang w:eastAsia="es-CO"/>
        </w:rPr>
        <w:lastRenderedPageBreak/>
        <w:t>habitacional. Así mismo, se entiende por hogar el que se encuentre conformado por menores de edad cuando ambos padres hayan fallecido, estén desaparecidos, privados de la libertad o hayan sido priva</w:t>
      </w:r>
      <w:r w:rsidRPr="009342F9">
        <w:rPr>
          <w:rFonts w:ascii="Arial" w:eastAsia="Times New Roman" w:hAnsi="Arial" w:cs="Arial"/>
          <w:color w:val="000000"/>
          <w:lang w:eastAsia="es-CO"/>
        </w:rPr>
        <w:softHyphen/>
        <w:t>dos de la patria potestad; en estos últimos eventos, el trámite se realizará a través del tutor y/o curador en acompañamiento del defensor de familia, cuando sea del caso.  </w:t>
      </w:r>
    </w:p>
    <w:p w14:paraId="51F38AC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71FEF0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6. Medios de prueba. Son medios de prueba, entre otros, la declaración de parte, la confesión, el juramento, el testimonio de terceros, el dictamen pericial, la inspec</w:t>
      </w:r>
      <w:r w:rsidRPr="009342F9">
        <w:rPr>
          <w:rFonts w:ascii="Arial" w:eastAsia="Times New Roman" w:hAnsi="Arial" w:cs="Arial"/>
          <w:color w:val="000000"/>
          <w:lang w:eastAsia="es-CO"/>
        </w:rPr>
        <w:softHyphen/>
        <w:t>ción judicial, los documentos, los indicios, los informes y/o los demás permitidos en el Código General del Proceso.  </w:t>
      </w:r>
    </w:p>
    <w:p w14:paraId="6F21A73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91A159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7. Destinación económica de los inmuebles. Es la clasificación que otorga la au</w:t>
      </w:r>
      <w:r w:rsidRPr="009342F9">
        <w:rPr>
          <w:rFonts w:ascii="Arial" w:eastAsia="Times New Roman" w:hAnsi="Arial" w:cs="Arial"/>
          <w:color w:val="000000"/>
          <w:lang w:eastAsia="es-CO"/>
        </w:rPr>
        <w:softHyphen/>
        <w:t>toridad encargada de la gestión catastral, para fines estadísticos a cada inmueble en su conjunto-terreno, construcciones o edificaciones, en el momento de la iden</w:t>
      </w:r>
      <w:r w:rsidRPr="009342F9">
        <w:rPr>
          <w:rFonts w:ascii="Arial" w:eastAsia="Times New Roman" w:hAnsi="Arial" w:cs="Arial"/>
          <w:color w:val="000000"/>
          <w:lang w:eastAsia="es-CO"/>
        </w:rPr>
        <w:softHyphen/>
        <w:t>tificación predial, de conformidad con la actividad predominante que en él se desarrolle.  </w:t>
      </w:r>
    </w:p>
    <w:p w14:paraId="78BA5B4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04C998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8. Destinación económica habitacional. Es la clasificación que se da al inmueble cuyo destino corresponda a vivienda, en la cual se incluyen parqueaderos, garajes y depósitos ligados a la vivienda, cuente o no con reglamento de propiedad horizon</w:t>
      </w:r>
      <w:r w:rsidRPr="009342F9">
        <w:rPr>
          <w:rFonts w:ascii="Arial" w:eastAsia="Times New Roman" w:hAnsi="Arial" w:cs="Arial"/>
          <w:color w:val="000000"/>
          <w:lang w:eastAsia="es-CO"/>
        </w:rPr>
        <w:softHyphen/>
        <w:t>tal.  </w:t>
      </w:r>
    </w:p>
    <w:p w14:paraId="35AA5E5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3F2972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9. Enajenación directa. Corresponde al trámite preferente en favor del ocupante, en las condiciones establecidas en el parágrafo primero del artículo 277 de la Ley 1955 de 2019.  </w:t>
      </w:r>
    </w:p>
    <w:p w14:paraId="6C9CD78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80550A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10. Mejora. Edificación efectuada por una persona natural sobre un predio fiscal.  </w:t>
      </w:r>
    </w:p>
    <w:p w14:paraId="5EF2EA4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811C18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11. Construcción. Edificación realizada por la entidad pública sobre el predio fiscal ocupado. </w:t>
      </w:r>
    </w:p>
    <w:p w14:paraId="70E613D7"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680" w:name="ver_30210338"/>
      <w:bookmarkStart w:id="681" w:name="ver_30072265"/>
      <w:bookmarkEnd w:id="679"/>
      <w:bookmarkEnd w:id="680"/>
    </w:p>
    <w:p w14:paraId="4594135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2.1.2.2.1.3. Atribuciones y facultades. De acuerdo con lo dispuesto en el presente capítulo los representantes legales de las entidades públicas del orden territorial deberán estar facultados para la transferencia de bienes inmuebles fiscales entre entidades, cesión a título gratuito o enajenación de bienes fiscales ocupados ilegalmente. </w:t>
      </w:r>
    </w:p>
    <w:p w14:paraId="4CC6B140"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682" w:name="ver_30210340"/>
      <w:bookmarkStart w:id="683" w:name="ver_30072266"/>
      <w:bookmarkEnd w:id="681"/>
      <w:bookmarkEnd w:id="682"/>
    </w:p>
    <w:p w14:paraId="7D8AAFC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2.1.2.2.1.4. Modificado por el artículo 1 del Decreto 149 de 2020. </w:t>
      </w:r>
    </w:p>
    <w:p w14:paraId="63BA7AE3" w14:textId="77777777" w:rsidR="00FC79C1" w:rsidRPr="009342F9" w:rsidRDefault="00FC79C1" w:rsidP="00683694">
      <w:pPr>
        <w:spacing w:after="0" w:line="240" w:lineRule="auto"/>
        <w:jc w:val="center"/>
        <w:rPr>
          <w:rFonts w:ascii="Arial" w:eastAsia="Times New Roman" w:hAnsi="Arial" w:cs="Arial"/>
          <w:b/>
          <w:bCs/>
          <w:color w:val="000000"/>
          <w:lang w:eastAsia="es-CO"/>
        </w:rPr>
      </w:pPr>
    </w:p>
    <w:p w14:paraId="04093973" w14:textId="77777777" w:rsidR="00FC79C1" w:rsidRPr="009342F9" w:rsidRDefault="00FC79C1" w:rsidP="00683694">
      <w:pPr>
        <w:spacing w:after="0" w:line="240" w:lineRule="auto"/>
        <w:jc w:val="center"/>
        <w:rPr>
          <w:rFonts w:ascii="Arial" w:eastAsia="Times New Roman" w:hAnsi="Arial" w:cs="Arial"/>
          <w:b/>
          <w:bCs/>
          <w:color w:val="000000"/>
          <w:lang w:eastAsia="es-CO"/>
        </w:rPr>
      </w:pPr>
      <w:bookmarkStart w:id="684" w:name="ver_30072267"/>
      <w:bookmarkEnd w:id="683"/>
      <w:bookmarkEnd w:id="684"/>
      <w:r w:rsidRPr="009342F9">
        <w:rPr>
          <w:rFonts w:ascii="Arial" w:eastAsia="Times New Roman" w:hAnsi="Arial" w:cs="Arial"/>
          <w:b/>
          <w:bCs/>
          <w:color w:val="000000"/>
          <w:lang w:eastAsia="es-CO"/>
        </w:rPr>
        <w:t>SECCIÓN 2</w:t>
      </w:r>
    </w:p>
    <w:p w14:paraId="70EDA23A" w14:textId="77777777" w:rsidR="00FC79C1" w:rsidRPr="009342F9" w:rsidRDefault="00FC79C1" w:rsidP="00683694">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TRÁMITE DE CESIÓN GRATUITA Y ENAJENACIÓN DE BIENES FISCALES</w:t>
      </w:r>
    </w:p>
    <w:p w14:paraId="34A86093" w14:textId="77777777" w:rsidR="00D25E1B" w:rsidRDefault="00D25E1B" w:rsidP="00FC79C1">
      <w:pPr>
        <w:spacing w:after="0" w:line="240" w:lineRule="auto"/>
        <w:jc w:val="both"/>
        <w:rPr>
          <w:rFonts w:ascii="Arial" w:eastAsia="Times New Roman" w:hAnsi="Arial" w:cs="Arial"/>
          <w:color w:val="000000"/>
          <w:lang w:eastAsia="es-CO"/>
        </w:rPr>
      </w:pPr>
      <w:bookmarkStart w:id="685" w:name="ver_30072269"/>
    </w:p>
    <w:p w14:paraId="47ADA344" w14:textId="0703B7A1"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2.1.2.2.2.1. Identificación jurídica y técnica del inmueble. El trámite de cesión gratuita de bienes fiscales se adelantará de oficio o solicitud de parte.  </w:t>
      </w:r>
    </w:p>
    <w:p w14:paraId="6B5D41B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3AE02E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En el marco del proceso de transferencia la entidad cedente deberá verificar que la titularidad de pleno dominio del inmueble esté a su nombre y </w:t>
      </w:r>
      <w:proofErr w:type="gramStart"/>
      <w:r w:rsidRPr="009342F9">
        <w:rPr>
          <w:rFonts w:ascii="Arial" w:eastAsia="Times New Roman" w:hAnsi="Arial" w:cs="Arial"/>
          <w:color w:val="000000"/>
          <w:lang w:eastAsia="es-CO"/>
        </w:rPr>
        <w:t>que</w:t>
      </w:r>
      <w:proofErr w:type="gramEnd"/>
      <w:r w:rsidRPr="009342F9">
        <w:rPr>
          <w:rFonts w:ascii="Arial" w:eastAsia="Times New Roman" w:hAnsi="Arial" w:cs="Arial"/>
          <w:color w:val="000000"/>
          <w:lang w:eastAsia="es-CO"/>
        </w:rPr>
        <w:t xml:space="preserve"> además, se encuentre libre de gravámenes, limitaciones de dominio y/o afectaciones que impidan su cesión o enajenación.  </w:t>
      </w:r>
    </w:p>
    <w:p w14:paraId="75B275C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A5DBBC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Así mismo, se deberán realizar las acciones técnicas necesarias para establecer la identificación física del inmueble verificando que:  </w:t>
      </w:r>
    </w:p>
    <w:p w14:paraId="58FA4CD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563864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Cuente con mejoras y/o construcciones de destinación económica habitacional.  </w:t>
      </w:r>
    </w:p>
    <w:p w14:paraId="2622993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85CF43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Se ubique dentro del perímetro urbano del municipio o distrito.  </w:t>
      </w:r>
    </w:p>
    <w:p w14:paraId="41122AB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0FD798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No se encuentre ubicado en bienes de uso público, bienes destinados a fines institu</w:t>
      </w:r>
      <w:r w:rsidRPr="009342F9">
        <w:rPr>
          <w:rFonts w:ascii="Arial" w:eastAsia="Times New Roman" w:hAnsi="Arial" w:cs="Arial"/>
          <w:color w:val="000000"/>
          <w:lang w:eastAsia="es-CO"/>
        </w:rPr>
        <w:softHyphen/>
        <w:t>cionales de salud o educación, en áreas insalubres de riesgo, en zonas de conserva</w:t>
      </w:r>
      <w:r w:rsidRPr="009342F9">
        <w:rPr>
          <w:rFonts w:ascii="Arial" w:eastAsia="Times New Roman" w:hAnsi="Arial" w:cs="Arial"/>
          <w:color w:val="000000"/>
          <w:lang w:eastAsia="es-CO"/>
        </w:rPr>
        <w:softHyphen/>
        <w:t xml:space="preserve">ción o protección </w:t>
      </w:r>
      <w:r w:rsidRPr="009342F9">
        <w:rPr>
          <w:rFonts w:ascii="Arial" w:eastAsia="Times New Roman" w:hAnsi="Arial" w:cs="Arial"/>
          <w:color w:val="000000"/>
          <w:lang w:eastAsia="es-CO"/>
        </w:rPr>
        <w:lastRenderedPageBreak/>
        <w:t>ambiental y las demás áreas previstas en los artículos 35 y 37 de la Ley 388 de 1997, en concordancia con el Plan de Ordenamiento Territorial o los instrumentos que lo desarrollen o complementen.  </w:t>
      </w:r>
    </w:p>
    <w:p w14:paraId="472D3CF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D87A2D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1°. La identificación de las mejoras o construcciones estará basada en la información que suministren la entidad cedente o la autoridad encargada de la gestión catastral, de conformidad con las disposiciones que regulen la materia. </w:t>
      </w:r>
    </w:p>
    <w:p w14:paraId="2C23DB44"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686" w:name="ver_30210347"/>
      <w:bookmarkStart w:id="687" w:name="ver_30072270"/>
      <w:bookmarkEnd w:id="685"/>
      <w:bookmarkEnd w:id="686"/>
    </w:p>
    <w:p w14:paraId="769F79D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2.1.2.2.2.2. Documentación técnica del inmueble. Una vez identificado el inmueble objeto de titulación, se solicitarán los siguientes documentos, siempre y cuando estos no reposen en la entidad cedente:  </w:t>
      </w:r>
    </w:p>
    <w:p w14:paraId="5F1251D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CDBC25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Documento técnico del inmueble expedido por la entidad territorial competente, que establezca que el predio a titular se encuentra en zona apta para la localización de asentamientos humanos en concordancia con lo dispuesto en el numeral 3 del artículo 2.1.2.2.2.1.  </w:t>
      </w:r>
    </w:p>
    <w:p w14:paraId="75BB2D6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8CA22F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Documento que determine el destino económico del inmueble, expedido por la en</w:t>
      </w:r>
      <w:r w:rsidRPr="009342F9">
        <w:rPr>
          <w:rFonts w:ascii="Arial" w:eastAsia="Times New Roman" w:hAnsi="Arial" w:cs="Arial"/>
          <w:color w:val="000000"/>
          <w:lang w:eastAsia="es-CO"/>
        </w:rPr>
        <w:softHyphen/>
        <w:t>tidad cedente o la autoridad encargada de la gestión catastral.  </w:t>
      </w:r>
    </w:p>
    <w:p w14:paraId="6DACF18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EBB2CB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La cesión a título gratuito estará basada en la información que suministre la entidad cesionaria o la autoridad encargada de la gestión catastral y no se exigirá ni será tenido en cuenta para ningún efecto el avalúo comercial o catastral del inmueble objeto del trámite. </w:t>
      </w:r>
    </w:p>
    <w:p w14:paraId="348D2464" w14:textId="77777777" w:rsidR="00683694" w:rsidRPr="009342F9" w:rsidRDefault="00683694" w:rsidP="00FC79C1">
      <w:pPr>
        <w:spacing w:after="0" w:line="240" w:lineRule="auto"/>
        <w:jc w:val="both"/>
        <w:rPr>
          <w:rFonts w:ascii="Arial" w:eastAsia="Times New Roman" w:hAnsi="Arial" w:cs="Arial"/>
          <w:color w:val="000000"/>
          <w:lang w:eastAsia="es-CO"/>
        </w:rPr>
      </w:pPr>
      <w:bookmarkStart w:id="688" w:name="ver_30210348"/>
      <w:bookmarkStart w:id="689" w:name="ver_30072271"/>
      <w:bookmarkEnd w:id="687"/>
      <w:bookmarkEnd w:id="688"/>
    </w:p>
    <w:p w14:paraId="67315586" w14:textId="6AC2218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2.1.2.2.2.3. Acreditación de la ocupación ininterrumpida. La acreditación de la ocupación ininterrumpida podrá ser demostrada por el hogar utilizando cualquiera de los siguientes medios:  </w:t>
      </w:r>
    </w:p>
    <w:p w14:paraId="6AAADD7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7FE9AE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Certificación de residencia emitida por la alcaldía y/o la Junta de Acción Comunal.  </w:t>
      </w:r>
    </w:p>
    <w:p w14:paraId="3D8A9CF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9B476E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Copia de factura o certificación de servicios públicos domiciliarios, en la que figure cualquiera de los miembros del hogar como suscriptor.  </w:t>
      </w:r>
    </w:p>
    <w:p w14:paraId="6B42B7E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9965BB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Constancia de pago de impuestos prediales a su cargo durante la ocupación, o del acuerdo de pago celebrado con la entidad territorial.  </w:t>
      </w:r>
    </w:p>
    <w:p w14:paraId="1849F8F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8E0E21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Ficha catastral de la mejora registrada por cualquiera de los miembros del hogar, o  </w:t>
      </w:r>
    </w:p>
    <w:p w14:paraId="164E555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62C9AE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 Cualquier otro medio de prueba señalado en el Artículo 165 del Código General del Proceso.  </w:t>
      </w:r>
    </w:p>
    <w:p w14:paraId="0840A2B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2AFCCF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El hogar deberá acreditar que la construcción o mejora se encuentra a paz y salvo por concepto de impuesto predial a su cargo, y le corresponderá a la entidad territorial determinar si la obligación se ha extinguido. </w:t>
      </w:r>
    </w:p>
    <w:p w14:paraId="474F415C"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690" w:name="ver_30210349"/>
      <w:bookmarkStart w:id="691" w:name="ver_30072272"/>
      <w:bookmarkEnd w:id="689"/>
      <w:bookmarkEnd w:id="690"/>
    </w:p>
    <w:p w14:paraId="468B342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2.1.2.2.2.4. Requisitos del hogar. En desarrollo del artículo 277 de la Ley 1955 de 2019 la cesión a título gratuito solo procederá para aquel hogar que reúna las siguientes condiciones:  </w:t>
      </w:r>
    </w:p>
    <w:p w14:paraId="655B87F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37BEE7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No ser propietario de una vivienda en el territorio nacional.  </w:t>
      </w:r>
    </w:p>
    <w:p w14:paraId="4479107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37A9ED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No haber sido beneficiario de un subsidio familiar de vivienda, que haya sido efecti</w:t>
      </w:r>
      <w:r w:rsidRPr="009342F9">
        <w:rPr>
          <w:rFonts w:ascii="Arial" w:eastAsia="Times New Roman" w:hAnsi="Arial" w:cs="Arial"/>
          <w:color w:val="000000"/>
          <w:lang w:eastAsia="es-CO"/>
        </w:rPr>
        <w:softHyphen/>
        <w:t xml:space="preserve">vamente aplicado, salvo quien haya perdido la vivienda por imposibilidad de pago, de acuerdo con lo establecido en el artículo 33 de la Ley 546 de 1999, o esta haya resultado afectada o destruida por causas no imputables al hogar beneficiario, o cuando la vivienda en la cual se haya aplicado </w:t>
      </w:r>
      <w:r w:rsidRPr="009342F9">
        <w:rPr>
          <w:rFonts w:ascii="Arial" w:eastAsia="Times New Roman" w:hAnsi="Arial" w:cs="Arial"/>
          <w:color w:val="000000"/>
          <w:lang w:eastAsia="es-CO"/>
        </w:rPr>
        <w:lastRenderedPageBreak/>
        <w:t>el subsidio haya resultado totalmente destruida o quedado inhabitable como consecuencia de desastres naturales, calami</w:t>
      </w:r>
      <w:r w:rsidRPr="009342F9">
        <w:rPr>
          <w:rFonts w:ascii="Arial" w:eastAsia="Times New Roman" w:hAnsi="Arial" w:cs="Arial"/>
          <w:color w:val="000000"/>
          <w:lang w:eastAsia="es-CO"/>
        </w:rPr>
        <w:softHyphen/>
        <w:t>dades públicas, emergencias, o atentados terroristas, o que haya sido abandonada o despojada en el marco del conflicto armado interno.  </w:t>
      </w:r>
    </w:p>
    <w:p w14:paraId="422D967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9F2621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No haber sido beneficiario a cualquier título, de las coberturas de tasa de interés, salvo quien haya perdido la vivienda por imposibilidad de pago, de acuerdo con lo establecido en el artículo 33 de la Ley 546 de 1999, o esta haya resultado afectada o destruida por incumplimientos imputables a oferentes, constructores, gestores y/o ejecutores, o cuando la vivienda en la cual se haya aplicado la cobertura haya resul</w:t>
      </w:r>
      <w:r w:rsidRPr="009342F9">
        <w:rPr>
          <w:rFonts w:ascii="Arial" w:eastAsia="Times New Roman" w:hAnsi="Arial" w:cs="Arial"/>
          <w:color w:val="000000"/>
          <w:lang w:eastAsia="es-CO"/>
        </w:rPr>
        <w:softHyphen/>
        <w:t>tado totalmente destruida o quedado inhabitable como consecuencia de desastres naturales, calamidades públicas, emergencias, o atentados terroristas, o que haya sido abandonada o despojada en el marco del conflicto armado interno.  </w:t>
      </w:r>
    </w:p>
    <w:p w14:paraId="12AB01A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56B149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Acreditación de la ocupación ininterrumpida en el inmueble con mínimo diez (10) años de anterioridad al inicio del procedimiento administrativo. </w:t>
      </w:r>
    </w:p>
    <w:p w14:paraId="4910AB70"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692" w:name="ver_30210359"/>
      <w:bookmarkStart w:id="693" w:name="ver_30072273"/>
      <w:bookmarkEnd w:id="691"/>
      <w:bookmarkEnd w:id="692"/>
    </w:p>
    <w:p w14:paraId="1F8DD59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2.1.2.2.2.5. Asistencia técnica en el proceso de saneamiento y titulación. El Ministerio de Vivienda, Ciudad y Territorio o la entidad encargada de cumplir la política de vivienda en la entidad territorial podrán prestar apoyo jurídico y técnico para el saneamiento y titulación en los términos del presente capítulo. </w:t>
      </w:r>
    </w:p>
    <w:p w14:paraId="49874DFC"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694" w:name="ver_30210374"/>
      <w:bookmarkStart w:id="695" w:name="ver_30072274"/>
      <w:bookmarkEnd w:id="693"/>
      <w:bookmarkEnd w:id="694"/>
    </w:p>
    <w:p w14:paraId="66C7A7C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2.1.2.2.2.6. Cruce de información y validación. Para efectos de garantizar el cumplimiento de lo establecido en el numeral 1, 2 y 3 del artículo 2.1.2.2.2.4 del presente capítulo, la entidad cedente remitirá a Fonvivienda o quien haga sus veces el listado de los integrantes del hogar con sus respectivos documentos de identidad y la individualización catastral de los predios solicitados.  </w:t>
      </w:r>
    </w:p>
    <w:p w14:paraId="147C07A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53DAE3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Los resultados del cruce serán entregados por Fonvivienda a la entidad cedente en medio digital, físico o a través de página web, indicando los integrantes del hogar, así como la descripción de las razones de exclusión si es del caso. El Ministerio de Vivienda, Ciudad y Territorio fijará el plazo para la entrega de resultados.  </w:t>
      </w:r>
    </w:p>
    <w:p w14:paraId="5A52329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E6B182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 entidad cedente podrá verificar la información que reposa en la Ventanilla Única de Registro (VUR) con el fin de determinar si existen otros inmuebles a nombre de cualquiera de los miembros del hogar solicitante.  </w:t>
      </w:r>
    </w:p>
    <w:p w14:paraId="0D8984F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FBE4BB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 actuación administrativa iniciará cuando se cuente con la información técnica y jurídica necesaria para adelantar el procedimiento de titulación.  </w:t>
      </w:r>
    </w:p>
    <w:p w14:paraId="726CC6A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20F21C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El contenido de la solicitud y de los documentos objeto de revisión corresponderá a los ocupantes y sus afirmaciones se entenderán hechas bajo la gravedad del juramento y del principio de presunción de buena fe. </w:t>
      </w:r>
    </w:p>
    <w:p w14:paraId="6D87DB16"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696" w:name="ver_30210375"/>
      <w:bookmarkStart w:id="697" w:name="ver_30072278"/>
      <w:bookmarkEnd w:id="695"/>
      <w:bookmarkEnd w:id="696"/>
    </w:p>
    <w:p w14:paraId="0FECD13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2.1.2.2.2.7. Comunicación de la actuación administrativa a terceros. Una vez recibida la información resultante de los cruces de información por parte de Fonvivienda, la entidad cedente contará con un término no superior a quince (15) días hábiles para </w:t>
      </w:r>
      <w:proofErr w:type="gramStart"/>
      <w:r w:rsidRPr="009342F9">
        <w:rPr>
          <w:rFonts w:ascii="Arial" w:eastAsia="Times New Roman" w:hAnsi="Arial" w:cs="Arial"/>
          <w:color w:val="000000"/>
          <w:lang w:eastAsia="es-CO"/>
        </w:rPr>
        <w:t>dar inicio a</w:t>
      </w:r>
      <w:proofErr w:type="gramEnd"/>
      <w:r w:rsidRPr="009342F9">
        <w:rPr>
          <w:rFonts w:ascii="Arial" w:eastAsia="Times New Roman" w:hAnsi="Arial" w:cs="Arial"/>
          <w:color w:val="000000"/>
          <w:lang w:eastAsia="es-CO"/>
        </w:rPr>
        <w:t xml:space="preserve"> los trámites de comunicación con el objeto de darle publicidad a la actuación y de ser el caso tramitar la oposición de terceros.  </w:t>
      </w:r>
    </w:p>
    <w:p w14:paraId="0B23903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E5F4D6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 entidad cedente deberá publicar el resultado de la actuación administrativa en un periódico de amplia circulación nacional o local, según sea el caso, indicando lo siguiente:  </w:t>
      </w:r>
    </w:p>
    <w:p w14:paraId="5929BC6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12D1CE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1. El fundamento legal de la actuación administrativa.  </w:t>
      </w:r>
    </w:p>
    <w:p w14:paraId="2ABB665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2522B4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2. La identificación </w:t>
      </w:r>
      <w:proofErr w:type="gramStart"/>
      <w:r w:rsidRPr="009342F9">
        <w:rPr>
          <w:rFonts w:ascii="Arial" w:eastAsia="Times New Roman" w:hAnsi="Arial" w:cs="Arial"/>
          <w:color w:val="000000"/>
          <w:lang w:eastAsia="es-CO"/>
        </w:rPr>
        <w:t>técnico jurídica</w:t>
      </w:r>
      <w:proofErr w:type="gramEnd"/>
      <w:r w:rsidRPr="009342F9">
        <w:rPr>
          <w:rFonts w:ascii="Arial" w:eastAsia="Times New Roman" w:hAnsi="Arial" w:cs="Arial"/>
          <w:color w:val="000000"/>
          <w:lang w:eastAsia="es-CO"/>
        </w:rPr>
        <w:t xml:space="preserve"> del inmueble objeto de cesión a título gratuito.  </w:t>
      </w:r>
    </w:p>
    <w:p w14:paraId="5553903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1D19D2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Los hogares y la identificación de sus integrantes.  </w:t>
      </w:r>
    </w:p>
    <w:p w14:paraId="61859F1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E35976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El hogar excluido del trámite y la causal o causales de exclusión.  </w:t>
      </w:r>
    </w:p>
    <w:p w14:paraId="48FEAEB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D81DAA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 El término para hacerse parte dentro de la actuación administrativa.  </w:t>
      </w:r>
    </w:p>
    <w:p w14:paraId="29AE24A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8C077A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 comunicación deberá publicarse en un periódico de amplia circulación nacional y deberá fijarse en lugar visible al público de las oficinas de la entidad cedente por un término no inferior a cinco (5) días hábiles. Cumplido dicho término, los interesados contarán con cinco (5) días hábiles siguientes para hacerse parte dentro del proceso, acreditando las razones de su petición y la entidad cedente dispondrá de treinta (30) días hábiles para dar respuesta a la misma.  </w:t>
      </w:r>
    </w:p>
    <w:p w14:paraId="2ABC085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A99631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Parágrafo. No </w:t>
      </w:r>
      <w:proofErr w:type="gramStart"/>
      <w:r w:rsidRPr="009342F9">
        <w:rPr>
          <w:rFonts w:ascii="Arial" w:eastAsia="Times New Roman" w:hAnsi="Arial" w:cs="Arial"/>
          <w:color w:val="000000"/>
          <w:lang w:eastAsia="es-CO"/>
        </w:rPr>
        <w:t>obstante</w:t>
      </w:r>
      <w:proofErr w:type="gramEnd"/>
      <w:r w:rsidRPr="009342F9">
        <w:rPr>
          <w:rFonts w:ascii="Arial" w:eastAsia="Times New Roman" w:hAnsi="Arial" w:cs="Arial"/>
          <w:color w:val="000000"/>
          <w:lang w:eastAsia="es-CO"/>
        </w:rPr>
        <w:t xml:space="preserve"> lo anterior, la publicación en el periódico de amplia circulación nacional o local de que trata el presente artículo podrá suplirse con la publicación del aviso en una emisora radial con cubrimiento en el lugar de ubicación del predio, entre las cinco (5:00) a. m. y las diez (10:00) p. m. o a falta de la misma, haciendo uso de la lectura por bando o cualquier otro medio masivo de comunicación disponible, que garantice la difusión de la Información. </w:t>
      </w:r>
    </w:p>
    <w:p w14:paraId="0435002F"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698" w:name="ver_30210376"/>
      <w:bookmarkStart w:id="699" w:name="ver_30072279"/>
      <w:bookmarkEnd w:id="697"/>
      <w:bookmarkEnd w:id="698"/>
    </w:p>
    <w:p w14:paraId="0054BF2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2.1.2.2.2.8. Requisitos para la expedición del acto administrativo. Cumplido lo anterior y resuelta la situación de los terceros interesados de ser el caso, la entidad emitirá la resolución que corresponda dentro de los treinta (30) días hábiles siguientes.  </w:t>
      </w:r>
    </w:p>
    <w:p w14:paraId="4E35F7D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77291B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El acto administrativo que se expida por la correspondiente entidad incluirá la información que de acuerdo con las normas vigentes se requiera para su registro y en especial la siguiente:  </w:t>
      </w:r>
    </w:p>
    <w:p w14:paraId="514CAC5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57D3CF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Consideraciones y fundamentos jurídicos de la transferencia del bien fiscal.  </w:t>
      </w:r>
    </w:p>
    <w:p w14:paraId="30976BC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Identificación del (de los) integrante(s) del hogar a nombre del (de los) cual(es) se realizará la titulación.  </w:t>
      </w:r>
    </w:p>
    <w:p w14:paraId="3C0F5C2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450403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Dirección e identificación catastral de inmueble, si aplica.  </w:t>
      </w:r>
    </w:p>
    <w:p w14:paraId="05BBEF8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5E098F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Identificación jurídica del predio de mayor extensión del cual se va a segregar la nueva unidad registral o el número de matrícula individual si ya fue asignado, según sea el caso.  </w:t>
      </w:r>
    </w:p>
    <w:p w14:paraId="6459C2F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298E87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 Descripción del área y los linderos del predio, sustituible por el certificado o plano predial catastral, o por el plano topográfico elaborado por un agrimensor, topógrafo o ingeniero con matrícula profesional vigente, asociado a la Red Geodésica Nacio</w:t>
      </w:r>
      <w:r w:rsidRPr="009342F9">
        <w:rPr>
          <w:rFonts w:ascii="Arial" w:eastAsia="Times New Roman" w:hAnsi="Arial" w:cs="Arial"/>
          <w:color w:val="000000"/>
          <w:lang w:eastAsia="es-CO"/>
        </w:rPr>
        <w:softHyphen/>
        <w:t>nal, correspondiente al Datum Magna Sirgas. El documento se adjuntará como so</w:t>
      </w:r>
      <w:r w:rsidRPr="009342F9">
        <w:rPr>
          <w:rFonts w:ascii="Arial" w:eastAsia="Times New Roman" w:hAnsi="Arial" w:cs="Arial"/>
          <w:color w:val="000000"/>
          <w:lang w:eastAsia="es-CO"/>
        </w:rPr>
        <w:softHyphen/>
        <w:t>porte al acto administrativo al momento de su radicación ante la Oficina de Registro de Instrumentos Públicos.  </w:t>
      </w:r>
    </w:p>
    <w:p w14:paraId="1F1A6D8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3E7ACA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6. Descripción de la mejora, su área y linderos junto con el plano Magna Sirgas corres</w:t>
      </w:r>
      <w:r w:rsidRPr="009342F9">
        <w:rPr>
          <w:rFonts w:ascii="Arial" w:eastAsia="Times New Roman" w:hAnsi="Arial" w:cs="Arial"/>
          <w:color w:val="000000"/>
          <w:lang w:eastAsia="es-CO"/>
        </w:rPr>
        <w:softHyphen/>
        <w:t>pondiente.  </w:t>
      </w:r>
    </w:p>
    <w:p w14:paraId="79D764B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740EAA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7. Entidad pública que transfiere y sus atribuciones normativas.  </w:t>
      </w:r>
    </w:p>
    <w:p w14:paraId="7077A8E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998107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8. La procedencia de recursos y los términos para interponerlos.  </w:t>
      </w:r>
    </w:p>
    <w:p w14:paraId="19BBAD9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FFE90C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9. Adicionalmente se dejará expresa constancia en la parte resolutiva del acto adminis</w:t>
      </w:r>
      <w:r w:rsidRPr="009342F9">
        <w:rPr>
          <w:rFonts w:ascii="Arial" w:eastAsia="Times New Roman" w:hAnsi="Arial" w:cs="Arial"/>
          <w:color w:val="000000"/>
          <w:lang w:eastAsia="es-CO"/>
        </w:rPr>
        <w:softHyphen/>
        <w:t>trativo de lo señalado a continuación:  </w:t>
      </w:r>
    </w:p>
    <w:p w14:paraId="740615B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87BD00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9.1. La constitución del patrimonio de familia.  </w:t>
      </w:r>
    </w:p>
    <w:p w14:paraId="30E80EA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188124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9.2. La afectación del inmueble a vivienda familiar, cuando sea procedente, de conformi</w:t>
      </w:r>
      <w:r w:rsidRPr="009342F9">
        <w:rPr>
          <w:rFonts w:ascii="Arial" w:eastAsia="Times New Roman" w:hAnsi="Arial" w:cs="Arial"/>
          <w:color w:val="000000"/>
          <w:lang w:eastAsia="es-CO"/>
        </w:rPr>
        <w:softHyphen/>
        <w:t>dad con lo previsto en los artículos 1° y 12 de la Ley 258 de 1996, modificada por la Ley 854 de 2003. Cuando la situación del hogar no permita la inclusión de la afecta</w:t>
      </w:r>
      <w:r w:rsidRPr="009342F9">
        <w:rPr>
          <w:rFonts w:ascii="Arial" w:eastAsia="Times New Roman" w:hAnsi="Arial" w:cs="Arial"/>
          <w:color w:val="000000"/>
          <w:lang w:eastAsia="es-CO"/>
        </w:rPr>
        <w:softHyphen/>
        <w:t>ción, la entidad pública deberá expresarlo en el contenido del acto administrativo.  </w:t>
      </w:r>
    </w:p>
    <w:p w14:paraId="6C31612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D6882E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9.3. La solicitud a la Oficina de Registro de Instrumentos Públicos respectiva de la ins</w:t>
      </w:r>
      <w:r w:rsidRPr="009342F9">
        <w:rPr>
          <w:rFonts w:ascii="Arial" w:eastAsia="Times New Roman" w:hAnsi="Arial" w:cs="Arial"/>
          <w:color w:val="000000"/>
          <w:lang w:eastAsia="es-CO"/>
        </w:rPr>
        <w:softHyphen/>
        <w:t>cripción de la resolución en el folio de matrícula inmobiliaria ya asignado o la soli</w:t>
      </w:r>
      <w:r w:rsidRPr="009342F9">
        <w:rPr>
          <w:rFonts w:ascii="Arial" w:eastAsia="Times New Roman" w:hAnsi="Arial" w:cs="Arial"/>
          <w:color w:val="000000"/>
          <w:lang w:eastAsia="es-CO"/>
        </w:rPr>
        <w:softHyphen/>
        <w:t>citud de inscripción en la matrícula a segregar del folio de mayor extensión, cuando corresponda. </w:t>
      </w:r>
    </w:p>
    <w:p w14:paraId="66599C50" w14:textId="77777777" w:rsidR="00683694" w:rsidRPr="009342F9" w:rsidRDefault="00683694" w:rsidP="00FC79C1">
      <w:pPr>
        <w:spacing w:after="0" w:line="240" w:lineRule="auto"/>
        <w:jc w:val="both"/>
        <w:rPr>
          <w:rFonts w:ascii="Arial" w:eastAsia="Times New Roman" w:hAnsi="Arial" w:cs="Arial"/>
          <w:color w:val="000000"/>
          <w:lang w:eastAsia="es-CO"/>
        </w:rPr>
      </w:pPr>
      <w:bookmarkStart w:id="700" w:name="ver_30210377"/>
      <w:bookmarkStart w:id="701" w:name="ver_30072280"/>
      <w:bookmarkEnd w:id="699"/>
      <w:bookmarkEnd w:id="700"/>
    </w:p>
    <w:p w14:paraId="71EF80F6" w14:textId="25B9DCD5"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2.1.2.2.2.9. Notificación del acto administrativo. Se procederá a notificar los actos administrativos de conformidad con lo establecido en el artículo 66 y siguientes del Código de Procedimiento Administrativo y de lo Contencioso Administrativo.  </w:t>
      </w:r>
    </w:p>
    <w:p w14:paraId="6EA627BC" w14:textId="015E0920"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702" w:name="ver_30210378"/>
      <w:bookmarkStart w:id="703" w:name="ver_30072281"/>
      <w:bookmarkEnd w:id="701"/>
      <w:bookmarkEnd w:id="702"/>
    </w:p>
    <w:p w14:paraId="13C41547" w14:textId="41273AF4"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2.1.2.2.2.10. Registro del acto administrativo. Una vez ejecutoriado el acto administrativo de que trata el artículo 2.1.2.2.2.8 del presente capítulo se procederá a su registro en el folio de matrícula inmobiliaria, el cual constituirá plena prueba del derecho de propiedad del cesionario tanto del inmueble titulado, como de la mejora o construcción que en él exista. </w:t>
      </w:r>
    </w:p>
    <w:p w14:paraId="6470FE56"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704" w:name="ver_30210379"/>
      <w:bookmarkStart w:id="705" w:name="ver_30072282"/>
      <w:bookmarkEnd w:id="703"/>
      <w:bookmarkEnd w:id="704"/>
    </w:p>
    <w:p w14:paraId="5DDA164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2.1.2.2.2.11. Causales de terminación de la actuación administrativa. La actuación administrativa terminará cuando:  </w:t>
      </w:r>
    </w:p>
    <w:p w14:paraId="1294ED3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65C5D5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El inmueble se encuentre ubicado en bienes de uso público, bienes destinados a fines institucionales de salud o educación, en zonas de conservación o protección ambiental, en áreas insalubres de riesgo y las demás áreas previstas en los artículos 35 y 37 de la Ley 388 de 1997, en concordancia con el Instrumento de Ordenamien</w:t>
      </w:r>
      <w:r w:rsidRPr="009342F9">
        <w:rPr>
          <w:rFonts w:ascii="Arial" w:eastAsia="Times New Roman" w:hAnsi="Arial" w:cs="Arial"/>
          <w:color w:val="000000"/>
          <w:lang w:eastAsia="es-CO"/>
        </w:rPr>
        <w:softHyphen/>
        <w:t>to Territorial.  </w:t>
      </w:r>
    </w:p>
    <w:p w14:paraId="5076E6E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C85A44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El hogar no cumpla los requisitos para la cesión del inmueble.  </w:t>
      </w:r>
    </w:p>
    <w:p w14:paraId="2DFD237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3478CF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Se acredite objetivamente la descripción típica del delito de falsedad, en cualquier documento suministrado o suscrito por el hogar. En este caso la entidad cedente adelantará de oficio las actuaciones administrativas y judiciales correspondientes.  </w:t>
      </w:r>
    </w:p>
    <w:p w14:paraId="4AF8952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D800CA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La construcción o mejora no cuente con destinación económica habitacional. </w:t>
      </w:r>
    </w:p>
    <w:p w14:paraId="227F361C"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706" w:name="ver_30210380"/>
      <w:bookmarkStart w:id="707" w:name="ver_30072283"/>
      <w:bookmarkEnd w:id="705"/>
      <w:bookmarkEnd w:id="706"/>
    </w:p>
    <w:p w14:paraId="054B9A3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2.1.2.2.2.12. Enajenación directa de bienes fiscales. Para bienes inmuebles fiscales ocupados ilegalmente con mejoras que no cuenten con destinación económica habitacional, procederá la enajenación directa del predio fiscal a favor del ocupante por su valor catastral vigente a la fecha de la oferta.  </w:t>
      </w:r>
    </w:p>
    <w:p w14:paraId="4067820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DF4F94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Las entidades públicas del orden nacional a las que se refiere el artículo 277 de la Ley 1955 de 2019 realizarán el trámite de la enajenación directa dispuesto en el presente artículo por medio del mecanismo previsto en el artículo 163 de la Ley 1753 de 2015, para que sea la Central de Inversiones (CISA) quien haga la venta. </w:t>
      </w:r>
    </w:p>
    <w:p w14:paraId="413365D3"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708" w:name="ver_30210381"/>
      <w:bookmarkStart w:id="709" w:name="ver_30072284"/>
      <w:bookmarkEnd w:id="707"/>
      <w:bookmarkEnd w:id="708"/>
    </w:p>
    <w:p w14:paraId="6BD61AC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2.1.2.2.2.13. Enajenación directa por parte de entes territoriales. La enajenación directa que efectúen las entidades territoriales deberá surtir las siguientes etapas:  </w:t>
      </w:r>
    </w:p>
    <w:p w14:paraId="0FCF31C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w:t>
      </w:r>
    </w:p>
    <w:p w14:paraId="1AB6146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Ofrecimiento al ocupante. Por una sola vez y mediante comunicación escrita, la entidad enajenadora ofrecerá el inmueble en venta, informando al ocupante el tér</w:t>
      </w:r>
      <w:r w:rsidRPr="009342F9">
        <w:rPr>
          <w:rFonts w:ascii="Arial" w:eastAsia="Times New Roman" w:hAnsi="Arial" w:cs="Arial"/>
          <w:color w:val="000000"/>
          <w:lang w:eastAsia="es-CO"/>
        </w:rPr>
        <w:softHyphen/>
        <w:t>mino para aceptación, el precio fijado, el plazo y las condiciones de pago.  </w:t>
      </w:r>
    </w:p>
    <w:p w14:paraId="5638D30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D05D00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Valor de la oferta. El valor de la oferta del inmueble será determinado por la enti</w:t>
      </w:r>
      <w:r w:rsidRPr="009342F9">
        <w:rPr>
          <w:rFonts w:ascii="Arial" w:eastAsia="Times New Roman" w:hAnsi="Arial" w:cs="Arial"/>
          <w:color w:val="000000"/>
          <w:lang w:eastAsia="es-CO"/>
        </w:rPr>
        <w:softHyphen/>
        <w:t>dad enajenadora de la siguiente forma:  </w:t>
      </w:r>
    </w:p>
    <w:p w14:paraId="430A4D6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D48060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2.1. Si la mejora fue construida por el ocupante, el valor de la oferta será aquel que se determine en el avalúo catastral respecto del área de terreno de propiedad de la entidad pública.  </w:t>
      </w:r>
    </w:p>
    <w:p w14:paraId="4F1B97A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094BCC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2.2. Si tanto el lote como la construcción son de propiedad de la entidad pública, el valor de la oferta será aquel que se determine en el avalúo catastral.  </w:t>
      </w:r>
    </w:p>
    <w:p w14:paraId="1519F39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FA363D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Término de aceptación de la oferta. El término para la aceptación de la oferta será de un (1) mes contado a partir del día siguiente a la fecha de recibo del documento del ofrecimiento al ocupante y deberá hacerse por escrito.  </w:t>
      </w:r>
    </w:p>
    <w:p w14:paraId="5A3A037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EA4270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Pago del valor de la oferta. El ocupante tendrá seis (6) meses para consignar a favor de la dirección del Tesoro distrital o municipal según corresponda el valor de la oferta, o ante la autoridad competente que fije el Gobierno distrital o municipal.  </w:t>
      </w:r>
    </w:p>
    <w:p w14:paraId="7A7A0AD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6FF998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 Transferencia. La entidad enajenadora procederá a expedir el acto administrativo por medio del cual realiza la transferencia previa verificación del pago. </w:t>
      </w:r>
    </w:p>
    <w:p w14:paraId="00499814" w14:textId="77777777" w:rsidR="00FC79C1" w:rsidRPr="009342F9" w:rsidRDefault="00FC79C1" w:rsidP="00FC79C1">
      <w:pPr>
        <w:spacing w:after="0" w:line="240" w:lineRule="auto"/>
        <w:jc w:val="both"/>
        <w:rPr>
          <w:rFonts w:ascii="Arial" w:eastAsia="Times New Roman" w:hAnsi="Arial" w:cs="Arial"/>
          <w:color w:val="000000"/>
          <w:lang w:eastAsia="es-CO"/>
        </w:rPr>
      </w:pPr>
    </w:p>
    <w:p w14:paraId="225BE4C0" w14:textId="77777777" w:rsidR="00FC79C1" w:rsidRPr="009342F9" w:rsidRDefault="00FC79C1" w:rsidP="00683694">
      <w:pPr>
        <w:spacing w:after="0" w:line="240" w:lineRule="auto"/>
        <w:jc w:val="center"/>
        <w:rPr>
          <w:rFonts w:ascii="Arial" w:eastAsia="Times New Roman" w:hAnsi="Arial" w:cs="Arial"/>
          <w:b/>
          <w:bCs/>
          <w:color w:val="000000"/>
          <w:lang w:eastAsia="es-CO"/>
        </w:rPr>
      </w:pPr>
      <w:bookmarkStart w:id="710" w:name="ver_30072285"/>
      <w:bookmarkEnd w:id="709"/>
      <w:bookmarkEnd w:id="710"/>
      <w:r w:rsidRPr="009342F9">
        <w:rPr>
          <w:rFonts w:ascii="Arial" w:eastAsia="Times New Roman" w:hAnsi="Arial" w:cs="Arial"/>
          <w:b/>
          <w:bCs/>
          <w:color w:val="000000"/>
          <w:lang w:eastAsia="es-CO"/>
        </w:rPr>
        <w:t>SECCIÓN 3</w:t>
      </w:r>
    </w:p>
    <w:p w14:paraId="3A63570B" w14:textId="77777777" w:rsidR="00FC79C1" w:rsidRPr="009342F9" w:rsidRDefault="00FC79C1" w:rsidP="00683694">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TRANSFERENCIA DE DOMINIO DE BIENES FISCALES ENTRE ENTIDADES EN APLICACIÓN DEL ARTÍCULO 276 DE LA LEY 1955 DE 2019</w:t>
      </w:r>
    </w:p>
    <w:p w14:paraId="66CAD2BD" w14:textId="77777777" w:rsidR="00D25E1B" w:rsidRDefault="00D25E1B" w:rsidP="00FC79C1">
      <w:pPr>
        <w:spacing w:after="0" w:line="240" w:lineRule="auto"/>
        <w:jc w:val="both"/>
        <w:rPr>
          <w:rFonts w:ascii="Arial" w:eastAsia="Times New Roman" w:hAnsi="Arial" w:cs="Arial"/>
          <w:color w:val="000000"/>
          <w:lang w:eastAsia="es-CO"/>
        </w:rPr>
      </w:pPr>
      <w:bookmarkStart w:id="711" w:name="ver_30072286"/>
    </w:p>
    <w:p w14:paraId="521D834D" w14:textId="0FEBDEB0"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2.1.2.2.3.1. Transferencia de inmuebles entre entidades. La transferencia de los bienes inmuebles fiscales se hará mediante acto administrativo, que una vez en firme será inscrito en la Oficina de Registro de Instrumentos Públicos correspondiente. </w:t>
      </w:r>
    </w:p>
    <w:p w14:paraId="121C8EA8"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712" w:name="ver_30210383"/>
      <w:bookmarkStart w:id="713" w:name="ver_30072287"/>
      <w:bookmarkEnd w:id="711"/>
      <w:bookmarkEnd w:id="712"/>
    </w:p>
    <w:p w14:paraId="6C99757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2.1.2.2.3.2. Condiciones para la transferencia de bien inmueble fiscal entre entidades. Para adelantar la transferencia de los bienes inmuebles fiscales a las entidades públicas, estos deberán cumplir las condiciones que a continuación se señalan:  </w:t>
      </w:r>
    </w:p>
    <w:p w14:paraId="563BECB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3F4C87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Debe tratarse de un bien inmueble fiscal.  </w:t>
      </w:r>
    </w:p>
    <w:p w14:paraId="70BBB94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CC095A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La transferencia del inmueble debe atender necesidades en materia de vivienda e infraestructura.  </w:t>
      </w:r>
    </w:p>
    <w:p w14:paraId="333A7AB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58398B9" w14:textId="749BA0A1"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La entidad cedente no debe requerir el bien para el desarrollo de sus funciones.  </w:t>
      </w:r>
    </w:p>
    <w:p w14:paraId="0486D8E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43C251B" w14:textId="77777777" w:rsidR="00FC79C1"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No debe encontrarse dentro de los planes de enajenación onerosa de la entidad ce</w:t>
      </w:r>
      <w:r w:rsidRPr="009342F9">
        <w:rPr>
          <w:rFonts w:ascii="Arial" w:eastAsia="Times New Roman" w:hAnsi="Arial" w:cs="Arial"/>
          <w:color w:val="000000"/>
          <w:lang w:eastAsia="es-CO"/>
        </w:rPr>
        <w:softHyphen/>
        <w:t>dente. </w:t>
      </w:r>
    </w:p>
    <w:p w14:paraId="4ECB6B6D" w14:textId="77777777" w:rsidR="006E2607" w:rsidRDefault="006E2607" w:rsidP="00FC79C1">
      <w:pPr>
        <w:spacing w:after="0" w:line="240" w:lineRule="auto"/>
        <w:jc w:val="both"/>
        <w:rPr>
          <w:rFonts w:ascii="Arial" w:eastAsia="Times New Roman" w:hAnsi="Arial" w:cs="Arial"/>
          <w:color w:val="000000"/>
          <w:lang w:eastAsia="es-CO"/>
        </w:rPr>
      </w:pPr>
    </w:p>
    <w:p w14:paraId="45981498" w14:textId="752EBA94" w:rsidR="006E2607" w:rsidRPr="006E2607" w:rsidRDefault="006E2607" w:rsidP="00FC2FED">
      <w:pPr>
        <w:shd w:val="clear" w:color="auto" w:fill="FFFFFF"/>
        <w:spacing w:after="150" w:line="240" w:lineRule="auto"/>
        <w:jc w:val="both"/>
        <w:rPr>
          <w:rFonts w:ascii="Arial" w:eastAsia="Times New Roman" w:hAnsi="Arial" w:cs="Arial"/>
          <w:color w:val="000000"/>
          <w:lang w:eastAsia="es-CO"/>
        </w:rPr>
      </w:pPr>
      <w:r w:rsidRPr="006E2607">
        <w:rPr>
          <w:rFonts w:ascii="Arial" w:eastAsia="Times New Roman" w:hAnsi="Arial" w:cs="Arial"/>
          <w:color w:val="000000"/>
          <w:lang w:eastAsia="es-CO"/>
        </w:rPr>
        <w:t>A</w:t>
      </w:r>
      <w:r w:rsidR="00AB531D" w:rsidRPr="006E2607">
        <w:rPr>
          <w:rFonts w:ascii="Arial" w:eastAsia="Times New Roman" w:hAnsi="Arial" w:cs="Arial"/>
          <w:color w:val="000000"/>
          <w:lang w:eastAsia="es-CO"/>
        </w:rPr>
        <w:t>rtículo</w:t>
      </w:r>
      <w:bookmarkStart w:id="714" w:name="2.1.2.2.3.3"/>
      <w:r w:rsidRPr="006E2607">
        <w:rPr>
          <w:rFonts w:ascii="Arial" w:eastAsia="Times New Roman" w:hAnsi="Arial" w:cs="Arial"/>
          <w:color w:val="000000"/>
          <w:lang w:eastAsia="es-CO"/>
        </w:rPr>
        <w:t> </w:t>
      </w:r>
      <w:bookmarkEnd w:id="714"/>
      <w:r w:rsidRPr="006E2607">
        <w:rPr>
          <w:rFonts w:ascii="Arial" w:eastAsia="Times New Roman" w:hAnsi="Arial" w:cs="Arial"/>
          <w:color w:val="000000"/>
          <w:lang w:eastAsia="es-CO"/>
        </w:rPr>
        <w:t>2.1.2.2.3.3. Etapas para la transferencia entre entidades públicas. </w:t>
      </w:r>
    </w:p>
    <w:p w14:paraId="19E9ACEA" w14:textId="54B5580F" w:rsidR="006E2607" w:rsidRPr="006E2607" w:rsidRDefault="006E2607" w:rsidP="00FC2FED">
      <w:pPr>
        <w:shd w:val="clear" w:color="auto" w:fill="FFFFFF"/>
        <w:spacing w:after="150" w:line="240" w:lineRule="auto"/>
        <w:jc w:val="both"/>
        <w:rPr>
          <w:rFonts w:ascii="Arial" w:eastAsia="Times New Roman" w:hAnsi="Arial" w:cs="Arial"/>
          <w:color w:val="000000"/>
          <w:lang w:eastAsia="es-CO"/>
        </w:rPr>
      </w:pPr>
      <w:r w:rsidRPr="006E2607">
        <w:rPr>
          <w:rFonts w:ascii="Arial" w:eastAsia="Times New Roman" w:hAnsi="Arial" w:cs="Arial"/>
          <w:color w:val="000000"/>
          <w:lang w:eastAsia="es-CO"/>
        </w:rPr>
        <w:t>1. Estudio de títulos. Es el análisis jurídico de la tradición del inmueble que permite determinar la titularidad del dominio, identificando las limitaciones, afectaciones o gravámenes que incidan en la titularidad del derecho de dominio. </w:t>
      </w:r>
    </w:p>
    <w:p w14:paraId="452D8DE3" w14:textId="7C45B4AA" w:rsidR="006E2607" w:rsidRPr="006E2607" w:rsidRDefault="006E2607" w:rsidP="00FC2FED">
      <w:pPr>
        <w:shd w:val="clear" w:color="auto" w:fill="FFFFFF"/>
        <w:spacing w:after="150" w:line="240" w:lineRule="auto"/>
        <w:jc w:val="both"/>
        <w:rPr>
          <w:rFonts w:ascii="Arial" w:eastAsia="Times New Roman" w:hAnsi="Arial" w:cs="Arial"/>
          <w:color w:val="000000"/>
          <w:lang w:eastAsia="es-CO"/>
        </w:rPr>
      </w:pPr>
      <w:r w:rsidRPr="006E2607">
        <w:rPr>
          <w:rFonts w:ascii="Arial" w:eastAsia="Times New Roman" w:hAnsi="Arial" w:cs="Arial"/>
          <w:color w:val="000000"/>
          <w:lang w:eastAsia="es-CO"/>
        </w:rPr>
        <w:lastRenderedPageBreak/>
        <w:t>2. Estudio técnico. Es el análisis técnico, para identificar la ubicación y destinación del inmueble en concordancia con lo dispuesto en el Plan de Ordenamiento Territorial o de los instrumentos que lo desarrollen o complementen, la Ley 2 de 1959 y los articules 35 y 37 de la Ley 388 de 1997.</w:t>
      </w:r>
    </w:p>
    <w:p w14:paraId="170684F5" w14:textId="6F6C3496" w:rsidR="006E2607" w:rsidRPr="006E2607" w:rsidRDefault="006E2607" w:rsidP="00FC2FED">
      <w:pPr>
        <w:shd w:val="clear" w:color="auto" w:fill="FFFFFF"/>
        <w:spacing w:after="150" w:line="240" w:lineRule="auto"/>
        <w:jc w:val="both"/>
        <w:rPr>
          <w:rFonts w:ascii="Arial" w:eastAsia="Times New Roman" w:hAnsi="Arial" w:cs="Arial"/>
          <w:color w:val="000000"/>
          <w:lang w:eastAsia="es-CO"/>
        </w:rPr>
      </w:pPr>
      <w:r w:rsidRPr="006E2607">
        <w:rPr>
          <w:rFonts w:ascii="Arial" w:eastAsia="Times New Roman" w:hAnsi="Arial" w:cs="Arial"/>
          <w:color w:val="000000"/>
          <w:lang w:eastAsia="es-CO"/>
        </w:rPr>
        <w:t>3. Diagnóstico Catastral. Es el análisis de la información catastral del inmueble que permita determinar el área y los linderos, en relación con la información jurídica.</w:t>
      </w:r>
    </w:p>
    <w:p w14:paraId="213178FF" w14:textId="36986D53" w:rsidR="00FC79C1" w:rsidRPr="009342F9" w:rsidRDefault="006E2607" w:rsidP="00AB531D">
      <w:pPr>
        <w:shd w:val="clear" w:color="auto" w:fill="FFFFFF"/>
        <w:spacing w:after="150" w:line="240" w:lineRule="auto"/>
        <w:jc w:val="both"/>
        <w:rPr>
          <w:rFonts w:ascii="Arial" w:eastAsia="Times New Roman" w:hAnsi="Arial" w:cs="Arial"/>
          <w:color w:val="000000"/>
          <w:lang w:eastAsia="es-CO"/>
        </w:rPr>
      </w:pPr>
      <w:proofErr w:type="gramStart"/>
      <w:r w:rsidRPr="006E2607">
        <w:rPr>
          <w:rFonts w:ascii="Arial" w:eastAsia="Times New Roman" w:hAnsi="Arial" w:cs="Arial"/>
          <w:color w:val="000000"/>
          <w:lang w:eastAsia="es-CO"/>
        </w:rPr>
        <w:t>P</w:t>
      </w:r>
      <w:r w:rsidR="00AB531D" w:rsidRPr="006E2607">
        <w:rPr>
          <w:rFonts w:ascii="Arial" w:eastAsia="Times New Roman" w:hAnsi="Arial" w:cs="Arial"/>
          <w:color w:val="000000"/>
          <w:lang w:eastAsia="es-CO"/>
        </w:rPr>
        <w:t>arágrafo </w:t>
      </w:r>
      <w:r w:rsidRPr="006E2607">
        <w:rPr>
          <w:rFonts w:ascii="Arial" w:eastAsia="Times New Roman" w:hAnsi="Arial" w:cs="Arial"/>
          <w:color w:val="000000"/>
          <w:lang w:eastAsia="es-CO"/>
        </w:rPr>
        <w:t>.</w:t>
      </w:r>
      <w:proofErr w:type="gramEnd"/>
      <w:r w:rsidRPr="006E2607">
        <w:rPr>
          <w:rFonts w:ascii="Arial" w:eastAsia="Times New Roman" w:hAnsi="Arial" w:cs="Arial"/>
          <w:color w:val="000000"/>
          <w:lang w:eastAsia="es-CO"/>
        </w:rPr>
        <w:t> Las entidades públicas podrán transferir entre sí, aquellos bienes inmuebles fiscales ubicados en zonas declaradas de alto riesgo, identificadas así en el respectivo Plan de Ordenamiento Territorial o de los instrumentos que lo desarrollen o complementen.</w:t>
      </w:r>
      <w:bookmarkStart w:id="715" w:name="ver_30210385"/>
      <w:bookmarkEnd w:id="713"/>
      <w:bookmarkEnd w:id="715"/>
    </w:p>
    <w:p w14:paraId="01FB805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2.1.2.2.3.4. Documentos requeridos para la transferencia entre entidades públicas. Para la transferencia de bienes inmuebles entre entidades se requieren los siguientes documentos:  </w:t>
      </w:r>
    </w:p>
    <w:p w14:paraId="2876675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166314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Levantamiento topográfico, planos o cartografía existente en coordenadas Magna Sirgas.  </w:t>
      </w:r>
    </w:p>
    <w:p w14:paraId="287D004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E817AD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Certificado de libertad y tradición expedido por la Oficina de Registro de Instru</w:t>
      </w:r>
      <w:r w:rsidRPr="009342F9">
        <w:rPr>
          <w:rFonts w:ascii="Arial" w:eastAsia="Times New Roman" w:hAnsi="Arial" w:cs="Arial"/>
          <w:color w:val="000000"/>
          <w:lang w:eastAsia="es-CO"/>
        </w:rPr>
        <w:softHyphen/>
        <w:t>mentos Públicos o consulta de la Ventanilla Única de Registro (VUR) del folio de matrícula inmobiliaria individual o de mayor extensión  </w:t>
      </w:r>
    </w:p>
    <w:p w14:paraId="28516C8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6BD779E" w14:textId="77777777" w:rsidR="00FC79C1"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Documento expedido por la entidad receptora o cesionaria que certifique que la transferencia del bien inmueble fiscal atiende necesidades en materia de vivienda o infraestructura.  </w:t>
      </w:r>
    </w:p>
    <w:p w14:paraId="695FA9FC" w14:textId="77777777" w:rsidR="003C72F3" w:rsidRPr="009342F9" w:rsidRDefault="003C72F3" w:rsidP="00FC79C1">
      <w:pPr>
        <w:spacing w:after="0" w:line="240" w:lineRule="auto"/>
        <w:jc w:val="both"/>
        <w:rPr>
          <w:rFonts w:ascii="Arial" w:eastAsia="Times New Roman" w:hAnsi="Arial" w:cs="Arial"/>
          <w:color w:val="000000"/>
          <w:lang w:eastAsia="es-CO"/>
        </w:rPr>
      </w:pPr>
    </w:p>
    <w:p w14:paraId="3DA2DCE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Paz y salvo por concepto de impuestos, tasas y contribuciones expedido por la enti</w:t>
      </w:r>
      <w:r w:rsidRPr="009342F9">
        <w:rPr>
          <w:rFonts w:ascii="Arial" w:eastAsia="Times New Roman" w:hAnsi="Arial" w:cs="Arial"/>
          <w:color w:val="000000"/>
          <w:lang w:eastAsia="es-CO"/>
        </w:rPr>
        <w:softHyphen/>
        <w:t>dad territorial.  </w:t>
      </w:r>
    </w:p>
    <w:p w14:paraId="2C01C1C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A7458D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No se requerirá la presentación de proyectos de vivienda para la realización de la transferencia mencionada en la presente sección. </w:t>
      </w:r>
    </w:p>
    <w:p w14:paraId="24599E2C"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716" w:name="ver_30210386"/>
      <w:bookmarkEnd w:id="716"/>
    </w:p>
    <w:p w14:paraId="1D15C73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2.1.2.2.3.5. Trámite para la transferencia entre entidades. La transferencia de bienes inmuebles fiscales se efectuará mediante resolución administrativa inscrita en la Oficina de Registro de Instrumentos Públicos correspondiente, previa identificación de su descripción, área y linderos, e identificación catastral por parte de la entidad interesada en su adquisición.  </w:t>
      </w:r>
    </w:p>
    <w:p w14:paraId="6787680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0AEF4D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Lo anterior, atendiendo la incorporación adelantada por la autoridad encargada de la gestión catastral, de conformidad con las disposiciones que regulen la materia, y la identificación jurídica a través de un estudio de títulos de los predios a transferir. </w:t>
      </w:r>
    </w:p>
    <w:p w14:paraId="50CFB21D"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717" w:name="ver_30210387"/>
      <w:bookmarkEnd w:id="717"/>
    </w:p>
    <w:p w14:paraId="4AF0E99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2.1.2.2.3.6. Saneamiento y titulación de bienes fiscales ocupados ilegalmente. Transferido el inmueble a la entidad receptora o cesionaria, ésta realizará el saneamiento y titulación de los bienes inmuebles fiscales ocupados conforme a lo previsto en el Título 2 “Transferencia de Bienes Fiscales” del presente decreto y en desarrollo del artículo 277 de la Ley 1955 de 2019.  </w:t>
      </w:r>
    </w:p>
    <w:p w14:paraId="173D09C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BAD410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Las entidades receptoras serán responsables de honrar la destinación que se haya definido para el inmueble en el acto administrativo correspondiente. </w:t>
      </w:r>
    </w:p>
    <w:p w14:paraId="0FBC796B"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718" w:name="ver_30210388"/>
      <w:bookmarkEnd w:id="718"/>
    </w:p>
    <w:p w14:paraId="4C8AA8C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2.1.2.2.3.7. Régimen de transición. Las actuaciones administrativas relacionadas con cesiones a título gratuito que hayan sido emplazadas antes de la entrada en vigencia del presente </w:t>
      </w:r>
      <w:proofErr w:type="gramStart"/>
      <w:r w:rsidRPr="009342F9">
        <w:rPr>
          <w:rFonts w:ascii="Arial" w:eastAsia="Times New Roman" w:hAnsi="Arial" w:cs="Arial"/>
          <w:color w:val="000000"/>
          <w:lang w:eastAsia="es-CO"/>
        </w:rPr>
        <w:t>Capítulo,</w:t>
      </w:r>
      <w:proofErr w:type="gramEnd"/>
      <w:r w:rsidRPr="009342F9">
        <w:rPr>
          <w:rFonts w:ascii="Arial" w:eastAsia="Times New Roman" w:hAnsi="Arial" w:cs="Arial"/>
          <w:color w:val="000000"/>
          <w:lang w:eastAsia="es-CO"/>
        </w:rPr>
        <w:t xml:space="preserve"> continuarán rigiéndose por las disposiciones vigentes al inicio de la actuación administrativa. </w:t>
      </w:r>
    </w:p>
    <w:p w14:paraId="349FC591" w14:textId="77777777" w:rsidR="00683694" w:rsidRPr="009342F9" w:rsidRDefault="00683694" w:rsidP="00FC79C1">
      <w:pPr>
        <w:spacing w:after="0" w:line="240" w:lineRule="auto"/>
        <w:jc w:val="both"/>
        <w:rPr>
          <w:rFonts w:ascii="Arial" w:eastAsia="Times New Roman" w:hAnsi="Arial" w:cs="Arial"/>
          <w:color w:val="000000"/>
          <w:lang w:eastAsia="es-CO"/>
        </w:rPr>
      </w:pPr>
      <w:bookmarkStart w:id="719" w:name="ver_30072288"/>
      <w:bookmarkEnd w:id="719"/>
    </w:p>
    <w:p w14:paraId="4E407FCE" w14:textId="190D7720" w:rsidR="00FC79C1" w:rsidRPr="009342F9" w:rsidRDefault="00FC79C1" w:rsidP="00683694">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SECCIÓN 4</w:t>
      </w:r>
    </w:p>
    <w:p w14:paraId="1B73ED49" w14:textId="77777777" w:rsidR="00FC79C1" w:rsidRPr="009342F9" w:rsidRDefault="00FC79C1" w:rsidP="00683694">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ASUNTOS RELACIONADOS CON LA LICENCIA DE SUBDIVISIÓN, ZONAS DE CESIÓN OBLIGATORIA Y LEVANTAMIENTO DE HIPOTECAS</w:t>
      </w:r>
    </w:p>
    <w:p w14:paraId="39BCF7CE" w14:textId="77777777" w:rsidR="00D25E1B" w:rsidRDefault="00D25E1B" w:rsidP="00FC79C1">
      <w:pPr>
        <w:spacing w:after="0" w:line="240" w:lineRule="auto"/>
        <w:jc w:val="both"/>
        <w:rPr>
          <w:rFonts w:ascii="Arial" w:eastAsia="Times New Roman" w:hAnsi="Arial" w:cs="Arial"/>
          <w:color w:val="000000"/>
          <w:lang w:eastAsia="es-CO"/>
        </w:rPr>
      </w:pPr>
      <w:bookmarkStart w:id="720" w:name="ver_30072289"/>
    </w:p>
    <w:p w14:paraId="15B44DA2" w14:textId="6E43CA83"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2.1.2.2.4.1. Licencia de subdivisión. Conforme a lo establecido en el parágrafo del artículo 2.2.6.5.2. del presente decreto no se requerirá licencia de subdivisión para la transferencia de predios realizada mediante resolución administrativa en aplicación de los artículos 276 y 277 de Ley 1955 de 2019, referidos respectivamente a la transferencia de dominio de bienes inmuebles fiscales entre entidades y la cesión a título gratuito o enajenación de bienes fiscales.  </w:t>
      </w:r>
    </w:p>
    <w:p w14:paraId="4112F5B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A7946C7" w14:textId="3EFA5BE2"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Tampoco se requerirá licencia de subdivisión para la transferencia a cualquier título que por acto administrativo o escritura pública se deriven de la subrogación de derechos y obligaciones del extinto Instituto de Crédito Territorial (ICT) y/o Instituto Nacional de Vivienda de Interés Social (</w:t>
      </w:r>
      <w:proofErr w:type="spellStart"/>
      <w:r w:rsidRPr="009342F9">
        <w:rPr>
          <w:rFonts w:ascii="Arial" w:eastAsia="Times New Roman" w:hAnsi="Arial" w:cs="Arial"/>
          <w:color w:val="000000"/>
          <w:lang w:eastAsia="es-CO"/>
        </w:rPr>
        <w:t>Inurbe</w:t>
      </w:r>
      <w:proofErr w:type="spellEnd"/>
      <w:r w:rsidRPr="009342F9">
        <w:rPr>
          <w:rFonts w:ascii="Arial" w:eastAsia="Times New Roman" w:hAnsi="Arial" w:cs="Arial"/>
          <w:color w:val="000000"/>
          <w:lang w:eastAsia="es-CO"/>
        </w:rPr>
        <w:t>) a la Nación - Ministerio de Vivienda, Ciudad y Territorio. </w:t>
      </w:r>
    </w:p>
    <w:p w14:paraId="299D1065"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721" w:name="ver_30210390"/>
      <w:bookmarkStart w:id="722" w:name="ver_30072290"/>
      <w:bookmarkEnd w:id="720"/>
      <w:bookmarkEnd w:id="721"/>
    </w:p>
    <w:p w14:paraId="098AACD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2.1.2.2.4.2. Zonas de cesión obligatoria. En los casos de zonas de cesión obligatoria o con vocación de uso público que se transfieran mediante resolución administrativa en aplicación del artículo 6° de la Ley 1001 de 2005 y en los cuales no existan planos urbanísticos, la descripción del área y los linderos de los predios, será reemplazada por el certificado o plano predial catastral, o por el plano topográfico elaborado por un agrimensor, topógrafo o ingeniero con matrícula profesional vigente, asociado a la Red Geodésica Nacional, correspondiente al Datum Magna Sirgas, de conformidad con lo dispuesto en el artículo 2.1.2.2.2.8 numeral 5 del presente capítulo. </w:t>
      </w:r>
    </w:p>
    <w:p w14:paraId="0C86A17D"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723" w:name="ver_30210391"/>
      <w:bookmarkStart w:id="724" w:name="ver_30072291"/>
      <w:bookmarkEnd w:id="722"/>
      <w:bookmarkEnd w:id="723"/>
    </w:p>
    <w:p w14:paraId="23EE003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2.1.2.2.4.3. Levantamiento de hipotecas. En desarrollo de lo establecido en el artículo 7° de la Ley 1001 de 2005, la liberación de hipotecas en mayor extensión que afecten a los predios objeto de </w:t>
      </w:r>
      <w:proofErr w:type="gramStart"/>
      <w:r w:rsidRPr="009342F9">
        <w:rPr>
          <w:rFonts w:ascii="Arial" w:eastAsia="Times New Roman" w:hAnsi="Arial" w:cs="Arial"/>
          <w:color w:val="000000"/>
          <w:lang w:eastAsia="es-CO"/>
        </w:rPr>
        <w:t>transferencia,</w:t>
      </w:r>
      <w:proofErr w:type="gramEnd"/>
      <w:r w:rsidRPr="009342F9">
        <w:rPr>
          <w:rFonts w:ascii="Arial" w:eastAsia="Times New Roman" w:hAnsi="Arial" w:cs="Arial"/>
          <w:color w:val="000000"/>
          <w:lang w:eastAsia="es-CO"/>
        </w:rPr>
        <w:t xml:space="preserve"> se realizará mediante resolución administrativa. Para tal efecto el Ministerio de Vivienda, Ciudad y Territorio expedirá un acto administrativo de carácter general, en virtud del cual cancelará el gravamen de mayor extensión constituido a favor del desaparecido Instituto de Crédito Territorial (ICT).  </w:t>
      </w:r>
    </w:p>
    <w:p w14:paraId="7C8A321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CB0717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A solicitud de parte interesada, se expedirá una comunicación dirigida a las Oficinas de Registro de Instrumentos Públicos correspondientes, solicitando que se inscriba en el folio de matrícula individual el acto administrativo general de que trata el presente artículo. La expedición y gastos de registro o cualquier otro que se genere por tal solicitud, se entenderá a costa del solicitante.” </w:t>
      </w:r>
    </w:p>
    <w:p w14:paraId="39A3AB03" w14:textId="77777777" w:rsidR="00FC79C1" w:rsidRPr="009342F9" w:rsidRDefault="00FC79C1" w:rsidP="00683694">
      <w:pPr>
        <w:spacing w:after="0" w:line="240" w:lineRule="auto"/>
        <w:jc w:val="center"/>
        <w:rPr>
          <w:rFonts w:ascii="Arial" w:eastAsia="Times New Roman" w:hAnsi="Arial" w:cs="Arial"/>
          <w:b/>
          <w:bCs/>
          <w:color w:val="000000"/>
          <w:lang w:eastAsia="es-CO"/>
        </w:rPr>
      </w:pPr>
    </w:p>
    <w:p w14:paraId="56E4761E" w14:textId="77777777" w:rsidR="00FC79C1" w:rsidRPr="009342F9" w:rsidRDefault="00FC79C1" w:rsidP="00683694">
      <w:pPr>
        <w:spacing w:after="0" w:line="240" w:lineRule="auto"/>
        <w:jc w:val="center"/>
        <w:rPr>
          <w:rFonts w:ascii="Arial" w:eastAsia="Times New Roman" w:hAnsi="Arial" w:cs="Arial"/>
          <w:b/>
          <w:bCs/>
          <w:color w:val="000000"/>
          <w:lang w:eastAsia="es-CO"/>
        </w:rPr>
      </w:pPr>
      <w:bookmarkStart w:id="725" w:name="ver_30072292"/>
      <w:bookmarkEnd w:id="724"/>
      <w:bookmarkEnd w:id="725"/>
      <w:r w:rsidRPr="009342F9">
        <w:rPr>
          <w:rFonts w:ascii="Arial" w:eastAsia="Times New Roman" w:hAnsi="Arial" w:cs="Arial"/>
          <w:b/>
          <w:bCs/>
          <w:color w:val="000000"/>
          <w:lang w:eastAsia="es-CO"/>
        </w:rPr>
        <w:t>CAPÍTULO 3</w:t>
      </w:r>
    </w:p>
    <w:p w14:paraId="1594498C" w14:textId="77777777" w:rsidR="00FC79C1" w:rsidRDefault="00FC79C1" w:rsidP="00683694">
      <w:pPr>
        <w:spacing w:after="0" w:line="240" w:lineRule="auto"/>
        <w:jc w:val="center"/>
        <w:rPr>
          <w:rFonts w:ascii="Arial" w:eastAsia="Times New Roman" w:hAnsi="Arial" w:cs="Arial"/>
          <w:b/>
          <w:bCs/>
          <w:color w:val="000000"/>
          <w:lang w:eastAsia="es-CO"/>
        </w:rPr>
      </w:pPr>
      <w:r w:rsidRPr="231E957E">
        <w:rPr>
          <w:rFonts w:ascii="Arial" w:eastAsia="Times New Roman" w:hAnsi="Arial" w:cs="Arial"/>
          <w:b/>
          <w:color w:val="000000" w:themeColor="text1"/>
          <w:lang w:eastAsia="es-CO"/>
        </w:rPr>
        <w:t>TRANSFERENCIA DE BIENES FISCALES PARA VIVIENDA DE INTERÉS SOCIAL</w:t>
      </w:r>
    </w:p>
    <w:p w14:paraId="0C0FAA2D" w14:textId="77777777" w:rsidR="007C7D44" w:rsidRPr="009342F9" w:rsidRDefault="007C7D44" w:rsidP="00683694">
      <w:pPr>
        <w:spacing w:after="0" w:line="240" w:lineRule="auto"/>
        <w:jc w:val="center"/>
        <w:rPr>
          <w:rFonts w:ascii="Arial" w:eastAsia="Times New Roman" w:hAnsi="Arial" w:cs="Arial"/>
          <w:b/>
          <w:bCs/>
          <w:color w:val="000000"/>
          <w:lang w:eastAsia="es-CO"/>
        </w:rPr>
      </w:pPr>
    </w:p>
    <w:p w14:paraId="74D641DE" w14:textId="77777777" w:rsidR="00FC79C1" w:rsidRPr="009342F9" w:rsidRDefault="00FC79C1" w:rsidP="00683694">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SECCIÓN 1</w:t>
      </w:r>
    </w:p>
    <w:p w14:paraId="5AA9E2D3" w14:textId="77777777" w:rsidR="00FC79C1" w:rsidRPr="009342F9" w:rsidRDefault="00FC79C1" w:rsidP="00683694">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IDENTIFICACIÓN Y OFRECIMIENTO DE INMUEBLES</w:t>
      </w:r>
    </w:p>
    <w:p w14:paraId="426F9830"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726" w:name="ver_30072294"/>
      <w:bookmarkEnd w:id="726"/>
    </w:p>
    <w:p w14:paraId="4E2E339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2.1.2.3.1.1. Bienes susceptibles de ser transferidos para proyectos de VIS. Las entidades públicas del orden nacional y territorial que hagan parte de cualquiera de las Ramas del Poder Público, los bancos inmobiliarios, así como los órganos autónomos e independientes, podrán transferir a título gratuito al Fondo Nacional de Vivienda FONVIVIENDA, a los patrimonios autónomos que este y/o Findeter constituyan, a los patrimonios autónomos que constituyan las entidades que determine FONVIVIENDA, o a las entidades públicas que desarrollen programas </w:t>
      </w:r>
      <w:r w:rsidRPr="009342F9">
        <w:rPr>
          <w:rFonts w:ascii="Arial" w:eastAsia="Times New Roman" w:hAnsi="Arial" w:cs="Arial"/>
          <w:color w:val="000000"/>
          <w:lang w:eastAsia="es-CO"/>
        </w:rPr>
        <w:lastRenderedPageBreak/>
        <w:t>de vivienda de interés social de carácter territorial, departamental, municipal o Distrital, los bienes inmuebles fiscales urbanos de su propiedad, o la porción de ellos, que puedan ser destinados para la construcción o el desarrollo de proyectos de vivienda de interés social, de acuerdo a lo establecido en los Planes de Ordenamiento Territorial y los instrumentos que lo complementen o desarrollen. </w:t>
      </w:r>
    </w:p>
    <w:p w14:paraId="5D7F077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C3AF89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2.1.2.3.1.2. Identificación y determinación de los bienes susceptibles de ser transferidos para proyectos VIS. Las entidades públicas del orden nacional que hagan parte de la Rama Ejecutiva del Poder </w:t>
      </w:r>
      <w:proofErr w:type="gramStart"/>
      <w:r w:rsidRPr="009342F9">
        <w:rPr>
          <w:rFonts w:ascii="Arial" w:eastAsia="Times New Roman" w:hAnsi="Arial" w:cs="Arial"/>
          <w:color w:val="000000"/>
          <w:lang w:eastAsia="es-CO"/>
        </w:rPr>
        <w:t>Público,</w:t>
      </w:r>
      <w:proofErr w:type="gramEnd"/>
      <w:r w:rsidRPr="009342F9">
        <w:rPr>
          <w:rFonts w:ascii="Arial" w:eastAsia="Times New Roman" w:hAnsi="Arial" w:cs="Arial"/>
          <w:color w:val="000000"/>
          <w:lang w:eastAsia="es-CO"/>
        </w:rPr>
        <w:t xml:space="preserve"> deberán realizar el inventario de los bienes inmuebles de su propiedad e identificar los que tienen la posibilidad de ser destinados para la construcción o el desarrollo de proyectos de vivienda de interés social, para determinar tal posibilidad, deberán obtener: </w:t>
      </w:r>
    </w:p>
    <w:p w14:paraId="5D60A22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F39D3C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2.1 Certificado expedido por la entidad competente de que el inmueble se encuentra ubicado dentro del perímetro urbano del respectivo municipio de conformidad con el respectivo Plan de Ordenamiento Territorial, los instrumentos que los desarrollen o complementen, o localizado en suelo de expansión urbana que cuente con plan parcial adoptado, o que haga parte de Macroproyectos de Interés Social Nacional adoptados. </w:t>
      </w:r>
    </w:p>
    <w:p w14:paraId="487EBE8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15F37B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2.2 Certificado de uso del suelo, expedido por la entidad competente, en el que conste que el predio(s) es apto para construcción de vivienda conforme con el Plan de Ordenamiento Territorial. </w:t>
      </w:r>
    </w:p>
    <w:p w14:paraId="7CE8A9E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4CA5DD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2.3 Certificación expedida por la autoridad competente en donde conste que el predio no se encuentra en: i) zonas de reserva de obra pública o de infraestructuras básicas del nivel nacional, regional o municipal; ii) áreas no aptas para la localización de vivienda; iii) zonas de alto riesgo no mitigable; </w:t>
      </w:r>
      <w:proofErr w:type="spellStart"/>
      <w:r w:rsidRPr="009342F9">
        <w:rPr>
          <w:rFonts w:ascii="Arial" w:eastAsia="Times New Roman" w:hAnsi="Arial" w:cs="Arial"/>
          <w:color w:val="000000"/>
          <w:lang w:eastAsia="es-CO"/>
        </w:rPr>
        <w:t>iv</w:t>
      </w:r>
      <w:proofErr w:type="spellEnd"/>
      <w:r w:rsidRPr="009342F9">
        <w:rPr>
          <w:rFonts w:ascii="Arial" w:eastAsia="Times New Roman" w:hAnsi="Arial" w:cs="Arial"/>
          <w:color w:val="000000"/>
          <w:lang w:eastAsia="es-CO"/>
        </w:rPr>
        <w:t>) zonas de protección de los recursos naturales, conforme con el Plan de Ordenamiento Territorial. </w:t>
      </w:r>
    </w:p>
    <w:p w14:paraId="627E6B4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6E7484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Cada entidad pública será responsable de la realización de los estudios de títulos que le permitan determinar cuáles son los bienes inmuebles de su propiedad, para la elaboración del inventario al que hace referencia el presente artículo. </w:t>
      </w:r>
    </w:p>
    <w:p w14:paraId="0716E878" w14:textId="34029736"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727" w:name="ver_30072297"/>
      <w:bookmarkEnd w:id="727"/>
    </w:p>
    <w:p w14:paraId="14E0F48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2.1.2.3.1.3. Información remitida por parte de entidades que tengan a su cargo la administración de programas de activos públicos del Estado. En cumplimiento de lo establecido en el parágrafo 2° del artículo 41 de la Ley 1537 de 2012, la Dirección Nacional de Estupefacientes (en Supresión) o la entidad que haga sus veces, la Central de Inversiones S.A., (CISA S.A.) y todas las demás entidades que tengan a su cargo la administración de programas de activos públicos del Estado suministrarán, cada seis meses, al Ministerio de Vivienda, Ciudad y Territorio un listado completo de los inmuebles ubicados en el perímetro urbano, susceptibles de ser vinculados de manera inmediata a la ejecución de proyectos de construcción de vivienda de interés social, para lo cual adjuntará los documentos relacionados en los numerales 2.1 a 2.3 del artículo 2.1.2.3.1.2 del presente capítulo. </w:t>
      </w:r>
    </w:p>
    <w:p w14:paraId="1511839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BF2C3B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Una vez remitido el listado al Ministerio de Vivienda, Ciudad y Territorio, este entregará la información a FONVIVIENDA, para que dé cumplimiento a lo establecido en el artículo 2.1.2.3.1.4 de este capítulo. </w:t>
      </w:r>
    </w:p>
    <w:p w14:paraId="49B905D9"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728" w:name="ver_30072298"/>
      <w:bookmarkEnd w:id="728"/>
    </w:p>
    <w:p w14:paraId="5A2243C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2.1.2.3.1.4. Ofrecimiento de inmuebles de entidades públicas de la Rama Ejecutiva en el orden nacional, a las entidades que desarrollen proyectos de VIS. Las entidades públicas de la Rama Ejecutiva orden nacional deberán remitir la información a la que hace referencia el artículo </w:t>
      </w:r>
      <w:r w:rsidRPr="009342F9">
        <w:rPr>
          <w:rFonts w:ascii="Arial" w:eastAsia="Times New Roman" w:hAnsi="Arial" w:cs="Arial"/>
          <w:color w:val="000000"/>
          <w:lang w:eastAsia="es-CO"/>
        </w:rPr>
        <w:lastRenderedPageBreak/>
        <w:t>2.1.2.3.1.2 de este capítulo a FONVIVIENDA para que este determine si pueden ser transferidos a los patrimonios autónomos que haya constituido para el desarrollo de proyectos de vivienda de interés prioritario. La decisión deberá ser adoptada por el ente u órgano competente para el efecto, en el patrimonio autónomo correspondiente, de acuerdo con lo establecido en el contrato de fiducia mercantil. </w:t>
      </w:r>
    </w:p>
    <w:p w14:paraId="6F8E087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6E8D19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En el caso en que FONVIVIENDA se pronuncie indicando que el inmueble no será recibido por parte de los patrimonios autónomos antes mencionados, deberá indicar a la entidad propietaria del inmueble si se han constituido patrimonios autónomos por parte de Findeter u otras entidades señaladas por el Gobierno Nacional, para el desarrollo de proyectos de vivienda de interés social, caso en el cual el propietario del predio deberá </w:t>
      </w:r>
      <w:proofErr w:type="gramStart"/>
      <w:r w:rsidRPr="009342F9">
        <w:rPr>
          <w:rFonts w:ascii="Arial" w:eastAsia="Times New Roman" w:hAnsi="Arial" w:cs="Arial"/>
          <w:color w:val="000000"/>
          <w:lang w:eastAsia="es-CO"/>
        </w:rPr>
        <w:t>proceder a ofrecerlo</w:t>
      </w:r>
      <w:proofErr w:type="gramEnd"/>
      <w:r w:rsidRPr="009342F9">
        <w:rPr>
          <w:rFonts w:ascii="Arial" w:eastAsia="Times New Roman" w:hAnsi="Arial" w:cs="Arial"/>
          <w:color w:val="000000"/>
          <w:lang w:eastAsia="es-CO"/>
        </w:rPr>
        <w:t xml:space="preserve"> a los mencionados patrimonios autónomos. </w:t>
      </w:r>
    </w:p>
    <w:p w14:paraId="1CBE806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34FC4E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Cuando las entidades y patrimonios autónomos antes mencionados manifiesten, estos últimos a través de los entes u órganos competentes, que no tienen interés en la adquisición del inmueble, el mismo deberá ser ofrecido al alcalde del municipio y al gobernador del departamento en el cual se encuentre ubicado, para que este se pronuncie acerca de su intención de recibirlo, en las condiciones señaladas en el presente capítulo. </w:t>
      </w:r>
    </w:p>
    <w:p w14:paraId="3640DC0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146E9A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Cuando FONVIVIENDA, o las otras entidades o patrimonios autónomos a los que hace referencia este artículo, tengan conocimiento de la existencia de un inmueble de propiedad de una entidad pública del orden nacional, que cumpla las condiciones para el desarrollo de un proyecto de VIS, podrá solicitar su transferencia a la entidad propietaria, aun cuando esta no haya realizado el respectivo inventario. </w:t>
      </w:r>
    </w:p>
    <w:p w14:paraId="1BB36B19"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729" w:name="ver_30072299"/>
      <w:bookmarkEnd w:id="729"/>
    </w:p>
    <w:p w14:paraId="4D2060D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2.1.2.3.1.5. Condiciones para el recibo de bienes inmuebles por parte de las entidades y patrimonios autónomos autorizados por la Ley 1537 de 2012. Cuando FONVIVIENDA manifieste interés en adquirir para sí, o para alguno de los patrimonios autónomos que haya constituido, los inmuebles a los que hace referencia la presente sección, la transferencia se sujetará al reglamento que expida esa entidad, o a las condiciones que se hayan definido para la adquisición y recibo de bienes inmuebles por parte de los patrimonios autónomos respectivos. </w:t>
      </w:r>
    </w:p>
    <w:p w14:paraId="6E30123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5388AD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Cuando se hayan constituido patrimonios autónomos por parte de Findeter u otras entidades señaladas por el Gobierno Nacional, para el desarrollo de proyectos de vivienda de interés social, la transferencia se sujetará al reglamento que expida la entidad que haya constituido el patrimonio autónomo, o a las condiciones que se hayan definido para la adquisición y recibo de bienes inmuebles por parte de los patrimonios autónomos respectivos. </w:t>
      </w:r>
    </w:p>
    <w:p w14:paraId="253374D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15F9EEC"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730" w:name="ver_30072300"/>
      <w:bookmarkEnd w:id="730"/>
      <w:r w:rsidRPr="009342F9">
        <w:rPr>
          <w:rFonts w:ascii="Arial" w:eastAsia="Times New Roman" w:hAnsi="Arial" w:cs="Arial"/>
          <w:color w:val="000000"/>
          <w:lang w:eastAsia="es-CO"/>
        </w:rPr>
        <w:t>Artículo 2.1.2.3.1.6. Ofrecimiento de inmuebles de otras entidades públicas, a las entidades que desarrollen proyectos de VIS. Las entidades territoriales, las entidades de la Rama Legislativa y Judicial del Poder Público, los bancos inmobiliarios, así como los órganos autónomos e independientes, podrán ofrecer a FONVIVIENDA, a los patrimonios autónomos que este y/o Findeter constituyan, o a los patrimonios autónomos que constituyan las entidades que determine FONVIVIENDA, los bienes fiscales de su propiedad, o la porción de ellos, que puedan ser destinados para la construcción o el desarrollo de proyectos de vivienda de interés social, de acuerdo a lo establecido en los Planes de Ordenamiento Territorial y los instrumentos que lo complementen o desarrollen. </w:t>
      </w:r>
    </w:p>
    <w:p w14:paraId="2C60A2D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253190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Cuando se realice un ofrecimiento de acuerdo con lo establecido en el presente artículo, la entidad propietaria del inmueble deberá anexar al ofrecimiento, los documentos relacionados en los numerales 2.1 a 2.3 del artículo 2.1.2.3.1.2 del presente capítulo. </w:t>
      </w:r>
    </w:p>
    <w:p w14:paraId="18F3C0A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w:t>
      </w:r>
    </w:p>
    <w:p w14:paraId="5A3215A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el evento en que FONVIVIENDA, los patrimonios autónomos que este y/o Findeter constituyan, o los patrimonios autónomos que constituyan las entidades que determine FONVIVIENDA, estos últimos a través de los órganos contractuales competentes, manifiesten su interés en adquirir el inmueble, la transferencia se realizará en las condiciones señaladas en el artículo 2.1.2.3.1.5 del presente capítulo. </w:t>
      </w:r>
    </w:p>
    <w:p w14:paraId="4E75FC8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F66158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Cuando FONVIVIENDA, o las otras entidades o patrimonios autónomos a los que hace referencia este artículo, tengan conocimiento de la existencia de un inmueble de propiedad de entidades territoriales, entidades de la Rama Legislativa y Judicial del Poder Público, o bancos inmobiliarios, que cumpla las condiciones para el desarrollo de un proyecto de VIS, podrá solicitar su transferencia a la entidad propietaria, y si esta última manifiesta su interés en transferirlo, se surtirá el proceso señalado en el presente artículo. </w:t>
      </w:r>
    </w:p>
    <w:p w14:paraId="571E268F" w14:textId="67816D97" w:rsidR="00683694" w:rsidRPr="009342F9" w:rsidRDefault="00FC79C1" w:rsidP="00D25E1B">
      <w:pPr>
        <w:spacing w:after="0" w:line="240" w:lineRule="auto"/>
        <w:jc w:val="both"/>
        <w:rPr>
          <w:rFonts w:ascii="Arial" w:eastAsia="Times New Roman" w:hAnsi="Arial" w:cs="Arial"/>
          <w:b/>
          <w:bCs/>
          <w:color w:val="000000"/>
          <w:lang w:eastAsia="es-CO"/>
        </w:rPr>
      </w:pPr>
      <w:r w:rsidRPr="009342F9">
        <w:rPr>
          <w:rFonts w:ascii="Arial" w:eastAsia="Times New Roman" w:hAnsi="Arial" w:cs="Arial"/>
          <w:color w:val="000000"/>
          <w:lang w:eastAsia="es-CO"/>
        </w:rPr>
        <w:t>  </w:t>
      </w:r>
      <w:bookmarkStart w:id="731" w:name="ver_30072301"/>
      <w:bookmarkEnd w:id="731"/>
    </w:p>
    <w:p w14:paraId="1A43BBB9" w14:textId="706B1554" w:rsidR="00FC79C1" w:rsidRPr="009342F9" w:rsidRDefault="00FC79C1" w:rsidP="00683694">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SECCIÓN 2</w:t>
      </w:r>
    </w:p>
    <w:p w14:paraId="338576BC" w14:textId="77777777" w:rsidR="00FC79C1" w:rsidRPr="009342F9" w:rsidRDefault="00FC79C1" w:rsidP="00683694">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SOLICITUD DE INMUEBLES A LAS ENTIDADES PÚBLICAS DEL ORDEN NACIONAL Y CONDICIONES PARA SU TRANSFERENCIA</w:t>
      </w:r>
    </w:p>
    <w:p w14:paraId="2228CB90"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732" w:name="ver_30072302"/>
      <w:bookmarkEnd w:id="732"/>
    </w:p>
    <w:p w14:paraId="12160EC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2.1.2.3.2.1. Solicitud de inmuebles a la entidad propietaria, para el desarrollo de proyectos de VIS. Las entidades públicas del orden departamental, municipal o distrital podrán solicitar a la entidad pública de la Rama Ejecutiva del orden nacional, propietaria de un inmueble, que el mismo les sea transferido para el desarrollo de un proyecto de vivienda de interés social, caso en el cual deberán remitir con su solicitud los documentos a los cuales hace referencia los numerales 2.1 a 2.3 del artículo 2.1.2.3.1.2 del presente capítulo, y, en todo caso, la entidad propietaria deberá surtir previamente el proceso de ofrecimiento del inmueble a FONVIVIENDA para que este manifieste si tiene interés en que sean transferidos a los patrimonios autónomos que haya constituido para el desarrollo de proyectos de vivienda de interés prioritario. </w:t>
      </w:r>
    </w:p>
    <w:p w14:paraId="7342D73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64745C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En el caso en que FONVIVIENDA se pronuncie indicando que el inmueble no será recibido por parte de los patrimonios autónomos antes mencionados, deberá indicar a la entidad propietaria del inmueble si se han constituido patrimonios autónomos por parte de Findeter u otras entidades señaladas por el Gobierno Nacional, para el desarrollo de proyectos de vivienda de interés social, caso en el cual el propietario del predio deberá </w:t>
      </w:r>
      <w:proofErr w:type="gramStart"/>
      <w:r w:rsidRPr="009342F9">
        <w:rPr>
          <w:rFonts w:ascii="Arial" w:eastAsia="Times New Roman" w:hAnsi="Arial" w:cs="Arial"/>
          <w:color w:val="000000"/>
          <w:lang w:eastAsia="es-CO"/>
        </w:rPr>
        <w:t>proceder a ofrecerlo</w:t>
      </w:r>
      <w:proofErr w:type="gramEnd"/>
      <w:r w:rsidRPr="009342F9">
        <w:rPr>
          <w:rFonts w:ascii="Arial" w:eastAsia="Times New Roman" w:hAnsi="Arial" w:cs="Arial"/>
          <w:color w:val="000000"/>
          <w:lang w:eastAsia="es-CO"/>
        </w:rPr>
        <w:t xml:space="preserve"> a los mencionados patrimonios autónomos. </w:t>
      </w:r>
    </w:p>
    <w:p w14:paraId="574CB33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485241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Cuando las entidades y patrimonios autónomos antes mencionados manifiesten, estos últimos a través de los entes u órganos competentes, que no tienen interés en la adquisición del inmueble, la entidad pública de la Rama Ejecutiva del orden nacional, propietaria del inmueble podrá transferirlo a las entidades públicas del orden departamental, municipal o distrital que lo hayan solicitado, cumpliendo las condiciones a que se refiere el artículo 2.1.2.3.2.2 del presente capítulo. </w:t>
      </w:r>
    </w:p>
    <w:p w14:paraId="406458C0"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733" w:name="ver_30072303"/>
      <w:bookmarkEnd w:id="733"/>
    </w:p>
    <w:p w14:paraId="64AD85D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2.1.2.3.2.2. Condiciones para la transferencia de bienes inmuebles a entidades públicas del orden departamental, distrital o municipal. En el caso en que FONVIVIENDA o a las entidades o patrimonios autónomos a los que hace referencia el artículo 2.1.2.3.1.2 de este capítulo, cuando sea el caso, manifiesten que no tienen interés en la adquisición de los inmuebles ofrecidos y el municipio o departamento respectivo manifieste interés en adquirirlos, la entidad pública propietaria deberá suscribir un convenio con la entidad que recibirá el inmueble, en el cual esta última se deberá comprometer como mínimo a: </w:t>
      </w:r>
    </w:p>
    <w:p w14:paraId="6FF40C2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084055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1. Obtener la(s) licencia(s) urbanísticas del proyecto de vivienda de interés social a desarrollar en el inmueble, y los demás permisos y documentos que se requieran para el desarrollo del proyecto, de acuerdo con las normas vigentes. </w:t>
      </w:r>
    </w:p>
    <w:p w14:paraId="63CDE97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D836F8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2. Emitir a favor de la entidad que transfiere, </w:t>
      </w:r>
      <w:proofErr w:type="gramStart"/>
      <w:r w:rsidRPr="009342F9">
        <w:rPr>
          <w:rFonts w:ascii="Arial" w:eastAsia="Times New Roman" w:hAnsi="Arial" w:cs="Arial"/>
          <w:color w:val="000000"/>
          <w:lang w:eastAsia="es-CO"/>
        </w:rPr>
        <w:t>un paz</w:t>
      </w:r>
      <w:proofErr w:type="gramEnd"/>
      <w:r w:rsidRPr="009342F9">
        <w:rPr>
          <w:rFonts w:ascii="Arial" w:eastAsia="Times New Roman" w:hAnsi="Arial" w:cs="Arial"/>
          <w:color w:val="000000"/>
          <w:lang w:eastAsia="es-CO"/>
        </w:rPr>
        <w:t xml:space="preserve"> y salvo por concepto de obligaciones fiscales del inmueble a transferir, o el documento que acredite que la entidad propietaria no tiene deudas por concepto de obligaciones tributarias que recaigan sobre el inmueble. </w:t>
      </w:r>
    </w:p>
    <w:p w14:paraId="665A4A6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0E66DC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Asumir todos los costos o gastos que genere la transferencia y el recibo material del inmueble respectivo. </w:t>
      </w:r>
    </w:p>
    <w:p w14:paraId="130D280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AC5871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4. Suscribir el acta de entrega material del inmueble y asumir a partir de ese momento la custodia </w:t>
      </w:r>
      <w:proofErr w:type="gramStart"/>
      <w:r w:rsidRPr="009342F9">
        <w:rPr>
          <w:rFonts w:ascii="Arial" w:eastAsia="Times New Roman" w:hAnsi="Arial" w:cs="Arial"/>
          <w:color w:val="000000"/>
          <w:lang w:eastAsia="es-CO"/>
        </w:rPr>
        <w:t>del mismo</w:t>
      </w:r>
      <w:proofErr w:type="gramEnd"/>
      <w:r w:rsidRPr="009342F9">
        <w:rPr>
          <w:rFonts w:ascii="Arial" w:eastAsia="Times New Roman" w:hAnsi="Arial" w:cs="Arial"/>
          <w:color w:val="000000"/>
          <w:lang w:eastAsia="es-CO"/>
        </w:rPr>
        <w:t>. </w:t>
      </w:r>
    </w:p>
    <w:p w14:paraId="06DD0C9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93911B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 Una vez recibido el inmueble, adelantar, bajo su exclusiva responsabilidad técnica, administrativa y financiera, un proyecto de vivienda de interés social en el mismo, de acuerdo con las respectivas licencias urbanísticas. </w:t>
      </w:r>
    </w:p>
    <w:p w14:paraId="4D6A566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3827A7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6. Si es del caso, iniciar los procesos de titulación, restitución y/o procesos reivindicatorios frente a eventuales ocupantes que existan a la fecha de la transferencia, o que se ubiquen en el inmueble con posterioridad. </w:t>
      </w:r>
    </w:p>
    <w:p w14:paraId="3FA15CD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C7422C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7. Comprobar que cuenta con los recursos necesarios para ejecutar un proyecto de vivienda en el inmueble que se solicita, dentro del término pactado para la ejecución del convenio. </w:t>
      </w:r>
    </w:p>
    <w:p w14:paraId="7E67621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F2A195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8. Emplear la totalidad del inmueble transferido únicamente para el desarrollo de un proyecto de vivienda de interés social, so pena de restituirlo total o parcialmente a la entidad </w:t>
      </w:r>
      <w:proofErr w:type="spellStart"/>
      <w:r w:rsidRPr="009342F9">
        <w:rPr>
          <w:rFonts w:ascii="Arial" w:eastAsia="Times New Roman" w:hAnsi="Arial" w:cs="Arial"/>
          <w:color w:val="000000"/>
          <w:lang w:eastAsia="es-CO"/>
        </w:rPr>
        <w:t>tradente</w:t>
      </w:r>
      <w:proofErr w:type="spellEnd"/>
      <w:r w:rsidRPr="009342F9">
        <w:rPr>
          <w:rFonts w:ascii="Arial" w:eastAsia="Times New Roman" w:hAnsi="Arial" w:cs="Arial"/>
          <w:color w:val="000000"/>
          <w:lang w:eastAsia="es-CO"/>
        </w:rPr>
        <w:t>, a su costa, en las condiciones en que le fuera entregado y dentro del término que se establezca en la condición resolutoria que se deberá incluir en el acto administrativo de transferencia. </w:t>
      </w:r>
    </w:p>
    <w:p w14:paraId="6D1AFF7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FC832E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9. Asumir el costo de los documentos necesarios para la actualización de cabida y linderos del predio a adquirir, así como para obtener las licencias de subdivisión </w:t>
      </w:r>
      <w:proofErr w:type="gramStart"/>
      <w:r w:rsidRPr="009342F9">
        <w:rPr>
          <w:rFonts w:ascii="Arial" w:eastAsia="Times New Roman" w:hAnsi="Arial" w:cs="Arial"/>
          <w:color w:val="000000"/>
          <w:lang w:eastAsia="es-CO"/>
        </w:rPr>
        <w:t>del mismo</w:t>
      </w:r>
      <w:proofErr w:type="gramEnd"/>
      <w:r w:rsidRPr="009342F9">
        <w:rPr>
          <w:rFonts w:ascii="Arial" w:eastAsia="Times New Roman" w:hAnsi="Arial" w:cs="Arial"/>
          <w:color w:val="000000"/>
          <w:lang w:eastAsia="es-CO"/>
        </w:rPr>
        <w:t>, cuando sea el caso. </w:t>
      </w:r>
    </w:p>
    <w:p w14:paraId="7E56AA1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DC898E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10. Presentar informes de avance en la ejecución del proyecto cuando lo solicite la entidad </w:t>
      </w:r>
      <w:proofErr w:type="spellStart"/>
      <w:r w:rsidRPr="009342F9">
        <w:rPr>
          <w:rFonts w:ascii="Arial" w:eastAsia="Times New Roman" w:hAnsi="Arial" w:cs="Arial"/>
          <w:color w:val="000000"/>
          <w:lang w:eastAsia="es-CO"/>
        </w:rPr>
        <w:t>tradente</w:t>
      </w:r>
      <w:proofErr w:type="spellEnd"/>
      <w:r w:rsidRPr="009342F9">
        <w:rPr>
          <w:rFonts w:ascii="Arial" w:eastAsia="Times New Roman" w:hAnsi="Arial" w:cs="Arial"/>
          <w:color w:val="000000"/>
          <w:lang w:eastAsia="es-CO"/>
        </w:rPr>
        <w:t>. </w:t>
      </w:r>
    </w:p>
    <w:p w14:paraId="739E169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2D5FF7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La suscripción del convenio al que hace referencia el presente artículo en ningún caso implicará, por sí mismo, la obligación de destinar recursos del subsidio familiar de vivienda por parte del Gobierno Nacional, para la ejecución del proyecto de vivienda respectivo en el inmueble transferido. </w:t>
      </w:r>
    </w:p>
    <w:p w14:paraId="11022B20" w14:textId="77777777" w:rsidR="00683694" w:rsidRPr="009342F9" w:rsidRDefault="00683694" w:rsidP="00683694">
      <w:pPr>
        <w:spacing w:after="0" w:line="240" w:lineRule="auto"/>
        <w:jc w:val="center"/>
        <w:rPr>
          <w:rFonts w:ascii="Arial" w:eastAsia="Times New Roman" w:hAnsi="Arial" w:cs="Arial"/>
          <w:b/>
          <w:bCs/>
          <w:color w:val="000000"/>
          <w:lang w:eastAsia="es-CO"/>
        </w:rPr>
      </w:pPr>
      <w:bookmarkStart w:id="734" w:name="ver_30072304"/>
      <w:bookmarkEnd w:id="734"/>
    </w:p>
    <w:p w14:paraId="572E17A2" w14:textId="3ABA1D48" w:rsidR="00FC79C1" w:rsidRPr="009342F9" w:rsidRDefault="00FC79C1" w:rsidP="00683694">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SECCIÓN 3</w:t>
      </w:r>
    </w:p>
    <w:p w14:paraId="1E4D8F40" w14:textId="77777777" w:rsidR="00FC79C1" w:rsidRPr="009342F9" w:rsidRDefault="00FC79C1" w:rsidP="00683694">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OTRAS DISPOSICIONES</w:t>
      </w:r>
    </w:p>
    <w:p w14:paraId="207D4539"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735" w:name="ver_30072305"/>
      <w:bookmarkEnd w:id="735"/>
    </w:p>
    <w:p w14:paraId="00D54D5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2.1.2.3.3.1. Condiciones de otras entidades para la transferencia de bienes inmuebles. Las entidades territoriales, las entidades de la Rama Legislativa y Judicial del Poder Público, los bancos inmobiliarios, así como los órganos autónomos e independientes, definirán los procedimientos y condiciones para la transferencia de bienes inmuebles a entidades públicas del orden departamental, distrital o municipal, con el fin de dar cumplimiento a lo establecido en el artículo 41 de la Ley 1537 de 2012. </w:t>
      </w:r>
    </w:p>
    <w:p w14:paraId="257DB5F4"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736" w:name="ver_30072308"/>
      <w:bookmarkEnd w:id="736"/>
    </w:p>
    <w:p w14:paraId="62BA10F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2.1.2.3.3.2. Autorización para transferir inmuebles para VIS. En el evento en que se cumplan los requisitos establecidos en el presente capítulo para proceder a la transferencia del inmueble, el representante legal de la entidad pública propietaria o su delegado, o el funcionario que se encuentre autorizado por parte de los respectivos estatutos de la entidad cuando sea el caso, podrá suscribir el acto administrativo de transferencia, así como el acta de entrega material y recibo de los inmuebles, de acuerdo con lo establecido en el artículo 43 de la Ley 1537 de 2012. </w:t>
      </w:r>
    </w:p>
    <w:p w14:paraId="172ABD1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DA4472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 más tardar dentro de los cinco (5) días siguientes a la ejecutoria del acto administrativo de transferencia del inmueble, se deberá suscribir el acta de recibo material </w:t>
      </w:r>
      <w:proofErr w:type="gramStart"/>
      <w:r w:rsidRPr="009342F9">
        <w:rPr>
          <w:rFonts w:ascii="Arial" w:eastAsia="Times New Roman" w:hAnsi="Arial" w:cs="Arial"/>
          <w:color w:val="000000"/>
          <w:lang w:eastAsia="es-CO"/>
        </w:rPr>
        <w:t>del mismo</w:t>
      </w:r>
      <w:proofErr w:type="gramEnd"/>
      <w:r w:rsidRPr="009342F9">
        <w:rPr>
          <w:rFonts w:ascii="Arial" w:eastAsia="Times New Roman" w:hAnsi="Arial" w:cs="Arial"/>
          <w:color w:val="000000"/>
          <w:lang w:eastAsia="es-CO"/>
        </w:rPr>
        <w:t>, la cual deberá detallar el estado en que se encuentra. El acto administrativo de transferencia y el acta de entrega material del inmueble deberán someterse a registro en forma simultánea, como requisito para su inscripción. </w:t>
      </w:r>
    </w:p>
    <w:p w14:paraId="0249DD4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6BA1B1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Cuando en el folio de matrícula inmobiliaria del bien inmueble susceptible de ser transferido figure como propietaria la Nación o el Gobierno Nacional, sin que se identifique como titular del derecho real de dominio a un Ministerio o Departamento Administrativo, el acto de transferencia del inmueble se suscribirá de acuerdo con las siguientes reglas: </w:t>
      </w:r>
    </w:p>
    <w:p w14:paraId="0CAF4E8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C65635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Por parte del representante legal del Ministerio o Departamento Administrativo que tenga a su cargo la administración o custodia del inmueble, o que lo tenga incorporado en sus estados financieros. </w:t>
      </w:r>
    </w:p>
    <w:p w14:paraId="18A104E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446EFC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Cuando ningún Ministerio o Departamento Administrativo tenga a su cargo la administración o custodia del inmueble, ni lo tenga incorporado en sus estados financieros, el acto de transferencia lo suscribirá el representante legal del Ministerio o Departamento Administrativo que tenga dentro de sus funciones alguna relacionada con la destinación que se pretendía dar al inmueble cuando fue adquirido, de acuerdo con lo indicado en la Escritura Pública o acto de adquisición. </w:t>
      </w:r>
    </w:p>
    <w:p w14:paraId="6068C26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DF632C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Cuando la Escritura Pública o acto de adquisición no especifiquen cuál era la destinación que se pretendía dar al inmueble cuando fue adquirido, o cuando haya más de una entidad que tenga dentro de sus funciones alguna relacionada con la destinación que se pretendía dar al inmueble, el acto de transferencia lo suscribirá el Ministerio o Departamento Administrativo que tenga dentro de sus funciones alguna relacionada con la destinación que se pretenda dar al inmueble cuando sea transferido. </w:t>
      </w:r>
    </w:p>
    <w:p w14:paraId="590785F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D434628"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737" w:name="ver_30072309"/>
      <w:bookmarkEnd w:id="737"/>
      <w:r w:rsidRPr="009342F9">
        <w:rPr>
          <w:rFonts w:ascii="Arial" w:eastAsia="Times New Roman" w:hAnsi="Arial" w:cs="Arial"/>
          <w:color w:val="000000"/>
          <w:lang w:eastAsia="es-CO"/>
        </w:rPr>
        <w:t>Artículo 2.1.2.3.3.3. Transferencia de inmuebles para el desarrollo de programas de titulación de predios ocupados con VIS. Cuando una entidad pública que desarrolle programas de vivienda de interés social de carácter nacional, territorial, departamental, municipal o Distrital manifieste interés en adquirir un inmueble de propiedad de una entidad del orden nacional, para el desarrollo de un programa de titulación de bienes fiscales ocupados con vivienda de interés social, la entidad propietaria establecerá en el acto administrativo de transferencia la condición de que la adquirente suscriba con el Ministerio de Vivienda, Ciudad y Territorio, un convenio en el cual se someta a las condiciones del Programa Nacional de Titulación ejecutado por este último, el cual se regirá por las disposiciones establecidas en la Ley 1001 de 2005 y el capítulo 2.1.2.2 del presente decreto, o las normas que lo modifiquen, adicionen o sustituyan. </w:t>
      </w:r>
    </w:p>
    <w:p w14:paraId="0B711DA7" w14:textId="77777777" w:rsidR="00D25E1B" w:rsidRDefault="00D25E1B" w:rsidP="00683694">
      <w:pPr>
        <w:spacing w:after="0" w:line="240" w:lineRule="auto"/>
        <w:jc w:val="center"/>
        <w:rPr>
          <w:rFonts w:ascii="Arial" w:eastAsia="Times New Roman" w:hAnsi="Arial" w:cs="Arial"/>
          <w:b/>
          <w:bCs/>
          <w:color w:val="000000"/>
          <w:lang w:eastAsia="es-CO"/>
        </w:rPr>
      </w:pPr>
    </w:p>
    <w:p w14:paraId="2A613C14" w14:textId="66815A46" w:rsidR="00FC79C1" w:rsidRPr="009342F9" w:rsidRDefault="00FC79C1" w:rsidP="00683694">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TÍTULO 3</w:t>
      </w:r>
    </w:p>
    <w:p w14:paraId="6F4A96B7" w14:textId="77777777" w:rsidR="00FC79C1" w:rsidRDefault="00FC79C1" w:rsidP="00683694">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PROGRAMA DE COBERTURA CONDICIONADA PARA CRÉDITOS DE VIVIENDA</w:t>
      </w:r>
    </w:p>
    <w:p w14:paraId="34DC9260" w14:textId="77777777" w:rsidR="001A4E5B" w:rsidRPr="009342F9" w:rsidRDefault="001A4E5B" w:rsidP="00683694">
      <w:pPr>
        <w:spacing w:after="0" w:line="240" w:lineRule="auto"/>
        <w:jc w:val="center"/>
        <w:rPr>
          <w:rFonts w:ascii="Arial" w:eastAsia="Times New Roman" w:hAnsi="Arial" w:cs="Arial"/>
          <w:b/>
          <w:bCs/>
          <w:color w:val="000000"/>
          <w:lang w:eastAsia="es-CO"/>
        </w:rPr>
      </w:pPr>
    </w:p>
    <w:p w14:paraId="1B84E750" w14:textId="77777777" w:rsidR="00FC79C1" w:rsidRPr="009342F9" w:rsidRDefault="00FC79C1" w:rsidP="00683694">
      <w:pPr>
        <w:spacing w:after="0" w:line="240" w:lineRule="auto"/>
        <w:jc w:val="center"/>
        <w:rPr>
          <w:rFonts w:ascii="Arial" w:eastAsia="Times New Roman" w:hAnsi="Arial" w:cs="Arial"/>
          <w:b/>
          <w:bCs/>
          <w:color w:val="000000"/>
          <w:lang w:eastAsia="es-CO"/>
        </w:rPr>
      </w:pPr>
      <w:bookmarkStart w:id="738" w:name="ver_30200385"/>
      <w:bookmarkEnd w:id="738"/>
      <w:r w:rsidRPr="009342F9">
        <w:rPr>
          <w:rFonts w:ascii="Arial" w:eastAsia="Times New Roman" w:hAnsi="Arial" w:cs="Arial"/>
          <w:b/>
          <w:bCs/>
          <w:color w:val="000000"/>
          <w:lang w:eastAsia="es-CO"/>
        </w:rPr>
        <w:lastRenderedPageBreak/>
        <w:t>CAPÍTULO 1</w:t>
      </w:r>
    </w:p>
    <w:p w14:paraId="54AAB337" w14:textId="77777777" w:rsidR="00FC79C1" w:rsidRPr="009342F9" w:rsidRDefault="00FC79C1" w:rsidP="00683694">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PROGRAMA DE COBERTURA CONDICIONADA PARA CRÉDITOS DE VIVIENDA</w:t>
      </w:r>
    </w:p>
    <w:p w14:paraId="33AA25F0" w14:textId="77777777" w:rsidR="00FC79C1" w:rsidRPr="009342F9" w:rsidRDefault="00FC79C1" w:rsidP="00683694">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SEGUNDA GENERACIÓN</w:t>
      </w:r>
    </w:p>
    <w:p w14:paraId="03F71560"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739" w:name="ver_30200386"/>
      <w:bookmarkStart w:id="740" w:name="ver_30072312"/>
      <w:bookmarkEnd w:id="739"/>
    </w:p>
    <w:p w14:paraId="38FBA8F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2.1.3.1.1. Cobertura de tasa de interés para la financiación de vivienda de interés social nueva para áreas urbanas. El Gobierno nacional, a través del Fondo de Reserva para la Estabilización de la Cartera Hipotecaria (FRECH), administrado por el Banco de la República, ofrecerá coberturas de tasa de interés que faciliten la financiación de vivienda de interés social nueva para áreas urbanas, a través de créditos para la compra de vivienda otorgados por los establecimientos de crédito y las cajas de compensación familiar y contratos de leasing habitacional celebrados por establecimientos de crédito, de acuerdo con las condiciones y términos establecidos en el presente capítulo, y la reglamentación que para el efecto expida el Ministerio de Vivienda, Ciudad y Territorio.  </w:t>
      </w:r>
    </w:p>
    <w:p w14:paraId="298DE23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32B898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El Banco de la República, como administrador del FRECH, creará una subcuenta para el manejo de los recursos requeridos para la cobertura a la que se refiere el presente capítulo, separada y diferenciada presupuestal y contablemente de los demás recursos del FRECH, la cual se denominará FRECH - Ley 1450 de 2011.  </w:t>
      </w:r>
    </w:p>
    <w:p w14:paraId="7847F96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C38AE5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 cobertura consistirá en una permuta financiera calculada sobre la tasa de interés pactada en créditos nuevos otorgados por los establecimientos de crédito y las cajas de compensación familiar o en contratos de leasing habitacional nuevos celebrados por los establecimientos de crédito a deudores o locatarios, según corresponda, que cumplan las condiciones que se establecen en el presente capítulo y en la normativa aplicable. La cobertura solo será aplicable durante los primeros siete (7) años de vigencia contados a partir del desembolso del crédito o de la fecha de inicio del contrato de leasing habitacional.  </w:t>
      </w:r>
    </w:p>
    <w:p w14:paraId="25849D5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B95D25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 permuta financiera consiste en un intercambio de flujos que se presenta cuando el establecimiento de crédito o la caja de compensación familiar, según sea el caso, entrega al FRECH - Ley 1450 de 2011 el equivalente mensual de la tasa de interés pactada en el crédito o contrato de leasing habitacional, descontando lo correspondiente a la cobertura y el FRECH - Ley 1450 de 2011, a su vez entrega, según corresponda, al establecimiento de crédito o a la caja de compensación familiar el equivalente mensual de la tasa de interés pactada en el crédito o contrato de leasing habitacional. Cuando se trate de operaciones en UVR, el equivalente mensual de la tasa de interés pactada en el crédito o contrato de leasing habitacional se convertirá a su equivalente en pesos.  </w:t>
      </w:r>
    </w:p>
    <w:p w14:paraId="6DB2965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73D651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El pago producto de la permuta financiera por parte del FRECH - Ley 1450 de 2011, a los establecimientos de crédito o a las cajas de compensación familiar se realizará por el monto neto de las obligaciones generadas mes a mes, derivadas del intercambio de flujos.  </w:t>
      </w:r>
    </w:p>
    <w:p w14:paraId="095BD7B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36FF99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El Fondo Nacional de Vivienda (Fonvivienda), señalará al Banco de la República, a los establecimientos de crédito y a las cajas de compensación familiar, entre otras cosas, los términos y condiciones para realizar el intercambio de flujos derivados de la cobertura y precisará el alcance y contenido de los contratos marco de cobertura a que se refiere el artículo 2.1.3.1.10 de este capítulo, así mismo señalará a los Establecimientos de Crédito y a las Cajas de Compensación Familiar todos los aspectos derivados de la aplicación del presente capítulo.  </w:t>
      </w:r>
    </w:p>
    <w:p w14:paraId="19C651A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838021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Parágrafo. Las disposiciones previstas en este capítulo, para el caso de las coberturas de tasas de interés ofrecidas a los potenciales deudores de créditos para la compra de vivienda otorgados por las cajas de compensación familiar aplicarán a partir del primero (1°) de abril de 2020, en todo </w:t>
      </w:r>
      <w:r w:rsidRPr="009342F9">
        <w:rPr>
          <w:rFonts w:ascii="Arial" w:eastAsia="Times New Roman" w:hAnsi="Arial" w:cs="Arial"/>
          <w:color w:val="000000"/>
          <w:lang w:eastAsia="es-CO"/>
        </w:rPr>
        <w:lastRenderedPageBreak/>
        <w:t>caso, el Ministerio de Vivienda, Ciudad y Territorio reglamentará las condiciones que deben cumplir las cajas de compensación familiar para la aplicación de lo dispuesto en el presente capítulo.  </w:t>
      </w:r>
    </w:p>
    <w:p w14:paraId="16C40A79"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741" w:name="ver_30210175"/>
      <w:bookmarkStart w:id="742" w:name="ver_30072313"/>
      <w:bookmarkStart w:id="743" w:name="ver_30200387"/>
      <w:bookmarkEnd w:id="740"/>
      <w:bookmarkEnd w:id="741"/>
    </w:p>
    <w:p w14:paraId="79D2751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2.1.3.1.2. Graduación de la cobertura. La cobertura prevista en el presente capítulo se graduará de acuerdo con el valor de la vivienda financiada por los deudores del crédito o locatarios del leasing habitacional que la soliciten, según los siguientes segmentos:  </w:t>
      </w:r>
    </w:p>
    <w:p w14:paraId="44E09BA8" w14:textId="77777777" w:rsidR="00683694" w:rsidRPr="009342F9" w:rsidRDefault="00683694" w:rsidP="00FC79C1">
      <w:pPr>
        <w:spacing w:after="0" w:line="240" w:lineRule="auto"/>
        <w:jc w:val="both"/>
        <w:rPr>
          <w:rFonts w:ascii="Arial" w:eastAsia="Times New Roman" w:hAnsi="Arial" w:cs="Arial"/>
          <w:color w:val="000000"/>
          <w:lang w:eastAsia="es-CO"/>
        </w:rPr>
      </w:pPr>
    </w:p>
    <w:p w14:paraId="19E39302" w14:textId="16187F84"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Para los créditos desembolsados o contratos de leasing habitacional iniciados hasta el 31 de diciembre de 2019:  </w:t>
      </w:r>
    </w:p>
    <w:p w14:paraId="290CD94A" w14:textId="77777777" w:rsidR="00683694" w:rsidRPr="009342F9" w:rsidRDefault="00683694" w:rsidP="00FC79C1">
      <w:pPr>
        <w:spacing w:after="0" w:line="240" w:lineRule="auto"/>
        <w:jc w:val="both"/>
        <w:rPr>
          <w:rFonts w:ascii="Arial" w:eastAsia="Times New Roman" w:hAnsi="Arial" w:cs="Arial"/>
          <w:color w:val="000000"/>
          <w:lang w:eastAsia="es-CO"/>
        </w:rPr>
      </w:pPr>
    </w:p>
    <w:p w14:paraId="4A8B737D" w14:textId="77C0586A"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 Para viviendas cuyo valor, de acuerdo con el avalúo comercial del establecimiento de crédito o la caja de compensación familiar, sea de hasta setenta (70) salarios mínimos mensuales legales vigentes, se otorgará una cobertura equivalente a cinco (5) puntos porcentuales, liquidados sobre el saldo remanente del crédito o del contrato de leasing habitacional.  </w:t>
      </w:r>
    </w:p>
    <w:p w14:paraId="1AF4C7DA" w14:textId="77777777" w:rsidR="00683694" w:rsidRPr="009342F9" w:rsidRDefault="00683694" w:rsidP="00FC79C1">
      <w:pPr>
        <w:spacing w:after="0" w:line="240" w:lineRule="auto"/>
        <w:jc w:val="both"/>
        <w:rPr>
          <w:rFonts w:ascii="Arial" w:eastAsia="Times New Roman" w:hAnsi="Arial" w:cs="Arial"/>
          <w:color w:val="000000"/>
          <w:lang w:eastAsia="es-CO"/>
        </w:rPr>
      </w:pPr>
    </w:p>
    <w:p w14:paraId="62DA725A" w14:textId="6CF8AC3E"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b) Para viviendas cuyo valor, de acuerdo con el avalúo comercial del establecimiento de crédito o la caja de compensación familiar, sea mayor a setenta (70) salarios mínimos mensuales legales vigentes y hasta ciento treinta y cinco (135) salarios mínimos mensuales legales vigentes, se otorgará el equivalente a cuatro (4) puntos porcentuales, liquidados sobre el saldo remanente del crédito o del contrato de leasing habitacional.  </w:t>
      </w:r>
    </w:p>
    <w:p w14:paraId="7161CEC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04640D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Para los créditos desembolsados o contratos de leasing habitacional iniciados a partir del 01 de enero de 2020:  </w:t>
      </w:r>
    </w:p>
    <w:p w14:paraId="13A7DB04" w14:textId="77777777" w:rsidR="00683694" w:rsidRPr="009342F9" w:rsidRDefault="00683694" w:rsidP="00FC79C1">
      <w:pPr>
        <w:spacing w:after="0" w:line="240" w:lineRule="auto"/>
        <w:jc w:val="both"/>
        <w:rPr>
          <w:rFonts w:ascii="Arial" w:eastAsia="Times New Roman" w:hAnsi="Arial" w:cs="Arial"/>
          <w:color w:val="000000"/>
          <w:lang w:eastAsia="es-CO"/>
        </w:rPr>
      </w:pPr>
    </w:p>
    <w:p w14:paraId="323374AB" w14:textId="3BA3BD74"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 Para viviendas cuyo valor, de acuerdo con el avalúo comercial del establecimiento de crédito o la caja de compensación familiar, sea de hasta noventa (90) salarios mínimos legales mensuales vigentes, se otorgará una cobertura equivalente a cinco (5) puntos porcentuales, liquidados sobre el saldo remanente del crédito o del contrato de leasing habitacional.  </w:t>
      </w:r>
    </w:p>
    <w:p w14:paraId="2C64A17E" w14:textId="77777777" w:rsidR="00683694" w:rsidRPr="009342F9" w:rsidRDefault="00683694" w:rsidP="00FC79C1">
      <w:pPr>
        <w:spacing w:after="0" w:line="240" w:lineRule="auto"/>
        <w:jc w:val="both"/>
        <w:rPr>
          <w:rFonts w:ascii="Arial" w:eastAsia="Times New Roman" w:hAnsi="Arial" w:cs="Arial"/>
          <w:color w:val="000000"/>
          <w:lang w:eastAsia="es-CO"/>
        </w:rPr>
      </w:pPr>
    </w:p>
    <w:p w14:paraId="7B0F8CCC" w14:textId="2989F40F"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b) Para viviendas cuyo valor, de acuerdo con el avalúo comercial del establecimiento de crédito o la caja de compensación familiar, sea mayor a noventa (90) salarios mínimos legales mensuales vigentes y hasta ciento treinta y cinco (135) salarios mínimos mensuales legales vigentes, se otorgará el equivalente a cuatro (4) puntos porcentuales, liquidados sobre el saldo remanente del crédito o del contrato de leasing habitacional.  </w:t>
      </w:r>
    </w:p>
    <w:p w14:paraId="6CD75889" w14:textId="77777777" w:rsidR="00683694" w:rsidRPr="009342F9" w:rsidRDefault="00683694" w:rsidP="00FC79C1">
      <w:pPr>
        <w:spacing w:after="0" w:line="240" w:lineRule="auto"/>
        <w:jc w:val="both"/>
        <w:rPr>
          <w:rFonts w:ascii="Arial" w:eastAsia="Times New Roman" w:hAnsi="Arial" w:cs="Arial"/>
          <w:color w:val="000000"/>
          <w:lang w:eastAsia="es-CO"/>
        </w:rPr>
      </w:pPr>
    </w:p>
    <w:p w14:paraId="1E9975A8" w14:textId="2B942189"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 Para viviendas ubicadas en los municipios y distritos establecidos en el título 9 de la parte 1 del libro 2 del presente decreto, cuyo valor, de acuerdo con el avalúo comercial del establecimiento de crédito o la caja de compensación familiar, sea mayor a noventa (90) salarios mínimos legales mensuales vigentes y hasta ciento cincuenta (150) salarios mínimos mensuales legales vigentes, se otorgará una cobertura equivalente a cuatro (4) puntos porcentuales, liquidados sobre el saldo remanente del crédito o del contrato de leasing habitacional.  </w:t>
      </w:r>
    </w:p>
    <w:p w14:paraId="09E3804B" w14:textId="77777777" w:rsidR="00683694" w:rsidRPr="009342F9" w:rsidRDefault="00683694" w:rsidP="00FC79C1">
      <w:pPr>
        <w:spacing w:after="0" w:line="240" w:lineRule="auto"/>
        <w:jc w:val="both"/>
        <w:rPr>
          <w:rFonts w:ascii="Arial" w:eastAsia="Times New Roman" w:hAnsi="Arial" w:cs="Arial"/>
          <w:color w:val="000000"/>
          <w:lang w:eastAsia="es-CO"/>
        </w:rPr>
      </w:pPr>
    </w:p>
    <w:p w14:paraId="00437824" w14:textId="1C6C82D2"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El deudor del crédito o locatario del leasing habitacional beneficiarios de la cobertura, durante la vigencia de </w:t>
      </w:r>
      <w:proofErr w:type="gramStart"/>
      <w:r w:rsidRPr="009342F9">
        <w:rPr>
          <w:rFonts w:ascii="Arial" w:eastAsia="Times New Roman" w:hAnsi="Arial" w:cs="Arial"/>
          <w:color w:val="000000"/>
          <w:lang w:eastAsia="es-CO"/>
        </w:rPr>
        <w:t>la misma</w:t>
      </w:r>
      <w:proofErr w:type="gramEnd"/>
      <w:r w:rsidRPr="009342F9">
        <w:rPr>
          <w:rFonts w:ascii="Arial" w:eastAsia="Times New Roman" w:hAnsi="Arial" w:cs="Arial"/>
          <w:color w:val="000000"/>
          <w:lang w:eastAsia="es-CO"/>
        </w:rPr>
        <w:t>, pagará mensualmente a los establecimientos de crédito o a las cajas de compensación familiar, según sea el caso, el equivalente mensual de la tasa de interés pactada para el respectivo período, descontando lo correspondiente a la cobertura, de acuerdo con la graduación establecida en los numerales 1 y 2 del presente artículo. Cuando se trate de operaciones en UVR, el equivalente mensual de la tasa de interés pactada en el crédito o contrato de leasing habitacional se convertirá a pesos.  </w:t>
      </w:r>
    </w:p>
    <w:p w14:paraId="3A1B950F" w14:textId="77777777" w:rsidR="00683694" w:rsidRPr="009342F9" w:rsidRDefault="00683694" w:rsidP="00FC79C1">
      <w:pPr>
        <w:spacing w:after="0" w:line="240" w:lineRule="auto"/>
        <w:jc w:val="both"/>
        <w:rPr>
          <w:rFonts w:ascii="Arial" w:eastAsia="Times New Roman" w:hAnsi="Arial" w:cs="Arial"/>
          <w:color w:val="000000"/>
          <w:lang w:eastAsia="es-CO"/>
        </w:rPr>
      </w:pPr>
    </w:p>
    <w:p w14:paraId="3764A2D8" w14:textId="77BD741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En el evento que por cualquier circunstancia el establecimiento de crédito o la caja de compensación familiar cobre al deudor una tasa de interés diferente a la pactada, la tasa de interés efectivamente cobrada será la utilizada para el cálculo del intercambio de flujos derivado de la cobertura. En ningún caso la cobertura resultante podrá ser superior a la tasa pactada del crédito o a la efectivamente cobrada al deudor según sea el caso.  </w:t>
      </w:r>
    </w:p>
    <w:p w14:paraId="55D8F035" w14:textId="77777777" w:rsidR="00683694" w:rsidRPr="009342F9" w:rsidRDefault="00683694" w:rsidP="00FC79C1">
      <w:pPr>
        <w:spacing w:after="0" w:line="240" w:lineRule="auto"/>
        <w:jc w:val="both"/>
        <w:rPr>
          <w:rFonts w:ascii="Arial" w:eastAsia="Times New Roman" w:hAnsi="Arial" w:cs="Arial"/>
          <w:color w:val="000000"/>
          <w:lang w:eastAsia="es-CO"/>
        </w:rPr>
      </w:pPr>
    </w:p>
    <w:p w14:paraId="2AC800ED" w14:textId="4F324048"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El Fondo Nacional de Vivienda (Fonvivienda) con el apoyo del Viceministerio Técnico del Ministerio de Hacienda y Crédito Público definirá el número de coberturas disponibles para los créditos y contratos de leasing en cada uno de los segmentos de vivienda anteriormente señalados que serán objeto del beneficio aquí previsto, de acuerdo con las políticas fijadas por el Ministerio de Vivienda, Ciudad y Territorio. En todo caso, de acuerdo con las condiciones del mercado en general y de las particulares, en las que los establecimientos de crédito y las cajas de compensación familiar otorguen los créditos o contratos objeto de la cobertura, Fonvivienda podrá optar por ampliar, restringir, modificar o suspender el número de coberturas elegibles.  </w:t>
      </w:r>
    </w:p>
    <w:p w14:paraId="212EEC09" w14:textId="6E4CF8A1"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744" w:name="ver_30200388"/>
      <w:bookmarkStart w:id="745" w:name="ver_30072314"/>
      <w:bookmarkEnd w:id="742"/>
      <w:bookmarkEnd w:id="743"/>
      <w:bookmarkEnd w:id="744"/>
    </w:p>
    <w:p w14:paraId="2021E04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2.1.3.1.3. Condiciones para el acceso a la cobertura. Los deudores del crédito o locatarios del contrato de leasing habitacional, para acceder a la cobertura deberán cumplir las siguientes condiciones, además de las previstas en este capítulo y en la reglamentación que se expida para el efecto:  </w:t>
      </w:r>
    </w:p>
    <w:p w14:paraId="4EA5B07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56F0F8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Tener ingresos totales no superiores a ocho salarios mínimos mensuales legales vigentes (8 SMLMV). Tratándose de dos (2) o más deudores o locatarios, este requisito debe cumplirse en forma conjunta.  </w:t>
      </w:r>
    </w:p>
    <w:p w14:paraId="50B2BF0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456357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No ser propietario de vivienda en el territorio nacional. Tratándose de dos (2) o más deudores o locatarios, este requisito debe verificarse para cada uno de ellos.  </w:t>
      </w:r>
    </w:p>
    <w:p w14:paraId="2A4F227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8E9836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No haber sido beneficiario a cualquier título de la cobertura establecida en el presente capítulo o de aquella otorgada en desarrollo de lo dispuesto en el Decreto Único del Sector de Hacienda y Crédito Público y las normas que lo reglamenten, modifiquen, adicionen, complementen o sustituyan.  </w:t>
      </w:r>
    </w:p>
    <w:p w14:paraId="7162AFE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204091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Para acceder a la cobertura de que trata el presente capítulo, los potenciales beneficiarios deberán manifestar por escrito al establecimiento de crédito o a la caja de compensación familiar, su intención de recibirla, antes del desembolso del crédito o de la suscripción del respectivo contrato de leasing habitacional, según sea el caso, señalando expresamente que conoce y acepta los términos y condiciones para el acceso, vigencia y terminación anticipada de la cobertura, en particular que el beneficio de la cobertura estará sujeto a la disponibilidad de coberturas para los créditos y contratos de leasing habitacional al momento del desembolso del crédito o del inicio del contrato de leasing habitacional.  </w:t>
      </w:r>
    </w:p>
    <w:p w14:paraId="1FDC8F4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B71FA0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Fonvivienda definirá cuando sea del caso, el alcance de las condiciones para acceder a la cobertura de que trata el presente capítulo.  </w:t>
      </w:r>
    </w:p>
    <w:p w14:paraId="0E929B5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95E318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El Fondo Nacional de Vivienda (Fonvivienda) podrá verificar la consistencia de la información suministrada por los beneficiarios para acceder a la cobertura. Adicionalmente, los establecimientos de crédito y las cajas de compensación familiar verificarán y controlarán lo relativo a lo dispuesto en el numeral 3 de este artículo, de conformidad con lo previsto en el artículo 2.1.3.1.11 del presente capítulo.  </w:t>
      </w:r>
    </w:p>
    <w:p w14:paraId="1D9F92A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DC95BB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Con el fin de que los establecimientos de crédito y las cajas de compensación familiar puedan verificar el cumplimiento de la condición de acceso a la cobertura prevista en el numeral 2 del presente artículo, Fonvivienda pondrá a disposición de cada entidad la consulta de sus bases de datos.  </w:t>
      </w:r>
    </w:p>
    <w:p w14:paraId="00CF856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43D435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caso de presentarse inconsistencias entre la información presentada por los potenciales beneficiarios de la cobertura y las consultas que realicen los establecimientos de crédito y las cajas de compensación familiar para verificar las condiciones previstas en el numeral 2 del presente artículo, corresponderá a los potenciales beneficiarios acreditar el cumplimiento de dichas condiciones.  </w:t>
      </w:r>
    </w:p>
    <w:p w14:paraId="52E29899" w14:textId="4CF79511"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746" w:name="ver_30210176"/>
      <w:bookmarkStart w:id="747" w:name="ver_30072315"/>
      <w:bookmarkStart w:id="748" w:name="ver_30200389"/>
      <w:bookmarkEnd w:id="745"/>
      <w:bookmarkEnd w:id="746"/>
    </w:p>
    <w:p w14:paraId="5A04F71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2.1.3.1.4. Créditos o Contratos de Leasing Habitacional elegibles. La cobertura se aplicará a los créditos o contratos de leasing habitacional que cumplan, como mínimo, con las condiciones que a continuación se relacionan y, las demás que se prevean en las normas que reglamenten, modifiquen, adicionen, sustituyan o complementen el presente capítulo.  </w:t>
      </w:r>
    </w:p>
    <w:p w14:paraId="1A3D00FE" w14:textId="77777777" w:rsidR="00683694" w:rsidRPr="009342F9" w:rsidRDefault="00683694" w:rsidP="00FC79C1">
      <w:pPr>
        <w:spacing w:after="0" w:line="240" w:lineRule="auto"/>
        <w:jc w:val="both"/>
        <w:rPr>
          <w:rFonts w:ascii="Arial" w:eastAsia="Times New Roman" w:hAnsi="Arial" w:cs="Arial"/>
          <w:color w:val="000000"/>
          <w:lang w:eastAsia="es-CO"/>
        </w:rPr>
      </w:pPr>
    </w:p>
    <w:p w14:paraId="0B889244" w14:textId="511E80B8"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Financiación objeto de la cobertura: Créditos nuevos que otorguen los establecimientos de crédito y las cajas de compensación familiar o Contratos de Leasing Habitacional nuevos que celebren los establecimientos de crédito para financiar el acceso a una vivienda de interés social nueva.  </w:t>
      </w:r>
    </w:p>
    <w:p w14:paraId="1A3D89C6" w14:textId="77777777" w:rsidR="00683694" w:rsidRPr="009342F9" w:rsidRDefault="00683694" w:rsidP="00FC79C1">
      <w:pPr>
        <w:spacing w:after="0" w:line="240" w:lineRule="auto"/>
        <w:jc w:val="both"/>
        <w:rPr>
          <w:rFonts w:ascii="Arial" w:eastAsia="Times New Roman" w:hAnsi="Arial" w:cs="Arial"/>
          <w:color w:val="000000"/>
          <w:lang w:eastAsia="es-CO"/>
        </w:rPr>
      </w:pPr>
    </w:p>
    <w:p w14:paraId="115FEACF" w14:textId="2211A6ED"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Por vivienda de interés social nueva se entenderá la vivienda urbana cuyo valor no supere el máximo establecido para este tipo de viviendas, en las normas que regulan la materia, en concordancia con lo establecido en el artículo 2.1.3.1.2 del presente decreto, que se encuentre en proyecto, en etapa de preventa, en construcción y la que estando terminada no haya sido habitada.  </w:t>
      </w:r>
    </w:p>
    <w:p w14:paraId="71F6BF31" w14:textId="77777777" w:rsidR="00683694" w:rsidRPr="009342F9" w:rsidRDefault="00683694" w:rsidP="00FC79C1">
      <w:pPr>
        <w:spacing w:after="0" w:line="240" w:lineRule="auto"/>
        <w:jc w:val="both"/>
        <w:rPr>
          <w:rFonts w:ascii="Arial" w:eastAsia="Times New Roman" w:hAnsi="Arial" w:cs="Arial"/>
          <w:color w:val="000000"/>
          <w:lang w:eastAsia="es-CO"/>
        </w:rPr>
      </w:pPr>
    </w:p>
    <w:p w14:paraId="27BFD234" w14:textId="57C66AA9"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cualquier caso, no se considerarán elegibles para efectos de la cobertura los siguientes créditos o contratos de Leasing Habitacional:  </w:t>
      </w:r>
    </w:p>
    <w:p w14:paraId="68EFEF91" w14:textId="77777777" w:rsidR="00683694" w:rsidRPr="009342F9" w:rsidRDefault="00683694" w:rsidP="00FC79C1">
      <w:pPr>
        <w:spacing w:after="0" w:line="240" w:lineRule="auto"/>
        <w:jc w:val="both"/>
        <w:rPr>
          <w:rFonts w:ascii="Arial" w:eastAsia="Times New Roman" w:hAnsi="Arial" w:cs="Arial"/>
          <w:color w:val="000000"/>
          <w:lang w:eastAsia="es-CO"/>
        </w:rPr>
      </w:pPr>
    </w:p>
    <w:p w14:paraId="04EFE7EA" w14:textId="384C79F8"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 Los otorgados para la reparación, construcción, subdivisión o ampliación del inmueble;  </w:t>
      </w:r>
    </w:p>
    <w:p w14:paraId="2882ADA6" w14:textId="77777777" w:rsidR="00683694" w:rsidRPr="009342F9" w:rsidRDefault="00683694" w:rsidP="00FC79C1">
      <w:pPr>
        <w:spacing w:after="0" w:line="240" w:lineRule="auto"/>
        <w:jc w:val="both"/>
        <w:rPr>
          <w:rFonts w:ascii="Arial" w:eastAsia="Times New Roman" w:hAnsi="Arial" w:cs="Arial"/>
          <w:color w:val="000000"/>
          <w:lang w:eastAsia="es-CO"/>
        </w:rPr>
      </w:pPr>
    </w:p>
    <w:p w14:paraId="02A0B961" w14:textId="315BC433" w:rsidR="00FC79C1"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b) Los originados en las reestructuraciones o refinanciaciones.  </w:t>
      </w:r>
    </w:p>
    <w:p w14:paraId="1EE3D7C9" w14:textId="77777777" w:rsidR="00317D10" w:rsidRPr="009342F9" w:rsidRDefault="00317D10" w:rsidP="00FC79C1">
      <w:pPr>
        <w:spacing w:after="0" w:line="240" w:lineRule="auto"/>
        <w:jc w:val="both"/>
        <w:rPr>
          <w:rFonts w:ascii="Arial" w:eastAsia="Times New Roman" w:hAnsi="Arial" w:cs="Arial"/>
          <w:color w:val="000000"/>
          <w:lang w:eastAsia="es-CO"/>
        </w:rPr>
      </w:pPr>
    </w:p>
    <w:p w14:paraId="6AF468A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Fecha de desembolso: Créditos que se desembolsen o contratos de leasing habitacional que inicien a partir del 3 de julio de 2012 y hasta el 31 de julio de 2014 o hasta el agotamiento del número de coberturas establecidas por el Fondo Nacional de Vivienda - Fonvivienda.  </w:t>
      </w:r>
    </w:p>
    <w:p w14:paraId="02D41E2C" w14:textId="77777777" w:rsidR="00683694" w:rsidRPr="009342F9" w:rsidRDefault="00683694" w:rsidP="00FC79C1">
      <w:pPr>
        <w:spacing w:after="0" w:line="240" w:lineRule="auto"/>
        <w:jc w:val="both"/>
        <w:rPr>
          <w:rFonts w:ascii="Arial" w:eastAsia="Times New Roman" w:hAnsi="Arial" w:cs="Arial"/>
          <w:color w:val="000000"/>
          <w:lang w:eastAsia="es-CO"/>
        </w:rPr>
      </w:pPr>
    </w:p>
    <w:p w14:paraId="3D5F7ACE" w14:textId="6D2C59F5"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w:t>
      </w:r>
      <w:r w:rsidR="00317D10">
        <w:rPr>
          <w:rFonts w:ascii="Arial" w:eastAsia="Times New Roman" w:hAnsi="Arial" w:cs="Arial"/>
          <w:color w:val="000000"/>
          <w:lang w:eastAsia="es-CO"/>
        </w:rPr>
        <w:t>A</w:t>
      </w:r>
      <w:r w:rsidRPr="009342F9">
        <w:rPr>
          <w:rFonts w:ascii="Arial" w:eastAsia="Times New Roman" w:hAnsi="Arial" w:cs="Arial"/>
          <w:color w:val="000000"/>
          <w:lang w:eastAsia="es-CO"/>
        </w:rPr>
        <w:t>. Fechas de desembolso de la nueva fase del programa: Créditos que se desembolsen o contratos de leasing habitacional que se inicien a partir del 14 de agosto de 2014 y hasta el agotamiento del número de coberturas o las fechas que establezca el Fondo Nacional de Vivienda (Fonvivienda).  </w:t>
      </w:r>
    </w:p>
    <w:p w14:paraId="045B9D61" w14:textId="77777777" w:rsidR="00683694" w:rsidRPr="009342F9" w:rsidRDefault="00683694" w:rsidP="00FC79C1">
      <w:pPr>
        <w:spacing w:after="0" w:line="240" w:lineRule="auto"/>
        <w:jc w:val="both"/>
        <w:rPr>
          <w:rFonts w:ascii="Arial" w:eastAsia="Times New Roman" w:hAnsi="Arial" w:cs="Arial"/>
          <w:color w:val="000000"/>
          <w:lang w:eastAsia="es-CO"/>
        </w:rPr>
      </w:pPr>
    </w:p>
    <w:p w14:paraId="12F6FACB" w14:textId="1E963AD4"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Para el caso de los créditos que otorguen las cajas de compensación familiar la cobertura aplicará a los créditos que se desembolsen a partir del primero (1°) de abril de 2020 y hasta el agotamiento del número de coberturas o las fechas que establezca el Fondo Nacional de Vivienda (Fonvivienda).  </w:t>
      </w:r>
    </w:p>
    <w:p w14:paraId="31B8048C" w14:textId="77777777" w:rsidR="00683694" w:rsidRPr="009342F9" w:rsidRDefault="00683694" w:rsidP="00FC79C1">
      <w:pPr>
        <w:spacing w:after="0" w:line="240" w:lineRule="auto"/>
        <w:jc w:val="both"/>
        <w:rPr>
          <w:rFonts w:ascii="Arial" w:eastAsia="Times New Roman" w:hAnsi="Arial" w:cs="Arial"/>
          <w:color w:val="000000"/>
          <w:lang w:eastAsia="es-CO"/>
        </w:rPr>
      </w:pPr>
    </w:p>
    <w:p w14:paraId="27FFFBF0" w14:textId="49B14BDC"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Unicidad: La cobertura se otorgará por una sola vez y se aplicará a todos los deudores del crédito o locatarios del respectivo contrato de leasing, a cualquier título.  </w:t>
      </w:r>
    </w:p>
    <w:p w14:paraId="07043CE7" w14:textId="4FD5117E"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749" w:name="ver_30219297"/>
      <w:bookmarkStart w:id="750" w:name="ver_30072316"/>
      <w:bookmarkStart w:id="751" w:name="ver_30200390"/>
      <w:bookmarkEnd w:id="747"/>
      <w:bookmarkEnd w:id="748"/>
      <w:bookmarkEnd w:id="749"/>
    </w:p>
    <w:p w14:paraId="48A1261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Artículo 2.1.3.1.5. Terminación anticipada de la cobertura. La cobertura se terminará en forma anticipada en los siguientes eventos: </w:t>
      </w:r>
    </w:p>
    <w:p w14:paraId="693EEE5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E4B2D7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Por pago anticipado del crédito o hacer uso de la opción de compra tratándose de contratos de leasing habitacional. </w:t>
      </w:r>
    </w:p>
    <w:p w14:paraId="151D0E1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6B287F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Por mora en el pago de tres cuotas consecutivas a cargo de los deudores o locatarios del leasing habitacional. En este caso, la cobertura se perderá a partir del día siguiente al vencimiento de la última cuota incumplida. </w:t>
      </w:r>
    </w:p>
    <w:p w14:paraId="5A16A8A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251090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Por petición de los deudores o locatarios. </w:t>
      </w:r>
    </w:p>
    <w:p w14:paraId="69D41CC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960997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Por cesión del crédito por parte del deudor. </w:t>
      </w:r>
    </w:p>
    <w:p w14:paraId="59ED4E2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FDB8CF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 Por cesión del contrato de leasing habitacional, por parte del locatario. </w:t>
      </w:r>
    </w:p>
    <w:p w14:paraId="24BC1AC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F5B1FF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6. Por reestructuración del crédito o del contrato de leasing habitacional que implique el incremento de los montos o saldos de las obligaciones o ampliación del plazo de los créditos o los contratos. </w:t>
      </w:r>
    </w:p>
    <w:p w14:paraId="45E686B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7CA427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7. Por aceleración del plazo conforme a los términos contractuales. </w:t>
      </w:r>
    </w:p>
    <w:p w14:paraId="6563B27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CC2F2D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8. Las demás que establezca Fonvivienda </w:t>
      </w:r>
      <w:proofErr w:type="gramStart"/>
      <w:r w:rsidRPr="009342F9">
        <w:rPr>
          <w:rFonts w:ascii="Arial" w:eastAsia="Times New Roman" w:hAnsi="Arial" w:cs="Arial"/>
          <w:color w:val="000000"/>
          <w:lang w:eastAsia="es-CO"/>
        </w:rPr>
        <w:t>de acuerdo a</w:t>
      </w:r>
      <w:proofErr w:type="gramEnd"/>
      <w:r w:rsidRPr="009342F9">
        <w:rPr>
          <w:rFonts w:ascii="Arial" w:eastAsia="Times New Roman" w:hAnsi="Arial" w:cs="Arial"/>
          <w:color w:val="000000"/>
          <w:lang w:eastAsia="es-CO"/>
        </w:rPr>
        <w:t xml:space="preserve"> la naturaleza y finalidad de la cobertura. </w:t>
      </w:r>
    </w:p>
    <w:p w14:paraId="1DEA4FD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1058DA6" w14:textId="77777777" w:rsidR="00FC79C1"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La cobertura se mantendrá vigente en los casos de cesión, venta o enajenación de la cartera con cobertura, entre establecimientos de crédito, y en los procesos derivados de titularización de cartera con cobertura. </w:t>
      </w:r>
    </w:p>
    <w:p w14:paraId="39A72112" w14:textId="77777777" w:rsidR="00317D10" w:rsidRPr="009342F9" w:rsidRDefault="00317D10" w:rsidP="00FC79C1">
      <w:pPr>
        <w:spacing w:after="0" w:line="240" w:lineRule="auto"/>
        <w:jc w:val="both"/>
        <w:rPr>
          <w:rFonts w:ascii="Arial" w:eastAsia="Times New Roman" w:hAnsi="Arial" w:cs="Arial"/>
          <w:color w:val="000000"/>
          <w:lang w:eastAsia="es-CO"/>
        </w:rPr>
      </w:pPr>
    </w:p>
    <w:p w14:paraId="0D17E908" w14:textId="56222242"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transitorio. El otorgamiento de periodos de gracia en capital e intereses en los créditos para adquisición de vivienda o contratos de leasing habitacional que cuenten con el beneficio de cobertura de tasa de interés, que se pacten entre los beneficiarios y la respectiva entidad en el marco de las instrucciones impartidas por la Superintendencia Financiera mediante circular externa 007 de 2020, no se entenderá como causal de terminación anticipada de la cobertura.</w:t>
      </w:r>
      <w:r w:rsidRPr="009342F9">
        <w:rPr>
          <w:rFonts w:ascii="Arial" w:eastAsia="Times New Roman" w:hAnsi="Arial" w:cs="Arial"/>
          <w:color w:val="000000"/>
          <w:lang w:eastAsia="es-CO"/>
        </w:rPr>
        <w:br/>
      </w:r>
      <w:r w:rsidRPr="009342F9">
        <w:rPr>
          <w:rFonts w:ascii="Arial" w:eastAsia="Times New Roman" w:hAnsi="Arial" w:cs="Arial"/>
          <w:color w:val="000000"/>
          <w:lang w:eastAsia="es-CO"/>
        </w:rPr>
        <w:br/>
        <w:t>Las entidades que otorguen periodos de gracia en capital e intereses a los beneficiarios de las coberturas de tasa de interés deberán informar dicha circunstancia al Banco de la República como administrador del Fondo de Reserva para la Estabilización de la Cartera Hipotecaria - FRECH. </w:t>
      </w:r>
    </w:p>
    <w:p w14:paraId="64042017" w14:textId="230B4973"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752" w:name="ver_30200391"/>
      <w:bookmarkStart w:id="753" w:name="ver_30072317"/>
      <w:bookmarkEnd w:id="750"/>
      <w:bookmarkEnd w:id="751"/>
      <w:bookmarkEnd w:id="752"/>
    </w:p>
    <w:p w14:paraId="0D4FF1E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2.1.3.1.6. Recursos para la cobertura. Los recursos requeridos para el otorgamiento y pago de las coberturas previstas en este capítulo, así como los gastos de gestión en que incurra el Banco de la República en la realización de la permuta financiera serán apropiados en el Presupuesto General de la Nación a través del Fondo Nacional de Vivienda (Fonvivienda) o quien haga sus veces, y serán comprometidos con cargo a su presupuesto de inversión a favor del FRECH, Ley 1450 de 2011, dando cumplimiento a las disposiciones en materia presupuestal.  </w:t>
      </w:r>
    </w:p>
    <w:p w14:paraId="4EFF820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B2B59D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 apropiación de estos recursos deberá guardar concordancia con la disponibilidad fiscal establecida tanto en el Marco de Gasto de Mediano Plazo del sector, así como en el Marco Fiscal de Mediano Plazo.  </w:t>
      </w:r>
    </w:p>
    <w:p w14:paraId="0921B7F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D9C318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Parágrafo. El otorgamiento de coberturas a deudores de créditos de vivienda otorgados por los establecimientos de crédito y cajas de compensación familiar y a locatarios en los contratos de </w:t>
      </w:r>
      <w:r w:rsidRPr="009342F9">
        <w:rPr>
          <w:rFonts w:ascii="Arial" w:eastAsia="Times New Roman" w:hAnsi="Arial" w:cs="Arial"/>
          <w:color w:val="000000"/>
          <w:lang w:eastAsia="es-CO"/>
        </w:rPr>
        <w:lastRenderedPageBreak/>
        <w:t>leasing habitacional celebrados por los establecimientos de crédito, estará sujeto a la disponibilidad de recursos.  </w:t>
      </w:r>
    </w:p>
    <w:p w14:paraId="5D8C4881" w14:textId="318B9A36"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754" w:name="ver_30200392"/>
      <w:bookmarkStart w:id="755" w:name="ver_30072318"/>
      <w:bookmarkEnd w:id="753"/>
      <w:bookmarkEnd w:id="754"/>
    </w:p>
    <w:p w14:paraId="69C661F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2.1.3.1.7. Giro de los recursos. Los recursos asignados para financiar la cobertura de que trata el presente </w:t>
      </w:r>
      <w:proofErr w:type="gramStart"/>
      <w:r w:rsidRPr="009342F9">
        <w:rPr>
          <w:rFonts w:ascii="Arial" w:eastAsia="Times New Roman" w:hAnsi="Arial" w:cs="Arial"/>
          <w:color w:val="000000"/>
          <w:lang w:eastAsia="es-CO"/>
        </w:rPr>
        <w:t>capítulo,</w:t>
      </w:r>
      <w:proofErr w:type="gramEnd"/>
      <w:r w:rsidRPr="009342F9">
        <w:rPr>
          <w:rFonts w:ascii="Arial" w:eastAsia="Times New Roman" w:hAnsi="Arial" w:cs="Arial"/>
          <w:color w:val="000000"/>
          <w:lang w:eastAsia="es-CO"/>
        </w:rPr>
        <w:t xml:space="preserve"> formarán parte del FRECH - Ley 1450 de 2011 y serán girados de conformidad con los compromisos anuales que se deriven del otorgamiento, ejecución y vencimiento de dichas coberturas.  </w:t>
      </w:r>
    </w:p>
    <w:p w14:paraId="7AA835A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21F8FC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El Viceministerio Técnico del Ministerio de Hacienda y Crédito Público definirá el procedimiento, oportunidad, plazo y cuantías requeridas para el traslado al FRECH - Ley 1450 de 2011 de los recursos líquidos necesarios para el cubrimiento y pago de las coberturas de que trata el presente capítulo.  </w:t>
      </w:r>
    </w:p>
    <w:p w14:paraId="2FDC8B9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AE494D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Fonvivienda girará al Banco de la República, como administrador del FRECH, los recursos líquidos necesarios para el cubrimiento y pago de estas coberturas, previa solicitud que en tal sentido le presente el Banco de la República al Fondo Nacional de Vivienda (Fonvivienda) de conformidad con las obligaciones generadas mes a mes derivadas de la permuta financiera.  </w:t>
      </w:r>
    </w:p>
    <w:p w14:paraId="6E30078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39CA73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Así mismo, Fonvivienda pagará al Banco de la República los gastos en que este incurra en la realización de la permuta financiera prevista en este capítulo.  </w:t>
      </w:r>
    </w:p>
    <w:p w14:paraId="6BC7000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C58143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El Banco de la República, como administrador del FRECH, no será responsable por el cubrimiento y pago de las coberturas de que trata este capítulo cuando Fonvivienda no haya realizado las apropiaciones presupuestales necesarias para el pago de estas coberturas y cuando Fonvivienda no haya hecho la entrega y giro de los recursos correspondientes al FRECH - Ley 1450 de 2011.  </w:t>
      </w:r>
    </w:p>
    <w:p w14:paraId="6A0C1A2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D554A3F" w14:textId="3F94891A" w:rsidR="00FC79C1"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Los trámites de apropiación, ejecución, registro y desembolso presupuestales estarán a cargo de Fonvivienda.  </w:t>
      </w:r>
    </w:p>
    <w:p w14:paraId="405C7766" w14:textId="77777777" w:rsidR="00D25E1B" w:rsidRPr="009342F9" w:rsidRDefault="00D25E1B" w:rsidP="00FC79C1">
      <w:pPr>
        <w:spacing w:after="0" w:line="240" w:lineRule="auto"/>
        <w:jc w:val="both"/>
        <w:rPr>
          <w:rFonts w:ascii="Arial" w:eastAsia="Times New Roman" w:hAnsi="Arial" w:cs="Arial"/>
          <w:color w:val="000000"/>
          <w:lang w:eastAsia="es-CO"/>
        </w:rPr>
      </w:pPr>
    </w:p>
    <w:p w14:paraId="587076DF"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756" w:name="ver_30200393"/>
      <w:bookmarkStart w:id="757" w:name="ver_30072319"/>
      <w:bookmarkEnd w:id="755"/>
      <w:bookmarkEnd w:id="756"/>
      <w:r w:rsidRPr="009342F9">
        <w:rPr>
          <w:rFonts w:ascii="Arial" w:eastAsia="Times New Roman" w:hAnsi="Arial" w:cs="Arial"/>
          <w:color w:val="000000"/>
          <w:lang w:eastAsia="es-CO"/>
        </w:rPr>
        <w:t>Artículo 2.1.3.1.8. Restitución de los recursos de la cobertura. Las sumas provenientes de las restituciones de recursos que deban realizar los establecimientos de crédito y las cajas de compensación familiar al FRECH - Ley 1450 de 2011 respecto de créditos cuyos deudores o locatarios no tengan derecho a la cobertura o que se haya entregado en exceso, o por haber perdido la posibilidad de realizar el intercambio de flujos de la cobertura, o cualquier otra suma que deba restituirse, serán trasladadas a Fonvivienda y de este a la Dirección General de Crédito Público y Tesoro Nacional del Ministerio de Hacienda y Crédito Público. Fonvivienda impartirá las instrucciones para la restitución de estos recursos.  </w:t>
      </w:r>
    </w:p>
    <w:p w14:paraId="71A9C6A4"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758" w:name="ver_30200394"/>
      <w:bookmarkStart w:id="759" w:name="ver_30072320"/>
      <w:bookmarkEnd w:id="757"/>
      <w:bookmarkEnd w:id="758"/>
    </w:p>
    <w:p w14:paraId="1936639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2.1.3.1.9. Convenio interadministrativo. Para efecto de determinar las condiciones en que debe realizarse la permuta financiera de tasa de interés pactada sobre los créditos y contratos de leasing habitacional objeto de cobertura, el Fondo Nacional de Vivienda (Fonvivienda) y el Banco de la República, como administrador del FRECH, suscribirán un convenio interadministrativo. </w:t>
      </w:r>
    </w:p>
    <w:p w14:paraId="4115BEDE"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760" w:name="ver_30200395"/>
      <w:bookmarkStart w:id="761" w:name="ver_30072322"/>
      <w:bookmarkEnd w:id="759"/>
      <w:bookmarkEnd w:id="760"/>
    </w:p>
    <w:p w14:paraId="7A482ED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2.1.3.1.10. Contratos marco de permuta financiera de tasas de interés. Los establecimientos de crédito y las cajas de compensación familiar interesados en acceder a la cobertura que ofrece el Gobierno nacional a través del FRECH - Ley 1450 de 2011, deberán celebrar con el Banco de la República, como administrador del FRECH, un contrato marco de permuta financiera de tasas de interés para realizar el intercambio de flujos derivado de la cobertura prevista en este capítulo.  </w:t>
      </w:r>
    </w:p>
    <w:p w14:paraId="3E394F3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7A190E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Dichos contratos marco deberán tener en cuenta de conformidad con lo dispuesto en este capítulo y demás normas que lo reglamenten, modifiquen, adicionen, complementen o sustituyan, entre otras, las siguientes obligaciones:  </w:t>
      </w:r>
    </w:p>
    <w:p w14:paraId="4C41D60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4BC7CA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Para los establecimientos de crédito y cajas de compensación familiar:  </w:t>
      </w:r>
    </w:p>
    <w:p w14:paraId="1E0799D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4A4BDC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 Informar al FRECH - Ley 1450 de 2011 para su registro, los créditos y contratos de leasing habitacional elegibles con derecho a la cobertura, de acuerdo con lo dispuesto en este capítulo;  </w:t>
      </w:r>
    </w:p>
    <w:p w14:paraId="5F10F60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8BC0F2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b) Presentar al FRECH - Ley 1450 de 2011 la cuenta de cobro correspondiente a los créditos desembolsados o a los contratos de leasing habitacional con derecho a la cobertura, registrados en el FRECH - Ley 1450 de 2011, por el valor neto del intercambio de flujos derivado de la permuta financiera, de acuerdo con lo dispuesto en este capítulo;  </w:t>
      </w:r>
    </w:p>
    <w:p w14:paraId="519D975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5C2E3F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 Certificar al Banco de la República, como administrador del FRECH:  </w:t>
      </w:r>
    </w:p>
    <w:p w14:paraId="40AFE63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71F153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i) Que los créditos o contratos de leasing habitacional objeto de la cobertura cumplen los requisitos y condiciones establecidos para el acceso y vigencia de la cobertura de tasa de interés, señalados en el artículo 2.1.3.1.2, el numeral 3 del artículo 2.1.3.1.3 y los artículos 2.1.3.1.4, 2.1.3.1.8 y 2.1.3.1.11, de este capítulo.  </w:t>
      </w:r>
    </w:p>
    <w:p w14:paraId="3E7D748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DED77C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ii) La veracidad de toda la información enviada al FRECH - Ley 1450 de 2011, en concordancia con los requisitos y condiciones para el acceso, vigencia, terminación anticipada, de la cobertura de tasa de interés y aquella relacionada con el intercambio de flujos, establecidos en este capítulo y en la normativa aplicable.  </w:t>
      </w:r>
    </w:p>
    <w:p w14:paraId="4A18E15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78A7F2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iii) Los créditos o contratos de leasing habitacional registrados en el FRECH - Ley 1450 de 2011, que no tengan el derecho a la cobertura y las terminaciones anticipadas de la misma, de acuerdo con lo dispuesto en este capítulo.  </w:t>
      </w:r>
    </w:p>
    <w:p w14:paraId="573C06B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4DB036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d) Suministrar la información que requiera el Banco de la República para la realización de la permuta financiera en la oportunidad que se establezca para el efecto;  </w:t>
      </w:r>
    </w:p>
    <w:p w14:paraId="511F887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1C2766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 Restituir a Fonvivienda los recursos de que trata el artículo 2.1.3.1.8 del presente capítulo.  </w:t>
      </w:r>
    </w:p>
    <w:p w14:paraId="5C45F47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2C11E6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Para el Banco de la República:  </w:t>
      </w:r>
    </w:p>
    <w:p w14:paraId="45B90C3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716AB4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 Validar que el contenido de la información remitida por los establecimientos de crédito y las cajas de compensación familiar al FRECH - Ley 1450 de 2011, para efectos del registro de los créditos desembolsados o contratos de leasing habitacional con derecho a la cobertura y para el pago de </w:t>
      </w:r>
      <w:proofErr w:type="gramStart"/>
      <w:r w:rsidRPr="009342F9">
        <w:rPr>
          <w:rFonts w:ascii="Arial" w:eastAsia="Times New Roman" w:hAnsi="Arial" w:cs="Arial"/>
          <w:color w:val="000000"/>
          <w:lang w:eastAsia="es-CO"/>
        </w:rPr>
        <w:t>la misma</w:t>
      </w:r>
      <w:proofErr w:type="gramEnd"/>
      <w:r w:rsidRPr="009342F9">
        <w:rPr>
          <w:rFonts w:ascii="Arial" w:eastAsia="Times New Roman" w:hAnsi="Arial" w:cs="Arial"/>
          <w:color w:val="000000"/>
          <w:lang w:eastAsia="es-CO"/>
        </w:rPr>
        <w:t>, sea consistente con el presente capítulo y su reglamentación;  </w:t>
      </w:r>
    </w:p>
    <w:p w14:paraId="6BB5484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4A2162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b. Registrar en el FRECH - Ley 1450 de 2011, atendiendo la fecha de recibo en el Banco de la República en orden de llegada, los créditos desembolsados o contratos de leasing habitacional con derecho a la cobertura, teniendo en cuenta el número de coberturas disponibles para los créditos y contratos de leasing establecidos por el Fondo Nacional de Vivienda (Fonvivienda) y el número de créditos y contratos de leasing habitacional con cobertura registrados en el FRECH - Ley 1450 de 2011, de acuerdo con lo informado por los establecimientos de crédito y las cajas de compensación familiar;  </w:t>
      </w:r>
    </w:p>
    <w:p w14:paraId="7938612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2F5167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c) Pagar el valor neto del intercambio de flujos derivado de la permuta financiera de acuerdo con las instrucciones que para el efecto imparta el Fondo Nacional de Vivienda (Fonvivienda);  </w:t>
      </w:r>
    </w:p>
    <w:p w14:paraId="0F6B139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9DC661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d) Excluir de la cobertura los créditos o contratos de leasing habitacional registrados en el FRECH - Ley 1450 de 2011 que no tengan derecho a esta y registrar las terminaciones anticipadas de la misma, así como los créditos o contratos respecto de los cuales no sea posible realizar el intercambio de flujos, de conformidad con la información presentada por los establecimientos de crédito y las cajas de compensación familiar;  </w:t>
      </w:r>
    </w:p>
    <w:p w14:paraId="3744B0E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14485F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 Informar mensualmente a los establecimientos de crédito, a las cajas de compensación familiar y a Fonvivienda, el número de créditos desembolsados y los contratos de leasing habitacional con derecho a la cobertura registrados en el FRECH - Ley 1450 de 2011. Adicionalmente, a Fonvivienda se remitirá mensualmente una relación de los beneficiarios de cobertura.  </w:t>
      </w:r>
    </w:p>
    <w:p w14:paraId="1CD4E12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DCD548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1°. En los contratos marco se estipulará que los establecimientos de crédito y las cajas de compensación familiar perderán la posibilidad de realizar el intercambio de flujos de la cobertura en los eventos que defina Fonvivienda, cuando haya lugar a ello, de acuerdo con la naturaleza y propósito de dicho mecanismo.  </w:t>
      </w:r>
    </w:p>
    <w:p w14:paraId="393098F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868C7A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2°. En todo caso el registro y pago de la cobertura estará condicionada a la suscripción de los contratos marco aquí establecidos, entre los establecimientos de crédito o las cajas de compensación familiar y el Banco de la República.  </w:t>
      </w:r>
    </w:p>
    <w:p w14:paraId="06BFDA3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6B0F781"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762" w:name="ver_30200396"/>
      <w:bookmarkStart w:id="763" w:name="ver_30072324"/>
      <w:bookmarkEnd w:id="761"/>
      <w:bookmarkEnd w:id="762"/>
      <w:r w:rsidRPr="009342F9">
        <w:rPr>
          <w:rFonts w:ascii="Arial" w:eastAsia="Times New Roman" w:hAnsi="Arial" w:cs="Arial"/>
          <w:color w:val="000000"/>
          <w:lang w:eastAsia="es-CO"/>
        </w:rPr>
        <w:t>Artículo 2.1.3.1.11. Responsabilidad de los establecimientos de crédito y las cajas de compensación familiar. Los establecimientos de crédito y las cajas de compensación familiar serán los únicos responsables de verificar el cumplimiento de los requisitos y condiciones establecidos para el acceso, vigencia, y terminación anticipada de la cobertura de tasa de interés a los créditos o contratos de leasing habitacional de que trata el presente capítulo; así como de la veracidad de la información presentada al FRECH - Ley 1450 de 2011 y del cumplimiento de las obligaciones contenidas en el contrato marco que suscriba con el Banco de la República.  </w:t>
      </w:r>
    </w:p>
    <w:p w14:paraId="6E13DE8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B4D235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Los establecimientos de crédito y las cajas de compensación familiar deberán informar a los potenciales deudores de créditos de vivienda y locatarios de contratos de leasing habitacional acerca de las condiciones de acceso, vigencia, y terminación anticipada de la cobertura, en las condiciones establecidas en el presente capítulo y demás normas que lo reglamenten, complementen, adicionen, modifiquen o sustituyan, así como las demás condiciones que establezcan la Superintendencia Financiera de Colombia para los establecimientos de crédito y la Superintendencia del Subsidio Familiar para las cajas de compensación familiar.  </w:t>
      </w:r>
    </w:p>
    <w:p w14:paraId="29514D9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F199DC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Los establecimientos de crédito y las cajas de compensación familiar no podrán desembolsar créditos o suscribir contratos de leasing con derecho a la cobertura, sin haber recibido de parte de los potenciales deudores de los créditos y locatarios de leasing habitacional, según sea el caso, la manifestación escrita prevista en el artículo 2.1.3.1.3 de este capítulo.  </w:t>
      </w:r>
    </w:p>
    <w:p w14:paraId="04C6969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18ADFC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Los establecimientos de crédito y las cajas de compensación familiar verificarán, lo dispuesto en el numeral 1 del artículo 2.1.3.1.3 únicamente con base en los documentos que para el efecto establezca Fonvivienda. Así mismo, verificarán lo dispuesto en el numeral 2 del citado artículo, únicamente mediante consulta a las bases de datos que disponga Fonvivienda. Con dichas verificaciones se acreditará el cumplimiento de las condiciones antes mencionadas y no habrá lugar a verificaciones adicionales por parte del Banco de la República, como administrador del FRECH.  </w:t>
      </w:r>
    </w:p>
    <w:p w14:paraId="57B81B2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w:t>
      </w:r>
    </w:p>
    <w:p w14:paraId="4CF7828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Igualmente los establecimientos de crédito y las cajas de compensación familiar deberán informar al deudor o locatario: a) que su cobertura se encuentra sujeta a que en el momento del desembolso o al inicio del contrato de leasing no se hayan agotado las coberturas disponibles y b) en el extracto de la obligación, el cálculo y aplicación de la cobertura, y remitir dentro de la proyección anual de los créditos individuales de vivienda lo que corresponda a la discriminación de los valores del beneficio.  </w:t>
      </w:r>
    </w:p>
    <w:p w14:paraId="4E579EE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277FBA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Los establecimientos de crédito y las cajas de compensación familiar deberán implementar un mecanismo que les permita verificar al momento de efectuar el desembolso del crédito o del inicio del contrato de leasing habitacional:  </w:t>
      </w:r>
    </w:p>
    <w:p w14:paraId="1FFE198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226EE9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i. La existencia de créditos y contratos de leasing habitacional con cobertura disponible para cada uno de los segmentos de vivienda establecidos y, en esa medida, no podrán desembolsar créditos o dar inicio del contrato de leasing habitacional con derecho a la cobertura, en exceso del número de coberturas que establezca el Fondo Nacional de Vivienda (Fonvivienda), so pena de asumir el pago de la cobertura con sus propios recursos;  </w:t>
      </w:r>
    </w:p>
    <w:p w14:paraId="5A9B214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C59146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ii. Que la cobertura se otorgue únicamente a un crédito o contrato de leasing habitacional y que aquella se aplique a todos los deudores del crédito o locatarios del contrato de leasing habitacional, a cualquier título. Así mismo, deberán verificar que los potenciales deudores o locatarios no hayan sido beneficiarios, a cualquier título, de la cobertura establecida en el presente capítulo o de aquella otorgada en desarrollo de lo dispuesto en el Decreto Único del Sector de Hacienda y Crédito Público y las normas que lo reglamenten, modifiquen, adicionen, complementen o sustituyan.  </w:t>
      </w:r>
    </w:p>
    <w:p w14:paraId="506FE12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F1D37B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Corresponderá a los establecimientos de crédito y a las cajas de compensación familiar, determinar al momento del inicio del contrato leasing o del desembolso del crédito si tienen derecho a la cobertura y en este evento, deberá informarlo al Banco de la República para efectos de su registro y pago de la cobertura.  </w:t>
      </w:r>
    </w:p>
    <w:p w14:paraId="4EEF10D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465EC2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El uso de los recursos otorgados como cobertura no podrán destinarse a propósitos diferentes a los indicados en el presente capítulo y las normas que lo reglamenten, complementen, modifiquen, adicionen o sustituyan, so pena de incurrir en la conducta descrita en el artículo 311 del Código Penal”.  </w:t>
      </w:r>
    </w:p>
    <w:p w14:paraId="7C6B6551" w14:textId="692D03ED" w:rsidR="00FC79C1" w:rsidRPr="009342F9" w:rsidRDefault="00FC79C1" w:rsidP="00683694">
      <w:pPr>
        <w:spacing w:after="0" w:line="240" w:lineRule="auto"/>
        <w:jc w:val="center"/>
        <w:rPr>
          <w:rFonts w:ascii="Arial" w:eastAsia="Times New Roman" w:hAnsi="Arial" w:cs="Arial"/>
          <w:b/>
          <w:bCs/>
          <w:color w:val="000000"/>
          <w:lang w:eastAsia="es-CO"/>
        </w:rPr>
      </w:pPr>
    </w:p>
    <w:p w14:paraId="3F1ACDE3" w14:textId="77777777" w:rsidR="00FC79C1" w:rsidRPr="009342F9" w:rsidRDefault="00FC79C1" w:rsidP="00683694">
      <w:pPr>
        <w:spacing w:after="0" w:line="240" w:lineRule="auto"/>
        <w:jc w:val="center"/>
        <w:rPr>
          <w:rFonts w:ascii="Arial" w:eastAsia="Times New Roman" w:hAnsi="Arial" w:cs="Arial"/>
          <w:b/>
          <w:bCs/>
          <w:color w:val="000000"/>
          <w:lang w:eastAsia="es-CO"/>
        </w:rPr>
      </w:pPr>
      <w:bookmarkStart w:id="764" w:name="ver_30072325"/>
      <w:bookmarkEnd w:id="763"/>
      <w:bookmarkEnd w:id="764"/>
      <w:r w:rsidRPr="009342F9">
        <w:rPr>
          <w:rFonts w:ascii="Arial" w:eastAsia="Times New Roman" w:hAnsi="Arial" w:cs="Arial"/>
          <w:b/>
          <w:bCs/>
          <w:color w:val="000000"/>
          <w:lang w:eastAsia="es-CO"/>
        </w:rPr>
        <w:t>TÍTULO 4</w:t>
      </w:r>
    </w:p>
    <w:p w14:paraId="025941E1" w14:textId="77777777" w:rsidR="00FC79C1" w:rsidRDefault="00FC79C1" w:rsidP="00683694">
      <w:pPr>
        <w:spacing w:after="0" w:line="240" w:lineRule="auto"/>
        <w:jc w:val="center"/>
        <w:rPr>
          <w:rFonts w:ascii="Arial" w:eastAsia="Times New Roman" w:hAnsi="Arial" w:cs="Arial"/>
          <w:b/>
          <w:bCs/>
          <w:color w:val="000000"/>
          <w:lang w:eastAsia="es-CO"/>
        </w:rPr>
      </w:pPr>
      <w:r w:rsidRPr="231E957E">
        <w:rPr>
          <w:rFonts w:ascii="Arial" w:eastAsia="Times New Roman" w:hAnsi="Arial" w:cs="Arial"/>
          <w:b/>
          <w:color w:val="000000" w:themeColor="text1"/>
          <w:lang w:eastAsia="es-CO"/>
        </w:rPr>
        <w:t>ARRENDAMIENTO URBANO</w:t>
      </w:r>
    </w:p>
    <w:p w14:paraId="3124AA98" w14:textId="77777777" w:rsidR="007C7D44" w:rsidRPr="009342F9" w:rsidRDefault="007C7D44" w:rsidP="00683694">
      <w:pPr>
        <w:spacing w:after="0" w:line="240" w:lineRule="auto"/>
        <w:jc w:val="center"/>
        <w:rPr>
          <w:rFonts w:ascii="Arial" w:eastAsia="Times New Roman" w:hAnsi="Arial" w:cs="Arial"/>
          <w:b/>
          <w:bCs/>
          <w:color w:val="000000"/>
          <w:lang w:eastAsia="es-CO"/>
        </w:rPr>
      </w:pPr>
    </w:p>
    <w:p w14:paraId="354101FF" w14:textId="77777777" w:rsidR="00FC79C1" w:rsidRPr="009342F9" w:rsidRDefault="00FC79C1" w:rsidP="00683694">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CAPÍTULO 1</w:t>
      </w:r>
    </w:p>
    <w:p w14:paraId="19F66264" w14:textId="77777777" w:rsidR="00FC79C1" w:rsidRPr="009342F9" w:rsidRDefault="00FC79C1" w:rsidP="00683694">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REGLAS SOBRE SERVICIOS PÚBLICOS DOMICILIARIOS</w:t>
      </w:r>
    </w:p>
    <w:p w14:paraId="1C295D23"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765" w:name="ver_30072326"/>
      <w:bookmarkEnd w:id="765"/>
    </w:p>
    <w:p w14:paraId="79E6D42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2.1.4.1.1. Ámbito de aplicación. El presente capítulo será aplicable a los contratos celebrados para el arrendamiento de vivienda urbana, de conformidad con la Ley 820 de 2003. Así mismo se aplicará a los contratos de arrendamiento de vivienda urbana celebrados en vigencia la Ley 56 de 1985, si las partes del contrato de común acuerdo se acogen a los términos de la Ley 820 de 2003. </w:t>
      </w:r>
    </w:p>
    <w:p w14:paraId="59975EF3" w14:textId="4A5AFCE4"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766" w:name="ver_30072327"/>
      <w:bookmarkEnd w:id="766"/>
    </w:p>
    <w:p w14:paraId="1F22689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2.1.4.1.2. Pago de los servicios públicos domiciliarios. Cuando un inmueble sea entregado en arrendamiento, mediante contrato verbal o escrito, y el pago de los servicios públicos corresponda al arrendatario, el arrendador del inmueble podrá mantener la solidaridad </w:t>
      </w:r>
      <w:r w:rsidRPr="009342F9">
        <w:rPr>
          <w:rFonts w:ascii="Arial" w:eastAsia="Times New Roman" w:hAnsi="Arial" w:cs="Arial"/>
          <w:color w:val="000000"/>
          <w:lang w:eastAsia="es-CO"/>
        </w:rPr>
        <w:lastRenderedPageBreak/>
        <w:t>en los términos establecidos en el artículo 130 de la Ley 142 de 1994, modificado por el artículo 18 de la Ley 689 de 2001 o atender el procedimiento señalado en el presente capítulo, caso en el cual no será responsable solidariamente en el pago de los servicios públicos domiciliarios y el inmueble no quedará afecto al pago de los mismos. </w:t>
      </w:r>
    </w:p>
    <w:p w14:paraId="71847A21"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767" w:name="ver_30072328"/>
      <w:bookmarkEnd w:id="767"/>
    </w:p>
    <w:p w14:paraId="024E2FD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2.1.4.1.3. Clases de garantías. Para efectos de la aplicación del numeral 1 del artículo 15 de la Ley 820 de 2003, se considerarán como garantías o fianzas las siguientes: depósitos en dinero a favor de las Entidades o Empresas de Servicios Públicos Domiciliarios, garantías constituidas u otorgadas ante Instituciones Financieras o Fiduciarias, póliza de seguros, fiador, endoso de títulos y/o garantías, fiducia y encargo fiduciario, así como cualquiera otra que conforme a la ley cumpla con dicha finalidad. </w:t>
      </w:r>
    </w:p>
    <w:p w14:paraId="311FD5DE" w14:textId="77777777" w:rsidR="00176ACC" w:rsidRDefault="00176ACC" w:rsidP="00FC79C1">
      <w:pPr>
        <w:spacing w:after="0" w:line="240" w:lineRule="auto"/>
        <w:jc w:val="both"/>
        <w:rPr>
          <w:rFonts w:ascii="Arial" w:eastAsia="Times New Roman" w:hAnsi="Arial" w:cs="Arial"/>
          <w:color w:val="000000"/>
          <w:lang w:eastAsia="es-CO"/>
        </w:rPr>
      </w:pPr>
    </w:p>
    <w:p w14:paraId="322349DD" w14:textId="5208A7F2"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2.1.4.1.4. Depósito en dinero a favor de la entidad o empresa prestadora de servicios públicos domiciliarios. Para la constitución de depósitos en dinero a favor de la entidad o empresa de servicios públicos domiciliarios, se seguirá el siguiente procedimiento: </w:t>
      </w:r>
    </w:p>
    <w:p w14:paraId="0ED55E6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A937B5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El arrendador y/o el arrendatario depositarán ante la institución financiera señalada por la entidad o empresa de servicios públicos domiciliarios, a su favor, y a título de depósito una suma igual al valor de la garantía señalada en el artículo 2.1.4.1.6 de este capítulo. </w:t>
      </w:r>
    </w:p>
    <w:p w14:paraId="76EED3D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3413A1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Denunciada la terminación del contrato por parte del arrendador y/o el arrendatario, la institución financiera, previa autorización escrita de la empresa prestadora de servicios públicos, devolverá al depositante dentro de los 20 días hábiles siguientes las sumas de dinero depositadas, de las cuales podrá descontar el valor de los servicios prestados hasta la fecha del denuncio de terminación. </w:t>
      </w:r>
    </w:p>
    <w:p w14:paraId="385E68A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8E2E3B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 entidad o empresa de servicios públicos domiciliarios podrá pagarse contra el depósito constituido las facturas no canceladas. </w:t>
      </w:r>
    </w:p>
    <w:p w14:paraId="534754D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28DFEF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Los dineros entregados en depósito, junto con sus rendimientos, serán de propiedad del constituyente y en consecuencia a la terminación del contrato inicial o de cualquiera de sus prórrogas, serán reembolsados a este. </w:t>
      </w:r>
    </w:p>
    <w:p w14:paraId="7604F46C" w14:textId="77777777" w:rsidR="00176ACC" w:rsidRDefault="00176ACC" w:rsidP="00FC79C1">
      <w:pPr>
        <w:spacing w:after="0" w:line="240" w:lineRule="auto"/>
        <w:jc w:val="both"/>
        <w:rPr>
          <w:rFonts w:ascii="Arial" w:eastAsia="Times New Roman" w:hAnsi="Arial" w:cs="Arial"/>
          <w:color w:val="000000"/>
          <w:lang w:eastAsia="es-CO"/>
        </w:rPr>
      </w:pPr>
    </w:p>
    <w:p w14:paraId="2E9850A2" w14:textId="49B669C8"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2.1.4.1.5. Denuncio del contrato de arrendamiento. El arrendador y/o el arrendatario deberá informar a las Entidades o Empresas de Servicios Públicos domiciliarios, a través del formato previsto en el presente capítulo y con la información mínima exigida en el artículo 2.1.4.1.8, de la existencia o terminación del contrato de arrendamiento. </w:t>
      </w:r>
    </w:p>
    <w:p w14:paraId="245A2DD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29D8CE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1º. Si el arrendador incumple con su obligación de denunciar la existencia o terminación del contrato de arrendamiento, el propietario o poseedor será solidario en los términos establecidos por el artículo 30 Ley 142 de 1994, modificado por el artículo 18 de la Ley 689 de 2001. </w:t>
      </w:r>
    </w:p>
    <w:p w14:paraId="49EB3FD5" w14:textId="77777777" w:rsidR="00176ACC" w:rsidRDefault="00176ACC" w:rsidP="00FC79C1">
      <w:pPr>
        <w:spacing w:after="0" w:line="240" w:lineRule="auto"/>
        <w:jc w:val="both"/>
        <w:rPr>
          <w:rFonts w:ascii="Arial" w:eastAsia="Times New Roman" w:hAnsi="Arial" w:cs="Arial"/>
          <w:color w:val="000000"/>
          <w:lang w:eastAsia="es-CO"/>
        </w:rPr>
      </w:pPr>
    </w:p>
    <w:p w14:paraId="0ABD1680" w14:textId="586586A5"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2.1.4.1.6. Valor de la garantía o depósito. El valor de la garantía o depósito no podrá exceder dos veces el valor del cargo fijo más dos veces el valor por consumo promedio del servicio por estrato en un período de facturación. El cálculo del valor promedio de consumo por estrato en un período de facturación se realizará utilizando el consumo promedio del estrato al cual pertenece el inmueble a ser arrendado de los tres últimos períodos de facturación, aumentado en un cincuenta por ciento (50%). </w:t>
      </w:r>
    </w:p>
    <w:p w14:paraId="1314F38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5CF89B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Las entidades o empresas de servicios públicos domiciliarios suministrarán esa información y la divulgarán periódicamente. </w:t>
      </w:r>
    </w:p>
    <w:p w14:paraId="25E3EFA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46CB06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Parágrafo 1º. Si el promedio de consumo del arrendatario fuere superior al promedio del estrato, la entidad o empresa puede ajustar hasta una vez al año el valor del depósito o la garantía de acuerdo con los promedios de consumo del arrendatario, considerando los tres últimos períodos de facturación </w:t>
      </w:r>
      <w:proofErr w:type="gramStart"/>
      <w:r w:rsidRPr="009342F9">
        <w:rPr>
          <w:rFonts w:ascii="Arial" w:eastAsia="Times New Roman" w:hAnsi="Arial" w:cs="Arial"/>
          <w:color w:val="000000"/>
          <w:lang w:eastAsia="es-CO"/>
        </w:rPr>
        <w:t>del mismo</w:t>
      </w:r>
      <w:proofErr w:type="gramEnd"/>
      <w:r w:rsidRPr="009342F9">
        <w:rPr>
          <w:rFonts w:ascii="Arial" w:eastAsia="Times New Roman" w:hAnsi="Arial" w:cs="Arial"/>
          <w:color w:val="000000"/>
          <w:lang w:eastAsia="es-CO"/>
        </w:rPr>
        <w:t>. </w:t>
      </w:r>
    </w:p>
    <w:p w14:paraId="48B8531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2591E0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2º. Los ajustes a las garantías o depósitos previstos en el parágrafo 1º del presente artículo son a cargo del arrendatario. El arrendatario, previa notificación por parte de la entidad o empresa de servicios públicos domiciliarios, deberá modificar la garantía o depósito. </w:t>
      </w:r>
    </w:p>
    <w:p w14:paraId="0FE1EFF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9BFFFD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3º. En el caso de las entidades o empresas prestadoras del servicio de telecomunicaciones se tendrá en cuenta el cargo por unidad de consumo, el cual se determinará incluyendo el promedio de todos los servicios telefónicos tomados de que trata la Ley 142 de 1994. </w:t>
      </w:r>
    </w:p>
    <w:p w14:paraId="2A9734FB"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768" w:name="ver_30072335"/>
      <w:bookmarkEnd w:id="768"/>
    </w:p>
    <w:p w14:paraId="05D8484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2.1.4.1.7. De las otras garantías. Las garantías constituidas tendrán como mínimo una vigencia igual al plazo del contrato de arrendamiento. Vencido el término inicial en caso de ser renovado, el arrendatario deberá renovar también la garantía, de conformidad con lo señalado en este capítulo. </w:t>
      </w:r>
    </w:p>
    <w:p w14:paraId="555A272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E9E09E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1º. Una vez recibida la documentación respectiva, las Entidades o Empresas de Servicios Públicos domiciliarios tendrán un plazo máximo de diez (10) días hábiles contados a partir de la radicación del formato en la entidad o empresa correspondiente, para aceptarla. Si la garantía presentada ha sido expedida por instituciones vigiladas por la Superintendencia Bancaria y cumplieren con los requisitos de los artículos 822 y siguientes del Código de Comercio, serán de obligatoria aceptación por parte de las Entidades o Empresas de Servicios Públicos Domiciliarios. </w:t>
      </w:r>
    </w:p>
    <w:p w14:paraId="0FEF600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D43B67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el evento de que la entidad o empresa no acepte la garantía remitida, deberá informarlo especificando las causas al arrendador y al arrendatario para que realice los ajustes necesarios. En este caso se iniciarán nuevamente los términos señalados en el inciso anterior. </w:t>
      </w:r>
    </w:p>
    <w:p w14:paraId="4B160045"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769" w:name="ver_30072336"/>
      <w:bookmarkEnd w:id="769"/>
    </w:p>
    <w:p w14:paraId="26152C4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2.1.4.1.8. Formatos para la denuncia del arriendo y su terminación. Las entidades o empresas de servicios públicos domiciliarios elaborarán y entregarán, a los usuarios que lo requieran, los formatos para la denuncia del contrato de arrendamiento y de su terminación. </w:t>
      </w:r>
    </w:p>
    <w:p w14:paraId="154FCDF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19D95C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todo caso el formato de denuncia deberá contener como mínimo: </w:t>
      </w:r>
    </w:p>
    <w:p w14:paraId="0589039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45A6B3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Nombre, dirección e identificación del arrendador. </w:t>
      </w:r>
    </w:p>
    <w:p w14:paraId="4BD0679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522C55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Identificación del inmueble con dirección, matrícula inmobiliaria y cédula catastral cuando aplique. </w:t>
      </w:r>
    </w:p>
    <w:p w14:paraId="71F8E73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4CA9ED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Nombre, dirección e identificación del o los arrendatarios. </w:t>
      </w:r>
    </w:p>
    <w:p w14:paraId="1C3D708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C13E38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Fecha de iniciación y la de terminación del contrato de arrendamiento. </w:t>
      </w:r>
    </w:p>
    <w:p w14:paraId="220DB4F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2E48E0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 Clase y tipo de garantía. </w:t>
      </w:r>
    </w:p>
    <w:p w14:paraId="15284BC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5F0BAF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6. Entidad que expide la garantía. </w:t>
      </w:r>
    </w:p>
    <w:p w14:paraId="3F42394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A9C299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7. Vigencia de la garantía. </w:t>
      </w:r>
    </w:p>
    <w:p w14:paraId="03F3722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D6FDB4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8. Anexos: Comprobante del depósito u original de la garantía. </w:t>
      </w:r>
    </w:p>
    <w:p w14:paraId="373CE03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573074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Dicho formulario debe ser suscrito por el arrendador y arrendatario, bajo la gravedad de juramento, el cual se entenderá prestado con la firma </w:t>
      </w:r>
      <w:proofErr w:type="gramStart"/>
      <w:r w:rsidRPr="009342F9">
        <w:rPr>
          <w:rFonts w:ascii="Arial" w:eastAsia="Times New Roman" w:hAnsi="Arial" w:cs="Arial"/>
          <w:color w:val="000000"/>
          <w:lang w:eastAsia="es-CO"/>
        </w:rPr>
        <w:t>del mismo</w:t>
      </w:r>
      <w:proofErr w:type="gramEnd"/>
      <w:r w:rsidRPr="009342F9">
        <w:rPr>
          <w:rFonts w:ascii="Arial" w:eastAsia="Times New Roman" w:hAnsi="Arial" w:cs="Arial"/>
          <w:color w:val="000000"/>
          <w:lang w:eastAsia="es-CO"/>
        </w:rPr>
        <w:t>. </w:t>
      </w:r>
    </w:p>
    <w:p w14:paraId="14F79701" w14:textId="2017C5BE" w:rsidR="00FC79C1" w:rsidRPr="009342F9" w:rsidRDefault="00FC79C1" w:rsidP="00176ACC">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770" w:name="ver_30072337"/>
      <w:bookmarkEnd w:id="770"/>
    </w:p>
    <w:p w14:paraId="7968AEC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2.1.4.1.9. Solicitud de nuevos servicios. En el evento en que el arrendatario solicite a las entidades o empresas prestadoras de servicios públicos domiciliarios un nuevo servicio adicional a los básicos, se dará aplicación a lo establecido en el numeral sexto (6°) del artículo 15 de la Ley 820 de 2003. El arrendatario podrá en cualquier momento requerir la cancelación o suspensión del servicio adicional solicitado por él mismo, caso en el cual le será devuelta la garantía o depósito a que haya lugar, sin que necesariamente medie la terminación del contrato de arrendamiento. </w:t>
      </w:r>
    </w:p>
    <w:p w14:paraId="4005984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8933B40" w14:textId="77777777" w:rsidR="00FC79C1" w:rsidRPr="009342F9" w:rsidRDefault="00FC79C1" w:rsidP="00683694">
      <w:pPr>
        <w:spacing w:after="0" w:line="240" w:lineRule="auto"/>
        <w:jc w:val="center"/>
        <w:rPr>
          <w:rFonts w:ascii="Arial" w:eastAsia="Times New Roman" w:hAnsi="Arial" w:cs="Arial"/>
          <w:b/>
          <w:bCs/>
          <w:color w:val="000000"/>
          <w:lang w:eastAsia="es-CO"/>
        </w:rPr>
      </w:pPr>
      <w:bookmarkStart w:id="771" w:name="ver_30072339"/>
      <w:bookmarkEnd w:id="771"/>
      <w:r w:rsidRPr="009342F9">
        <w:rPr>
          <w:rFonts w:ascii="Arial" w:eastAsia="Times New Roman" w:hAnsi="Arial" w:cs="Arial"/>
          <w:b/>
          <w:bCs/>
          <w:color w:val="000000"/>
          <w:lang w:eastAsia="es-CO"/>
        </w:rPr>
        <w:t>CAPÍTULO 2</w:t>
      </w:r>
    </w:p>
    <w:p w14:paraId="6354B83A" w14:textId="77777777" w:rsidR="00FC79C1" w:rsidRDefault="00FC79C1" w:rsidP="00683694">
      <w:pPr>
        <w:spacing w:after="0" w:line="240" w:lineRule="auto"/>
        <w:jc w:val="center"/>
        <w:rPr>
          <w:rFonts w:ascii="Arial" w:eastAsia="Times New Roman" w:hAnsi="Arial" w:cs="Arial"/>
          <w:b/>
          <w:bCs/>
          <w:color w:val="000000"/>
          <w:lang w:eastAsia="es-CO"/>
        </w:rPr>
      </w:pPr>
      <w:r w:rsidRPr="231E957E">
        <w:rPr>
          <w:rFonts w:ascii="Arial" w:eastAsia="Times New Roman" w:hAnsi="Arial" w:cs="Arial"/>
          <w:b/>
          <w:color w:val="000000" w:themeColor="text1"/>
          <w:lang w:eastAsia="es-CO"/>
        </w:rPr>
        <w:t>INSPECCIÓN, VIGILANCIA Y CONTROL DE LA ACTIVIDAD DE ARRENDAMIENTO</w:t>
      </w:r>
    </w:p>
    <w:p w14:paraId="3E296882" w14:textId="77777777" w:rsidR="007C7D44" w:rsidRPr="009342F9" w:rsidRDefault="007C7D44" w:rsidP="00683694">
      <w:pPr>
        <w:spacing w:after="0" w:line="240" w:lineRule="auto"/>
        <w:jc w:val="center"/>
        <w:rPr>
          <w:rFonts w:ascii="Arial" w:eastAsia="Times New Roman" w:hAnsi="Arial" w:cs="Arial"/>
          <w:b/>
          <w:bCs/>
          <w:color w:val="000000"/>
          <w:lang w:eastAsia="es-CO"/>
        </w:rPr>
      </w:pPr>
    </w:p>
    <w:p w14:paraId="442C68D4" w14:textId="77777777" w:rsidR="00FC79C1" w:rsidRPr="009342F9" w:rsidRDefault="00FC79C1" w:rsidP="00683694">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SECCIÓN 1</w:t>
      </w:r>
    </w:p>
    <w:p w14:paraId="76BE6C19" w14:textId="77777777" w:rsidR="00FC79C1" w:rsidRPr="009342F9" w:rsidRDefault="00FC79C1" w:rsidP="00683694">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DE LA MATRÍCULA DE ARRENDADOR</w:t>
      </w:r>
    </w:p>
    <w:p w14:paraId="0245E82F"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772" w:name="ver_30072340"/>
      <w:bookmarkEnd w:id="772"/>
    </w:p>
    <w:p w14:paraId="4EE8F22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2.1.4.2.1.1. De las autoridades competentes. Para efectos de la armónica y correcta aplicación de lo dispuesto en los artículos 28, 29, 30, 32 y 33 de la Ley 820 de 2003, la Alcaldía Mayor de Bogotá, D. C., la Gobernación del Departamento Archipiélago de San Andrés, Providencia y Santa Catalina y las alcaldías de los municipios y distritos del país, son las autoridades administrativas competentes para ejercer las funciones relativas a la matrícula de arrendadores de que trata el artículo 28 de la Ley 820 de 2003. </w:t>
      </w:r>
    </w:p>
    <w:p w14:paraId="24D58E7F" w14:textId="77777777" w:rsidR="00176ACC" w:rsidRDefault="00176ACC" w:rsidP="00FC79C1">
      <w:pPr>
        <w:spacing w:after="0" w:line="240" w:lineRule="auto"/>
        <w:jc w:val="both"/>
        <w:rPr>
          <w:rFonts w:ascii="Arial" w:eastAsia="Times New Roman" w:hAnsi="Arial" w:cs="Arial"/>
          <w:color w:val="000000"/>
          <w:lang w:eastAsia="es-CO"/>
        </w:rPr>
      </w:pPr>
    </w:p>
    <w:p w14:paraId="51E18AE1" w14:textId="1D140A22"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2.1.4.2.1.2. Sistema de registro de la matrícula de arrendadores. Las autoridades señaladas en el artículo primero del presente </w:t>
      </w:r>
      <w:proofErr w:type="gramStart"/>
      <w:r w:rsidRPr="009342F9">
        <w:rPr>
          <w:rFonts w:ascii="Arial" w:eastAsia="Times New Roman" w:hAnsi="Arial" w:cs="Arial"/>
          <w:color w:val="000000"/>
          <w:lang w:eastAsia="es-CO"/>
        </w:rPr>
        <w:t>capítulo,</w:t>
      </w:r>
      <w:proofErr w:type="gramEnd"/>
      <w:r w:rsidRPr="009342F9">
        <w:rPr>
          <w:rFonts w:ascii="Arial" w:eastAsia="Times New Roman" w:hAnsi="Arial" w:cs="Arial"/>
          <w:color w:val="000000"/>
          <w:lang w:eastAsia="es-CO"/>
        </w:rPr>
        <w:t xml:space="preserve"> deberán llevar en forma sistematizada un registro consolidado de las personas naturales o jurídicas que en cumplimiento de lo dispuesto en el artículo 28 de la Ley 820 de 2003 estén obligadas a matricularse como arrendadores. </w:t>
      </w:r>
    </w:p>
    <w:p w14:paraId="5499A96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604180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Surtido el trámite de matrícula e incorporada la información correspondiente en los registros de las autoridades competentes, estas deberán expedir un documento en el que se indique como mínimo, la identificación de la persona autorizada para ejercer las actividades, su domicilio y dirección, y el número de matrícula asignado. Dicho documento acreditará el cumplimiento de la obligación de matricularse como arrendador, </w:t>
      </w:r>
      <w:proofErr w:type="gramStart"/>
      <w:r w:rsidRPr="009342F9">
        <w:rPr>
          <w:rFonts w:ascii="Arial" w:eastAsia="Times New Roman" w:hAnsi="Arial" w:cs="Arial"/>
          <w:color w:val="000000"/>
          <w:lang w:eastAsia="es-CO"/>
        </w:rPr>
        <w:t>y</w:t>
      </w:r>
      <w:proofErr w:type="gramEnd"/>
      <w:r w:rsidRPr="009342F9">
        <w:rPr>
          <w:rFonts w:ascii="Arial" w:eastAsia="Times New Roman" w:hAnsi="Arial" w:cs="Arial"/>
          <w:color w:val="000000"/>
          <w:lang w:eastAsia="es-CO"/>
        </w:rPr>
        <w:t xml:space="preserve"> por ende, la habilitación de la persona natural o jurídica titular del registro para ejercer las actividades de arrendamiento de bienes raíces propios o de terceros destinados a vivienda urbana, o de aquellas que ejerzan la intermediación comercial entre arrendadores o arrendatarios de tal tipo de bienes. </w:t>
      </w:r>
    </w:p>
    <w:p w14:paraId="061A8EF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3EAC1E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1°. Los trámites relativos a la solicitud de matrícula de arrendador no generarán costos o erogaciones a cargo de los solicitantes. </w:t>
      </w:r>
    </w:p>
    <w:p w14:paraId="201E0C5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BCC59B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2°. Cualquier modificación en la información suministrada para efectos de matricularse como arrendador ante las autoridades competentes deberá ser reportada por el titular del registro a más tardar dentro de los quince (15) días hábiles siguientes a la fecha en que se produzca la novedad correspondiente. </w:t>
      </w:r>
    </w:p>
    <w:p w14:paraId="299BBCB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w:t>
      </w:r>
    </w:p>
    <w:p w14:paraId="56A2B70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3°. Las personas naturales o jurídicas de que trata el artículo 28 de la Ley 820 de 2003 deberán matricularse en todos los municipios del país en los que desarrollen sus actividades. </w:t>
      </w:r>
    </w:p>
    <w:p w14:paraId="05DDF67B" w14:textId="77777777" w:rsidR="00176ACC" w:rsidRDefault="00176ACC" w:rsidP="00FC79C1">
      <w:pPr>
        <w:spacing w:after="0" w:line="240" w:lineRule="auto"/>
        <w:jc w:val="both"/>
        <w:rPr>
          <w:rFonts w:ascii="Arial" w:eastAsia="Times New Roman" w:hAnsi="Arial" w:cs="Arial"/>
          <w:color w:val="000000"/>
          <w:lang w:eastAsia="es-CO"/>
        </w:rPr>
      </w:pPr>
    </w:p>
    <w:p w14:paraId="05FF5099" w14:textId="71091E5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2.1.4.2.1.3. Términos para la expedición de la matrícula de arrendador. Dentro de los ocho (8) días hábiles siguientes a la presentación por parte del interesado de la totalidad de la documentación señalada en el artículo 29 de la Ley 820 de 2003, las autoridades competentes deberán efectuar el registro de la matrícula de arrendador. En los eventos en que no se aporte la totalidad de los documentos requeridos para matricularse como arrendador, la autoridad competente requerirá por una sola vez al interesado para que complete o aclare la información suministrada según sea el caso. Dentro de los cinco días (5) siguientes a la entrega de la información complementaria requerida, la autoridad competente procederá a efectuar el registro correspondiente y a expedir la certificación a la que se hizo alusión en el inciso 2° del artículo 2° del presente capítulo, siempre que la información y documentación cumpla con los requisitos legales necesarios para acceder favorablemente a la solicitud. </w:t>
      </w:r>
    </w:p>
    <w:p w14:paraId="1868F934" w14:textId="77777777" w:rsidR="00176ACC" w:rsidRDefault="00176ACC" w:rsidP="00FC79C1">
      <w:pPr>
        <w:spacing w:after="0" w:line="240" w:lineRule="auto"/>
        <w:jc w:val="both"/>
        <w:rPr>
          <w:rFonts w:ascii="Arial" w:eastAsia="Times New Roman" w:hAnsi="Arial" w:cs="Arial"/>
          <w:color w:val="000000"/>
          <w:lang w:eastAsia="es-CO"/>
        </w:rPr>
      </w:pPr>
    </w:p>
    <w:p w14:paraId="2CB98FC0" w14:textId="55E6F59A"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2.1.4.2.1.4. Vigencia de la matrícula de arrendador. La matrícula se otorgará por una sola vez, tendrá vigencia por el término de un año y se renovará de manera automática cada año por la autoridad competente, sin necesidad de solicitud por parte del interesado. </w:t>
      </w:r>
    </w:p>
    <w:p w14:paraId="4A01F9E2" w14:textId="77777777" w:rsidR="00176ACC" w:rsidRDefault="00176ACC" w:rsidP="00FC79C1">
      <w:pPr>
        <w:spacing w:after="0" w:line="240" w:lineRule="auto"/>
        <w:jc w:val="both"/>
        <w:rPr>
          <w:rFonts w:ascii="Arial" w:eastAsia="Times New Roman" w:hAnsi="Arial" w:cs="Arial"/>
          <w:color w:val="000000"/>
          <w:lang w:eastAsia="es-CO"/>
        </w:rPr>
      </w:pPr>
    </w:p>
    <w:p w14:paraId="64FA8E9A" w14:textId="1690BF2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2.1.4.2.1.5. Suspensión o revocatoria de la matrícula de arrendador. Sin perjuicio de la imposición de la sanción de multa a la que se refiere el artículo 34 de la Ley 820 de 2003, las autoridades competentes podrán suspender o revocar la matrícula de arrendador, cuando las personas matriculadas incurran de manera reiterada en las conductas descritas en los numerales 2, 3, 4, 5 y 6 del artículo citado y demás normas que la adicionen, modifiquen o sustituyan. </w:t>
      </w:r>
    </w:p>
    <w:p w14:paraId="7BA34694" w14:textId="517843B9" w:rsidR="00FC79C1" w:rsidRDefault="00FC79C1" w:rsidP="00FC79C1">
      <w:pPr>
        <w:spacing w:after="0" w:line="240" w:lineRule="auto"/>
        <w:jc w:val="both"/>
        <w:rPr>
          <w:rFonts w:ascii="Arial" w:eastAsia="Times New Roman" w:hAnsi="Arial" w:cs="Arial"/>
          <w:color w:val="000000"/>
          <w:lang w:eastAsia="es-CO"/>
        </w:rPr>
      </w:pPr>
      <w:bookmarkStart w:id="773" w:name="ver_30072345"/>
      <w:bookmarkEnd w:id="773"/>
    </w:p>
    <w:p w14:paraId="41D7837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2.1.4.2.1.6. De la información pública. La información que repose en el registro de arrendadores relativa al otorgamiento, suspensión y/o revocación de la matrícula de arrendador será pública y el acceso a la misma será gratuito, en los términos y condiciones que definan las autoridades competentes. Será obligación de las entidades otorgantes de la matrícula de arrendador, velar por la oportuna y transparente divulgación de </w:t>
      </w:r>
      <w:proofErr w:type="gramStart"/>
      <w:r w:rsidRPr="009342F9">
        <w:rPr>
          <w:rFonts w:ascii="Arial" w:eastAsia="Times New Roman" w:hAnsi="Arial" w:cs="Arial"/>
          <w:color w:val="000000"/>
          <w:lang w:eastAsia="es-CO"/>
        </w:rPr>
        <w:t>la misma</w:t>
      </w:r>
      <w:proofErr w:type="gramEnd"/>
      <w:r w:rsidRPr="009342F9">
        <w:rPr>
          <w:rFonts w:ascii="Arial" w:eastAsia="Times New Roman" w:hAnsi="Arial" w:cs="Arial"/>
          <w:color w:val="000000"/>
          <w:lang w:eastAsia="es-CO"/>
        </w:rPr>
        <w:t>. </w:t>
      </w:r>
    </w:p>
    <w:p w14:paraId="105AD859" w14:textId="4E1B65DD" w:rsidR="00FC79C1" w:rsidRPr="009342F9" w:rsidRDefault="00FC79C1" w:rsidP="00176ACC">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82A9525" w14:textId="77777777" w:rsidR="00FC79C1" w:rsidRPr="009342F9" w:rsidRDefault="00FC79C1" w:rsidP="00683694">
      <w:pPr>
        <w:spacing w:after="0" w:line="240" w:lineRule="auto"/>
        <w:jc w:val="center"/>
        <w:rPr>
          <w:rFonts w:ascii="Arial" w:eastAsia="Times New Roman" w:hAnsi="Arial" w:cs="Arial"/>
          <w:b/>
          <w:bCs/>
          <w:color w:val="000000"/>
          <w:lang w:eastAsia="es-CO"/>
        </w:rPr>
      </w:pPr>
      <w:bookmarkStart w:id="774" w:name="ver_30072346"/>
      <w:bookmarkEnd w:id="774"/>
      <w:r w:rsidRPr="009342F9">
        <w:rPr>
          <w:rFonts w:ascii="Arial" w:eastAsia="Times New Roman" w:hAnsi="Arial" w:cs="Arial"/>
          <w:b/>
          <w:bCs/>
          <w:color w:val="000000"/>
          <w:lang w:eastAsia="es-CO"/>
        </w:rPr>
        <w:t>SECCIÓN 2</w:t>
      </w:r>
    </w:p>
    <w:p w14:paraId="64A85281" w14:textId="77777777" w:rsidR="00FC79C1" w:rsidRPr="009342F9" w:rsidRDefault="00FC79C1" w:rsidP="00683694">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DE LA INSPECCIÓN, VIGILANCIA Y CONTROL SOBRE LAS PERSONAS QUE EJERCEN ACTIVIDADES DE ARRENDAMIENTO DE BIENES RAÍCES PARA VIVIENDA URBANA</w:t>
      </w:r>
    </w:p>
    <w:p w14:paraId="28720332"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775" w:name="ver_30072463"/>
      <w:bookmarkEnd w:id="775"/>
    </w:p>
    <w:p w14:paraId="38F150F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2.1.4.2.2.1. De la inspección, vigilancia y control. Las personas señaladas en el artículo 28 de la Ley 820 de 2003 deberán emplear la debida diligencia en la prestación de los servicios a sus usuarios a fin de que estos reciban la atención debida en el desarrollo de las relaciones contractuales que se establezcan con aquellas y, en general, en el desenvolvimiento normal de sus operaciones. Para efectos de lo anterior, la Alcaldía Mayor de Bogotá D. C., la Gobernación del Departamento Archipiélago de San Andrés y Providencia y Santa Catalina, las alcaldías municipales y distritales podrán establecer sistemas de inspección, vigilancia y control dirigidos a: </w:t>
      </w:r>
    </w:p>
    <w:p w14:paraId="1CBB9EE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4CB938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1. Adelantar con prontitud y celeridad las averiguaciones e investigaciones que, de oficio o a petición de parte, fuere necesario llevar a cabo con el fin de verificar posibles irregularidades en el ejercicio de las actividades relacionadas con el arrendamiento de vivienda urbana o el incumplimiento de las obligaciones adquiridas en virtud de </w:t>
      </w:r>
      <w:proofErr w:type="gramStart"/>
      <w:r w:rsidRPr="009342F9">
        <w:rPr>
          <w:rFonts w:ascii="Arial" w:eastAsia="Times New Roman" w:hAnsi="Arial" w:cs="Arial"/>
          <w:color w:val="000000"/>
          <w:lang w:eastAsia="es-CO"/>
        </w:rPr>
        <w:t>las mismas</w:t>
      </w:r>
      <w:proofErr w:type="gramEnd"/>
      <w:r w:rsidRPr="009342F9">
        <w:rPr>
          <w:rFonts w:ascii="Arial" w:eastAsia="Times New Roman" w:hAnsi="Arial" w:cs="Arial"/>
          <w:color w:val="000000"/>
          <w:lang w:eastAsia="es-CO"/>
        </w:rPr>
        <w:t>. En virtud de lo anterior, podrán realizar visitas de inspección que les permitan recabar la información necesaria para desarrollar las funciones a su cargo. </w:t>
      </w:r>
    </w:p>
    <w:p w14:paraId="70E68D4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w:t>
      </w:r>
    </w:p>
    <w:p w14:paraId="57C7FA8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Velar porque las personas objeto de la inspección, vigilancia y control suministren a los usuarios de sus servicios y/o a sus contratantes, en forma clara y transparente, la información que les permita escoger las mejores alternativas y condiciones del mercado, y les facilite el conocimiento permanente de la ejecución de los contratos que suscriban. </w:t>
      </w:r>
    </w:p>
    <w:p w14:paraId="2DE3A79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1A1712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3. Efectuar un permanente y efectivo control del contenido de la publicidad de los bienes y servicios que prestan las personas señaladas en el artículo 28 de la Ley 820 de 2003, y de aquella que utilicen los demás oferentes de inmuebles para arrendamiento en el mercado, a fin de que la misma se ajuste a la realidad técnica, financiera y jurídica del servicio y bienes promovidos y a la normatividad vigente aplicable a la materia. El número de la matrícula de arrendador deberá figurar en todos los anuncios, avisos, o cualquier material publicitario que para anunciar sus servicios publiquen las personas señaladas en el artículo 28 de la Ley 820 de 2003 en cualquier medio de comunicación, así como también en la totalidad de la documentación relacionada con las actividades precontractuales y contractuales que se utilice en desarrollo de </w:t>
      </w:r>
      <w:proofErr w:type="gramStart"/>
      <w:r w:rsidRPr="009342F9">
        <w:rPr>
          <w:rFonts w:ascii="Arial" w:eastAsia="Times New Roman" w:hAnsi="Arial" w:cs="Arial"/>
          <w:color w:val="000000"/>
          <w:lang w:eastAsia="es-CO"/>
        </w:rPr>
        <w:t>las mismas</w:t>
      </w:r>
      <w:proofErr w:type="gramEnd"/>
      <w:r w:rsidRPr="009342F9">
        <w:rPr>
          <w:rFonts w:ascii="Arial" w:eastAsia="Times New Roman" w:hAnsi="Arial" w:cs="Arial"/>
          <w:color w:val="000000"/>
          <w:lang w:eastAsia="es-CO"/>
        </w:rPr>
        <w:t>. </w:t>
      </w:r>
    </w:p>
    <w:p w14:paraId="797E8D1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6F8178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4. Garantizar que los contratos de arrendamiento de inmuebles destinados a vivienda </w:t>
      </w:r>
      <w:proofErr w:type="gramStart"/>
      <w:r w:rsidRPr="009342F9">
        <w:rPr>
          <w:rFonts w:ascii="Arial" w:eastAsia="Times New Roman" w:hAnsi="Arial" w:cs="Arial"/>
          <w:color w:val="000000"/>
          <w:lang w:eastAsia="es-CO"/>
        </w:rPr>
        <w:t>urbana,</w:t>
      </w:r>
      <w:proofErr w:type="gramEnd"/>
      <w:r w:rsidRPr="009342F9">
        <w:rPr>
          <w:rFonts w:ascii="Arial" w:eastAsia="Times New Roman" w:hAnsi="Arial" w:cs="Arial"/>
          <w:color w:val="000000"/>
          <w:lang w:eastAsia="es-CO"/>
        </w:rPr>
        <w:t xml:space="preserve"> se celebren bajo condiciones que se adecuen integralmente a lo dispuesto en la Ley 820 de 2003 y demás normas que la adicionen o desarrollen. Así mismo, velar por que los contratos de administración de inmuebles para arrendamiento de vivienda urbana suscritos entre los propietarios y las personas dedicadas a la administración de los bienes con los propósitos indicados en la citada ley contemplen con precisión y claridad las obligaciones de las partes. Sobre el particular, deberá hacerse especial énfasis en aspectos relacionados con las obligaciones adquiridas en materias, tales como forma de pago y valor de la remuneración por los servicios prestados, conservación de los inmuebles y la verificación sobre el cumplimiento de las estipulaciones contenidas en los reglamentos de propiedad horizontal cuando fuere el caso, y actividades a cargo del administrador frente a las personas con quien se celebren los contratos de arrendamiento de los bienes respectivos. </w:t>
      </w:r>
    </w:p>
    <w:p w14:paraId="76AB844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CFDDF9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 Establecer y divulgar los procedimientos necesarios para presentar reclamaciones relacionadas con lo dispuesto en los numerales 1, 2, 3, 4, 5 y 6 del literal a) del artículo 33 de la Ley 820 de 2003. </w:t>
      </w:r>
    </w:p>
    <w:p w14:paraId="2277C1B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74FF1E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6. Establecer esquemas de divulgación que permitan conocer de manera clara y oportuna las sanciones establecidas a las personas sujetas a la inspección, vigilancia, y control por parte autoridades competentes. </w:t>
      </w:r>
    </w:p>
    <w:p w14:paraId="01003C5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118383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7. Recopilar con la periodicidad y en los términos que las autoridades competentes establezcan, información proveniente de las personas señaladas en el artículo 28 de la Ley 820 de 2003 que entre otros aspectos incluya aquella atinente al tipo de bienes, precio promedio de los cánones de arrendamiento según su estratificación y ubicación, y número de contratos vigentes de arrendamiento y de administración para arriendo de inmuebles de vivienda urbana. </w:t>
      </w:r>
    </w:p>
    <w:p w14:paraId="19306E1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1FB655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De conformidad con lo establecido en el literal b) del artículo 29 de la Ley 820 de 2003, las autoridades competentes deberán verificar que las personas señaladas en el artículo 28 de la Ley 820 de 2003 se abstengan de convenir con sus usuarios y/o contratantes cláusulas que por su carácter exorbitante puedan afectar el equilibrio contractual o impliquen erogaciones excesivas para acceder a los servicios ofrecidos. </w:t>
      </w:r>
    </w:p>
    <w:p w14:paraId="2F0121BB" w14:textId="77777777" w:rsidR="00176ACC" w:rsidRDefault="00176ACC" w:rsidP="00683694">
      <w:pPr>
        <w:spacing w:after="0" w:line="240" w:lineRule="auto"/>
        <w:jc w:val="center"/>
        <w:rPr>
          <w:rFonts w:ascii="Arial" w:eastAsia="Times New Roman" w:hAnsi="Arial" w:cs="Arial"/>
          <w:b/>
          <w:bCs/>
          <w:color w:val="000000"/>
          <w:lang w:eastAsia="es-CO"/>
        </w:rPr>
      </w:pPr>
      <w:bookmarkStart w:id="776" w:name="ver_30072464"/>
      <w:bookmarkEnd w:id="776"/>
    </w:p>
    <w:p w14:paraId="13729C6D" w14:textId="44B35643" w:rsidR="00FC79C1" w:rsidRPr="009342F9" w:rsidRDefault="00FC79C1" w:rsidP="00683694">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CAPÍTULO 3</w:t>
      </w:r>
    </w:p>
    <w:p w14:paraId="2EE7CE1A" w14:textId="77777777" w:rsidR="00FC79C1" w:rsidRPr="009342F9" w:rsidRDefault="00FC79C1" w:rsidP="00683694">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SOCIEDADES ESPECIALIZADAS DE ARRENDAMIENTO</w:t>
      </w:r>
    </w:p>
    <w:p w14:paraId="0DDA8062"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777" w:name="ver_30072465"/>
      <w:bookmarkEnd w:id="777"/>
    </w:p>
    <w:p w14:paraId="127BE74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2.1.4.3.1. Definiciones. Para los efectos del presente capítulo se entenderá por: </w:t>
      </w:r>
    </w:p>
    <w:p w14:paraId="366440B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F12C57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Sociedades especializadas en arriendo. Son aquellas creadas conforme a lo dispuesto en el Código de Comercio, y cuyo objeto social único es el arrendamiento de bienes inmuebles destinados o no a vivienda, construidos y/o adquiridos por dichas sociedades. Las sociedades especializadas en arriendo deberán añadir a su denominación social la expresión sociedad especializada en arriendo o la sigla “SEA”. </w:t>
      </w:r>
    </w:p>
    <w:p w14:paraId="4E2DD65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F84DAB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Vivienda urbana. Inmueble ubicado dentro del perímetro urbano y destinado a usos habitacionales, todo ello de conformidad con la definición de usos urbanos establecida en el Plan de Ordenamiento Territorial de cada municipio y/o en los instrumentos que lo desarrollen y complementen. </w:t>
      </w:r>
    </w:p>
    <w:p w14:paraId="36C6814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85A7DD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Vivienda de Interés Social, VIS. Aquella vivienda urbana cuyo valor, conforme a lo dispuesto en el artículo 2.1.4.3.5 del presente capítulo, es inferior o igual al límite de precio establecido por la Ley para este tipo de viviendas. </w:t>
      </w:r>
    </w:p>
    <w:p w14:paraId="429ACDB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7D3B8A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Vivienda de Interés Social Nueva. Es aquella vivienda de interés social cuya licencia de construcción ha sido expedida con posterioridad al 10 de julio de 2003. </w:t>
      </w:r>
    </w:p>
    <w:p w14:paraId="4B6BAB02" w14:textId="6D60D026" w:rsidR="00FC79C1" w:rsidRDefault="00FC79C1" w:rsidP="00FC79C1">
      <w:pPr>
        <w:spacing w:after="0" w:line="240" w:lineRule="auto"/>
        <w:jc w:val="both"/>
        <w:rPr>
          <w:rFonts w:ascii="Arial" w:eastAsia="Times New Roman" w:hAnsi="Arial" w:cs="Arial"/>
          <w:color w:val="000000"/>
          <w:lang w:eastAsia="es-CO"/>
        </w:rPr>
      </w:pPr>
      <w:bookmarkStart w:id="778" w:name="ver_30072466"/>
      <w:bookmarkEnd w:id="778"/>
    </w:p>
    <w:p w14:paraId="7C8C4AA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2.1.4.3.2. Activos en los que puede invertir las sociedades especializadas en arriendo. Las sociedades especializadas en arriendo deberán concentrar sus inversiones en activos correspondientes a vivienda urbana, a bienes inmuebles diferentes a vivienda, y a aquellos otros necesarios para el desarrollo de la actividad constructora. </w:t>
      </w:r>
    </w:p>
    <w:p w14:paraId="5E11ECF6" w14:textId="037401E8"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779" w:name="ver_30072467"/>
      <w:bookmarkEnd w:id="779"/>
    </w:p>
    <w:p w14:paraId="70BC79F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2.1.4.3.3. Revelación de información. Adicional a los requisitos exigidos en la ley y en los estatutos sociales, los informes de gestión rendidos por la alta gerencia de las sociedades especializadas en arriendo a su máximo órgano social al final de cada </w:t>
      </w:r>
      <w:proofErr w:type="gramStart"/>
      <w:r w:rsidRPr="009342F9">
        <w:rPr>
          <w:rFonts w:ascii="Arial" w:eastAsia="Times New Roman" w:hAnsi="Arial" w:cs="Arial"/>
          <w:color w:val="000000"/>
          <w:lang w:eastAsia="es-CO"/>
        </w:rPr>
        <w:t>ejercicio,</w:t>
      </w:r>
      <w:proofErr w:type="gramEnd"/>
      <w:r w:rsidRPr="009342F9">
        <w:rPr>
          <w:rFonts w:ascii="Arial" w:eastAsia="Times New Roman" w:hAnsi="Arial" w:cs="Arial"/>
          <w:color w:val="000000"/>
          <w:lang w:eastAsia="es-CO"/>
        </w:rPr>
        <w:t xml:space="preserve"> deberán contener una clara enumeración de los inmuebles poseídos al inicio, durante y al final del ejercicio, incluyendo localización, destinación, área y fecha de adquisición. También incluirán para cada inmueble el valor actualizado, el nombre del agente especializado que practicó el avalúo y los ingresos brutos producidos por concepto de cánones de arriendo. Estos listados de inmuebles deberán clasificarse por categorías VIS, Viviendas no VIS, y uso comercial. </w:t>
      </w:r>
    </w:p>
    <w:p w14:paraId="5D6015E2"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780" w:name="ver_30072468"/>
      <w:bookmarkEnd w:id="780"/>
    </w:p>
    <w:p w14:paraId="4A34672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2.1.4.3.4. Rentas exentas de las sociedades especializadas en arriendo. De conformidad con lo dispuesto en el inciso 1° y en el parágrafo del artículo 41 de la Ley 820 de 2003, están exentas del impuesto sobre la renta los ingresos que perciban las sociedades especializadas en arriendo, por concepto de cánones de arrendamiento de vivienda de interés social urbana nueva de su propiedad. </w:t>
      </w:r>
    </w:p>
    <w:p w14:paraId="57670EA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7A9E65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 exención a que se refiere este artículo operará respecto de los cánones de arrendamiento de vivienda de interés social nueva que perciban durante los diez (10) años siguientes a la construcción de dichas viviendas. </w:t>
      </w:r>
    </w:p>
    <w:p w14:paraId="61D6F057"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781" w:name="ver_30072470"/>
      <w:bookmarkEnd w:id="781"/>
    </w:p>
    <w:p w14:paraId="0DCF252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2.1.4.3.5. Determinación del valor de la Vivienda de Interés Social. Para efectos de determinar si un bien inmueble corresponde a Vivienda de Interés Social, </w:t>
      </w:r>
      <w:proofErr w:type="gramStart"/>
      <w:r w:rsidRPr="009342F9">
        <w:rPr>
          <w:rFonts w:ascii="Arial" w:eastAsia="Times New Roman" w:hAnsi="Arial" w:cs="Arial"/>
          <w:color w:val="000000"/>
          <w:lang w:eastAsia="es-CO"/>
        </w:rPr>
        <w:t>y</w:t>
      </w:r>
      <w:proofErr w:type="gramEnd"/>
      <w:r w:rsidRPr="009342F9">
        <w:rPr>
          <w:rFonts w:ascii="Arial" w:eastAsia="Times New Roman" w:hAnsi="Arial" w:cs="Arial"/>
          <w:color w:val="000000"/>
          <w:lang w:eastAsia="es-CO"/>
        </w:rPr>
        <w:t xml:space="preserve"> por ende, si es procedente la exención de que trata el artículo 41 de la Ley 820 de 2003 en cabeza de las sociedades especializadas en arriendo, el valor de las viviendas se determinará así: </w:t>
      </w:r>
    </w:p>
    <w:p w14:paraId="5ED02F9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3BD999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1. Cuando la sociedad adquiere la vivienda: El valor del inmueble será igual al precio estipulado en la respectiva escritura pública de adquisición. </w:t>
      </w:r>
    </w:p>
    <w:p w14:paraId="4BB99CA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ABC97D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2. Cuando la sociedad construye la vivienda: El valor del inmueble deberá ser determinado por un perito </w:t>
      </w:r>
      <w:proofErr w:type="spellStart"/>
      <w:r w:rsidRPr="009342F9">
        <w:rPr>
          <w:rFonts w:ascii="Arial" w:eastAsia="Times New Roman" w:hAnsi="Arial" w:cs="Arial"/>
          <w:color w:val="000000"/>
          <w:lang w:eastAsia="es-CO"/>
        </w:rPr>
        <w:t>avaluador</w:t>
      </w:r>
      <w:proofErr w:type="spellEnd"/>
      <w:r w:rsidRPr="009342F9">
        <w:rPr>
          <w:rFonts w:ascii="Arial" w:eastAsia="Times New Roman" w:hAnsi="Arial" w:cs="Arial"/>
          <w:color w:val="000000"/>
          <w:lang w:eastAsia="es-CO"/>
        </w:rPr>
        <w:t xml:space="preserve"> inscrito en el Registro Nacional de </w:t>
      </w:r>
      <w:proofErr w:type="spellStart"/>
      <w:r w:rsidRPr="009342F9">
        <w:rPr>
          <w:rFonts w:ascii="Arial" w:eastAsia="Times New Roman" w:hAnsi="Arial" w:cs="Arial"/>
          <w:color w:val="000000"/>
          <w:lang w:eastAsia="es-CO"/>
        </w:rPr>
        <w:t>Avaluadores</w:t>
      </w:r>
      <w:proofErr w:type="spellEnd"/>
      <w:r w:rsidRPr="009342F9">
        <w:rPr>
          <w:rFonts w:ascii="Arial" w:eastAsia="Times New Roman" w:hAnsi="Arial" w:cs="Arial"/>
          <w:color w:val="000000"/>
          <w:lang w:eastAsia="es-CO"/>
        </w:rPr>
        <w:t xml:space="preserve">. En tales casos el perito, además de practicar el avalúo del inmueble, deberá certificar que el mismo es inferior al precio máximo legal de la Vivienda de Interés Social vigente al momento de realizar el respectivo </w:t>
      </w:r>
      <w:proofErr w:type="spellStart"/>
      <w:r w:rsidRPr="009342F9">
        <w:rPr>
          <w:rFonts w:ascii="Arial" w:eastAsia="Times New Roman" w:hAnsi="Arial" w:cs="Arial"/>
          <w:color w:val="000000"/>
          <w:lang w:eastAsia="es-CO"/>
        </w:rPr>
        <w:t>peritazgo</w:t>
      </w:r>
      <w:proofErr w:type="spellEnd"/>
      <w:r w:rsidRPr="009342F9">
        <w:rPr>
          <w:rFonts w:ascii="Arial" w:eastAsia="Times New Roman" w:hAnsi="Arial" w:cs="Arial"/>
          <w:color w:val="000000"/>
          <w:lang w:eastAsia="es-CO"/>
        </w:rPr>
        <w:t>. </w:t>
      </w:r>
    </w:p>
    <w:p w14:paraId="201A5B7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E33B2D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La condición de Vivienda de Interés Social de una unidad habitacional particular no se alterará por cambios en su valor comercial originados en valorizaciones posteriores del inmueble, o por la variación de la normatividad que defina este tipo de vivienda. </w:t>
      </w:r>
    </w:p>
    <w:p w14:paraId="3BCD038A"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782" w:name="ver_30072472"/>
      <w:bookmarkEnd w:id="782"/>
    </w:p>
    <w:p w14:paraId="430D880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2.1.4.3.6. Requisitos. Para la procedencia de la exención de que trata el artículo anterior, la sociedad especializada en arriendo deberá cumplir con los siguientes requisitos:  </w:t>
      </w:r>
    </w:p>
    <w:p w14:paraId="7928EFB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280A0D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Llevar en su contabilidad cuentas separadas tanto de los activos como de los ingresos por concepto de cánones de arrendamiento de vivienda de interés social nueva que da lugar a la exención, frente a los demás ingresos que perciba en el correspondiente período fiscal. </w:t>
      </w:r>
    </w:p>
    <w:p w14:paraId="0BA7007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0CAB7F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Presentar, cuando la Dirección de Impuestos y Aduanas Nacionales lo exija, certificación suscrita por el representante legal y por el revisor fiscal y/o contador público de la sociedad, según corresponda, en la que conste: </w:t>
      </w:r>
    </w:p>
    <w:p w14:paraId="1BFF6E0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12D7F8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 Monto de la inversión realizada en la adquisición de vivienda urbana de interés social nueva, en el respectivo año gravable; </w:t>
      </w:r>
    </w:p>
    <w:p w14:paraId="398133B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CAA6BC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b) Precio de las viviendas de interés social nuevas en la fecha de su adquisición y/o valor a la fecha de terminación de su construcción, y manifestación expresa de que dicho valor era igual o inferior al precio máximo establecido para este tipo de viviendas en el artículo 104 de la Ley 812 de 2003, o en las disposiciones legales que lo modifiquen; </w:t>
      </w:r>
    </w:p>
    <w:p w14:paraId="20F622F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DA7230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 Monto total de los cánones percibidos por la sociedad en el respectivo período fiscal, originados en viviendas de interés social nuevas; </w:t>
      </w:r>
    </w:p>
    <w:p w14:paraId="2FF6EB0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EA43E1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d) Monto total acumulado de las inversiones en adquisición de viviendas de interés social nuevas, cuyos cánones de arrendamiento tienen derecho a la exención; </w:t>
      </w:r>
    </w:p>
    <w:p w14:paraId="6DEE050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F443BE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 Relación de las viviendas de las cuales provienen los ingresos relativos a las rentas objeto de la exención, que contenga: lugar de ubicación, número y fecha de la licencia de construcción, matrícula inmobiliaria e identificación de la Notaría, Círculo Notarial, número y fecha de escritura de compraventa. </w:t>
      </w:r>
    </w:p>
    <w:p w14:paraId="57BBF77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1129B6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Presentar, cuando la Dirección de Impuestos y Aduanas Nacionales lo exija, la escritura pública cuyo registro dio origen a la matrícula inmobiliaria y cédula catastral de la nueva unidad individual de vivienda adquirida por la sociedad. La fecha de otorgamiento de esta escritura se tendrá como fecha de inicio de los diez (10) años en los cuales opera el beneficio a que se refiere el artículo 41 de la Ley 820 de 2003. </w:t>
      </w:r>
    </w:p>
    <w:p w14:paraId="21E0973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015AF76" w14:textId="77777777" w:rsidR="00FC79C1" w:rsidRPr="009342F9" w:rsidRDefault="00FC79C1" w:rsidP="00FC79C1">
      <w:pPr>
        <w:spacing w:after="0" w:line="240" w:lineRule="auto"/>
        <w:jc w:val="both"/>
        <w:rPr>
          <w:rFonts w:ascii="Arial" w:eastAsia="Times New Roman" w:hAnsi="Arial" w:cs="Arial"/>
          <w:color w:val="000000"/>
          <w:lang w:eastAsia="es-CO"/>
        </w:rPr>
      </w:pPr>
      <w:r w:rsidRPr="231E957E">
        <w:rPr>
          <w:rFonts w:ascii="Arial" w:eastAsia="Times New Roman" w:hAnsi="Arial" w:cs="Arial"/>
          <w:color w:val="000000" w:themeColor="text1"/>
          <w:lang w:eastAsia="es-CO"/>
        </w:rPr>
        <w:t xml:space="preserve">4. Presentar cuando la Dirección de Impuestos y Aduanas Nacionales lo exija, Certificación ex pedida por el constructor y el interventor de obra, relacionada con la fecha de terminación de la </w:t>
      </w:r>
      <w:r w:rsidRPr="231E957E">
        <w:rPr>
          <w:rFonts w:ascii="Arial" w:eastAsia="Times New Roman" w:hAnsi="Arial" w:cs="Arial"/>
          <w:color w:val="000000" w:themeColor="text1"/>
          <w:lang w:eastAsia="es-CO"/>
        </w:rPr>
        <w:lastRenderedPageBreak/>
        <w:t>construcción de cada una de las viviendas de interés social nuevas construidas por la Sociedad Especializada en Arriendo, cuyos cánones de arrendamiento sean objeto de la exención. </w:t>
      </w:r>
    </w:p>
    <w:p w14:paraId="7D2B28AD" w14:textId="77777777" w:rsidR="006A76D3" w:rsidRPr="009342F9" w:rsidRDefault="006A76D3" w:rsidP="00FC79C1">
      <w:pPr>
        <w:spacing w:after="0" w:line="240" w:lineRule="auto"/>
        <w:jc w:val="both"/>
        <w:rPr>
          <w:rFonts w:ascii="Arial" w:eastAsia="Times New Roman" w:hAnsi="Arial" w:cs="Arial"/>
          <w:color w:val="000000"/>
          <w:lang w:eastAsia="es-CO"/>
        </w:rPr>
      </w:pPr>
      <w:bookmarkStart w:id="783" w:name="ver_30072474"/>
      <w:bookmarkEnd w:id="783"/>
    </w:p>
    <w:p w14:paraId="2267636B" w14:textId="7CD24F5A" w:rsidR="00FC79C1" w:rsidRPr="009342F9" w:rsidRDefault="00FC79C1" w:rsidP="00683694">
      <w:pPr>
        <w:spacing w:after="0" w:line="240" w:lineRule="auto"/>
        <w:jc w:val="center"/>
        <w:rPr>
          <w:rFonts w:ascii="Arial" w:eastAsia="Times New Roman" w:hAnsi="Arial" w:cs="Arial"/>
          <w:b/>
          <w:bCs/>
          <w:color w:val="000000"/>
          <w:lang w:eastAsia="es-CO"/>
        </w:rPr>
      </w:pPr>
      <w:r w:rsidRPr="231E957E">
        <w:rPr>
          <w:rFonts w:ascii="Arial" w:eastAsia="Times New Roman" w:hAnsi="Arial" w:cs="Arial"/>
          <w:b/>
          <w:color w:val="000000" w:themeColor="text1"/>
          <w:lang w:eastAsia="es-CO"/>
        </w:rPr>
        <w:t>CAPÍTULO 4</w:t>
      </w:r>
    </w:p>
    <w:p w14:paraId="735DB96A" w14:textId="77777777" w:rsidR="00FC79C1" w:rsidRDefault="00FC79C1" w:rsidP="00683694">
      <w:pPr>
        <w:spacing w:after="0" w:line="240" w:lineRule="auto"/>
        <w:jc w:val="center"/>
        <w:rPr>
          <w:rFonts w:ascii="Arial" w:eastAsia="Times New Roman" w:hAnsi="Arial" w:cs="Arial"/>
          <w:b/>
          <w:bCs/>
          <w:color w:val="000000"/>
          <w:lang w:eastAsia="es-CO"/>
        </w:rPr>
      </w:pPr>
      <w:r w:rsidRPr="231E957E">
        <w:rPr>
          <w:rFonts w:ascii="Arial" w:eastAsia="Times New Roman" w:hAnsi="Arial" w:cs="Arial"/>
          <w:b/>
          <w:color w:val="000000" w:themeColor="text1"/>
          <w:lang w:eastAsia="es-CO"/>
        </w:rPr>
        <w:t>FONDOS DE INVERSIÓN INMOBILIARIA</w:t>
      </w:r>
    </w:p>
    <w:p w14:paraId="7A6B095A" w14:textId="77777777" w:rsidR="007C7D44" w:rsidRPr="009342F9" w:rsidRDefault="007C7D44" w:rsidP="00683694">
      <w:pPr>
        <w:spacing w:after="0" w:line="240" w:lineRule="auto"/>
        <w:jc w:val="center"/>
        <w:rPr>
          <w:rFonts w:ascii="Arial" w:eastAsia="Times New Roman" w:hAnsi="Arial" w:cs="Arial"/>
          <w:b/>
          <w:bCs/>
          <w:color w:val="000000"/>
          <w:lang w:eastAsia="es-CO"/>
        </w:rPr>
      </w:pPr>
    </w:p>
    <w:p w14:paraId="6D9F0487" w14:textId="77777777" w:rsidR="00FC79C1" w:rsidRPr="009342F9" w:rsidRDefault="00FC79C1" w:rsidP="00683694">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SECCIÓN 1</w:t>
      </w:r>
    </w:p>
    <w:p w14:paraId="087D93FA" w14:textId="77777777" w:rsidR="00FC79C1" w:rsidRPr="009342F9" w:rsidRDefault="00FC79C1" w:rsidP="00683694">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ASPECTOS GENERALES</w:t>
      </w:r>
    </w:p>
    <w:p w14:paraId="54A284B5"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784" w:name="ver_30072475"/>
      <w:bookmarkEnd w:id="784"/>
    </w:p>
    <w:p w14:paraId="79C9F80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2.1.4.4.1.1. Definiciones. Para los efectos del presente capítulo se entenderá por: </w:t>
      </w:r>
    </w:p>
    <w:p w14:paraId="543C3FE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66CD01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Fondos de inversión inmobiliaria. Son aquellos administrados por sociedades administradoras de inversión y los fondos comunes especiales administrados por sociedades fiduciarias, cuyo objeto sea la inversión en inmuebles conforme lo establece el artículo 41 de la Ley 820 de 2003. Los fondos que tengan este objeto y que inviertan en bienes inmuebles como mínimo un sesenta por ciento (60%) del valor del fondo, estarán cobijados por el régimen y los beneficios establecidos en el presente capítulo. </w:t>
      </w:r>
    </w:p>
    <w:p w14:paraId="37780BA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362C9F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Dichos fondos deberán adicionar y anteceder a su denominación legal la expresión “Fondo de Inversión Inmobiliaria” o la sigla “FINMO”. </w:t>
      </w:r>
    </w:p>
    <w:p w14:paraId="4FEB2EE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C73E8E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Fondos de inversión inmobiliaria abiertos con pacto de permanencia. Son aquellos en los cuales procede el retiro de aportes o la redención de derechos antes de la terminación del plazo previsto para la duración del fondo, sin perjuicio del cobro de las penalizaciones previstas en los contratos de vinculación al fondo. </w:t>
      </w:r>
    </w:p>
    <w:p w14:paraId="55BBBA1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DDEF71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Fondos de inversión inmobiliaria cerrados. Son aquellos en los que el contrato de vinculación al fondo solo permite a los inversionistas retirar sus aportes al final del plazo previsto para la duración del correspondiente fondo. </w:t>
      </w:r>
    </w:p>
    <w:p w14:paraId="0DB94AE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87B3FD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Inversionistas. Los constituyentes, adherentes, suscriptores o partícipes de los fondos de inversión inmobiliaria. </w:t>
      </w:r>
    </w:p>
    <w:p w14:paraId="4B4CA5E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685220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 Vivienda urbana. Inmueble ubicado dentro del perímetro urbano y destinado a usos habitacionales, todo ello de conformidad con la definición de usos urbanos establecida en el Plan de Ordenamiento Territorial de cada municipio y/o en los instrumentos que lo desarrollen y complementen. </w:t>
      </w:r>
    </w:p>
    <w:p w14:paraId="4C77263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2028E6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6. Vivienda de interés social. Aquella vivienda urbana que tiene un valor de adquisición para el fondo de Inversión Inmobiliaria, al momento de su ingreso al mismo, inferior o igual al límite de precio establecido por la ley para este tipo de viviendas. Para efectos de la aplicación de la exención de que trata el artículo 41 de la Ley 820 de 2003, la condición de vivienda de interés social no se alterará por cambios en su valor futuro, originados en valorizaciones o variación en la normatividad que defina este tipo de vivienda. </w:t>
      </w:r>
    </w:p>
    <w:p w14:paraId="071E17F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88AB6C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7°. Vivienda de interés social nueva. Es aquella Vivienda de Interés Social cuya licencia de construcción haya sido expedida con posterioridad al 10 de julio de 2003. </w:t>
      </w:r>
    </w:p>
    <w:p w14:paraId="6C91B0E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C3D516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El porcentaje mínimo al que se refiere el numeral 1 del presente artículo no aplicará durante el primer año de operación del fondo. </w:t>
      </w:r>
    </w:p>
    <w:p w14:paraId="1B101482"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785" w:name="ver_30072476"/>
      <w:bookmarkEnd w:id="785"/>
    </w:p>
    <w:p w14:paraId="52EF82E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Artículo 2.1.4.4.1.2. Activos en los que puede invertir el fondo. Sin perjuicio de las inversiones obligatorias previstas en la ley, los fondos de inversión inmobiliaria podrán invertir exclusivamente en las siguientes clases de activos: </w:t>
      </w:r>
    </w:p>
    <w:p w14:paraId="497D192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F39D89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Clase 1. Vivienda urbana. </w:t>
      </w:r>
    </w:p>
    <w:p w14:paraId="4936C4E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52D175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Clase 2. Bienes inmuebles destinados a actividades comerciales. </w:t>
      </w:r>
    </w:p>
    <w:p w14:paraId="3DE5C97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36D9D3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Clase 3. Títulos emitidos en procesos de titularización hipotecaria o inmobiliaria que cuenten con una calificación mínima de “A” y los derechos fiduciarios de patrimonios autónomos conformados por activos Clase 1 y 2. </w:t>
      </w:r>
    </w:p>
    <w:p w14:paraId="0F34099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A5FABF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Clase 4. Depósitos en fondos comunes ordinarios, fondos de valores abiertos y fondos de inversión abiertos, operaciones de liquidez, títulos de contenido crediticio inscritos en el Registro Nacional de Valores e Intermediarios que cuenten con una calificación mínima de “A”. En todo caso, el vencimiento, contado a partir de la adquisición de los títulos, deberá ser inferior a un (1) año. </w:t>
      </w:r>
    </w:p>
    <w:p w14:paraId="2354BD4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4ED4BF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1°. Los fondos podrán realizar operaciones de liquidez sobre valores comprendidos dentro de los activos Clases 3 y 4. </w:t>
      </w:r>
    </w:p>
    <w:p w14:paraId="1E891FE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D997F1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2°. Los fondos podrán suscribir contratos de promesa de compraventa y opción, con el fin de asegurar la compra de inmuebles, incluso cuando estos se encuentren en proceso de edificación. En tales casos, el plazo máximo para celebrar el contrato prometido o ejercer la opción será de dos (2) años y el precio de compraventa deberá cumplir lo establecido en el artículo 2.1.4.4.4.1 de este capítulo. </w:t>
      </w:r>
    </w:p>
    <w:p w14:paraId="78B20FFC"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786" w:name="ver_30072477"/>
      <w:bookmarkEnd w:id="786"/>
    </w:p>
    <w:p w14:paraId="621C2B5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2.1.4.4.1.3. Diversificación de portafolio. Los fondos de inversión inmobiliaria deberán propender por una adecuada diversificación de su portafolio. Sin embargo, la participación máxima de un solo inmueble Clase 1 o Clase 2 o de cualquier emisor respecto del valor total del portafolio, no podrá exceder del veinte por ciento (20%). </w:t>
      </w:r>
    </w:p>
    <w:p w14:paraId="6DB8492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1DB4A1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Parágrafo 1°. El límite referente a </w:t>
      </w:r>
      <w:proofErr w:type="gramStart"/>
      <w:r w:rsidRPr="009342F9">
        <w:rPr>
          <w:rFonts w:ascii="Arial" w:eastAsia="Times New Roman" w:hAnsi="Arial" w:cs="Arial"/>
          <w:color w:val="000000"/>
          <w:lang w:eastAsia="es-CO"/>
        </w:rPr>
        <w:t>los inmuebles clases</w:t>
      </w:r>
      <w:proofErr w:type="gramEnd"/>
      <w:r w:rsidRPr="009342F9">
        <w:rPr>
          <w:rFonts w:ascii="Arial" w:eastAsia="Times New Roman" w:hAnsi="Arial" w:cs="Arial"/>
          <w:color w:val="000000"/>
          <w:lang w:eastAsia="es-CO"/>
        </w:rPr>
        <w:t xml:space="preserve"> 1 y 2 de los activos no aplicará durante los dos (2) primeros años de operación del fondo. </w:t>
      </w:r>
    </w:p>
    <w:p w14:paraId="46A59620"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787" w:name="ver_30072478"/>
      <w:bookmarkEnd w:id="787"/>
    </w:p>
    <w:p w14:paraId="597D2CD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2.1.4.4.1.4. Requisitos relacionados con los bienes inmuebles. Los bienes inmuebles que adquiera un fondo deberán asegurarse contra incendio, rayo, terremoto y actos malintencionados de terceros. </w:t>
      </w:r>
    </w:p>
    <w:p w14:paraId="043F7388" w14:textId="77777777" w:rsidR="00176ACC" w:rsidRDefault="00176ACC" w:rsidP="00FC79C1">
      <w:pPr>
        <w:spacing w:after="0" w:line="240" w:lineRule="auto"/>
        <w:jc w:val="both"/>
        <w:rPr>
          <w:rFonts w:ascii="Arial" w:eastAsia="Times New Roman" w:hAnsi="Arial" w:cs="Arial"/>
          <w:color w:val="000000"/>
          <w:lang w:eastAsia="es-CO"/>
        </w:rPr>
      </w:pPr>
    </w:p>
    <w:p w14:paraId="17AC4CFA" w14:textId="2CB704CA"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2.1.4.4.1.5. Montos mínimos para invertir en inmuebles. El monto mínimo de los recursos con los cuales debe contar un fondo de inversión inmobiliaria para poder empezar a invertir en los activos de Clases 1, 2 y 3 de que trata el artículo 2.1.4.4.1.2 del presente capítulo, será el equivalente a diez mil (10.000) salarios mínimos legales mensuales vigentes. Dicho valor deberá acreditarse en un término no superior a seis (6) meses contados a partir de la fecha de inicio de las operaciones. </w:t>
      </w:r>
    </w:p>
    <w:p w14:paraId="4811D97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FD1022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Parágrafo 1°. Los fondos que no alcancen a reunir los recursos mínimos en el plazo </w:t>
      </w:r>
      <w:proofErr w:type="gramStart"/>
      <w:r w:rsidRPr="009342F9">
        <w:rPr>
          <w:rFonts w:ascii="Arial" w:eastAsia="Times New Roman" w:hAnsi="Arial" w:cs="Arial"/>
          <w:color w:val="000000"/>
          <w:lang w:eastAsia="es-CO"/>
        </w:rPr>
        <w:t>estipulado,</w:t>
      </w:r>
      <w:proofErr w:type="gramEnd"/>
      <w:r w:rsidRPr="009342F9">
        <w:rPr>
          <w:rFonts w:ascii="Arial" w:eastAsia="Times New Roman" w:hAnsi="Arial" w:cs="Arial"/>
          <w:color w:val="000000"/>
          <w:lang w:eastAsia="es-CO"/>
        </w:rPr>
        <w:t xml:space="preserve"> deberán liquidarse y reintegrar los aportes, adicionados en los rendimientos generados y deducidos el cobro de una comisión, la cual deberá ser estipulada en el contrato de vinculación al fondo. </w:t>
      </w:r>
    </w:p>
    <w:p w14:paraId="404D3E8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E65AF1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Parágrafo 2°. Los fondos de inversión inmobiliaria no podrán financiarse mediante operaciones pasivas de crédito, salvo las operaciones de liquidez a que se refiere el artículo 2.1.4.4.1.2 del presente capítulo. </w:t>
      </w:r>
    </w:p>
    <w:p w14:paraId="54359D69"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788" w:name="ver_30072481"/>
      <w:bookmarkEnd w:id="788"/>
    </w:p>
    <w:p w14:paraId="27E4A95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2.1.4.4.1.6. Aportes. Los aportes de los inversionistas al fondo de inversión inmobiliaria estarán representados en unidades, de lo cual se dejará constancia en los registros, comprobantes o títulos que se prevean en los contratos de vinculación, en los que conste la participación del inversionista en el respectivo fondo. La sociedad administradora deberá establecer en los contratos de vinculación al fondo, que el pago de los aportes de los inversionistas a los fondos de inversión inmobiliaria se podrá realizar en alguna de las siguientes formas: </w:t>
      </w:r>
    </w:p>
    <w:p w14:paraId="0A40A96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DAE81A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En dinero. </w:t>
      </w:r>
    </w:p>
    <w:p w14:paraId="5AB0728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E25978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En bienes inmuebles, siempre y cuando cuenten con contratos de arrendamiento vigentes y con un período residual mínimo de seis (6) meses, amparados con un seguro o fianza sobre el canon de arrendamiento. </w:t>
      </w:r>
    </w:p>
    <w:p w14:paraId="4332052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0FBB7F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Los aportes recibidos en inmuebles deberán cumplir con las condiciones para adquisición de inmuebles establecidas en el artículo 2.1.4.4.4.1 del presente capítulo. </w:t>
      </w:r>
    </w:p>
    <w:p w14:paraId="77A7A166" w14:textId="77777777" w:rsidR="00176ACC" w:rsidRDefault="00176ACC" w:rsidP="00FC79C1">
      <w:pPr>
        <w:spacing w:after="0" w:line="240" w:lineRule="auto"/>
        <w:jc w:val="both"/>
        <w:rPr>
          <w:rFonts w:ascii="Arial" w:eastAsia="Times New Roman" w:hAnsi="Arial" w:cs="Arial"/>
          <w:color w:val="000000"/>
          <w:lang w:eastAsia="es-CO"/>
        </w:rPr>
      </w:pPr>
    </w:p>
    <w:p w14:paraId="5DC92F5A" w14:textId="7CEBA862"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2.1.4.4.1.7. Redención de derechos o aportes. Todo retiro o reembolso por concepto de redención de derechos o aportes en el fondo deberá hacerse con base en el valor de la unidad vigente en la fecha en que se efectúe el pago, de acuerdo con la metodología que establezca la entidad de supervisión correspondiente y la periodicidad prevista en el contrato de vinculación al fondo. </w:t>
      </w:r>
    </w:p>
    <w:p w14:paraId="346A66DA"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789" w:name="ver_30072484"/>
      <w:bookmarkEnd w:id="789"/>
    </w:p>
    <w:p w14:paraId="70F888C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2.1.4.4.1.8. Comisión por administración. La sociedad administradora de fondos de inversión inmobiliaria percibirá como beneficio por su gestión de administración una comisión que no podrá ser modificada unilateralmente por dicha sociedad. La comisión estará a cargo del fondo, y se causará y liquidará con la periodicidad y condiciones convenidas en los contratos de vinculación al fondo. La tarifa de la remuneración se establecerá en alguna de las siguientes modalidades: </w:t>
      </w:r>
    </w:p>
    <w:p w14:paraId="09A3C3A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A95F8F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Un porcentaje sobre el valor neto del fondo. </w:t>
      </w:r>
    </w:p>
    <w:p w14:paraId="167E16D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E40206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Un porcentaje sobre los rendimientos del fondo. </w:t>
      </w:r>
    </w:p>
    <w:p w14:paraId="7D27325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3C3B67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Una combinación de los anteriores. </w:t>
      </w:r>
    </w:p>
    <w:p w14:paraId="663C7C6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73CC229"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790" w:name="ver_30072485"/>
      <w:bookmarkEnd w:id="790"/>
    </w:p>
    <w:p w14:paraId="10F1676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2.1.4.4.1.9. Arrendamiento de los bienes inmuebles del fondo. La sociedad administradora de fondos de inversión inmobiliaria que en los términos del artículo 28 de la Ley 820 de 2003 desarrolle directamente las actividades de arrendamiento de los inmuebles correspondientes a vivienda de Interés social deberá obtener la matrícula de arrendador prevista en la citada disposición. Igualmente deberá obtener la mencionada matrícula el agente especializado en el que la sociedad administradora del fondo delegue las labores de arrendamiento o intermediación comercial entre arrendadores y arrendatarios de los citados inmuebles que se adelanten conforme a la disposición legal antes citada. </w:t>
      </w:r>
    </w:p>
    <w:p w14:paraId="2A4F186F"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791" w:name="ver_30072487"/>
      <w:bookmarkEnd w:id="791"/>
    </w:p>
    <w:p w14:paraId="37692DF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xml:space="preserve">Artículo 2.1.4.4.1.10. Comité de inversiones inmobiliarias. La Sociedad Administradora de Fondos de Inversión Inmobiliaria deberá constituir un Comité de Inversiones Inmobiliarias, el cual actuará como órgano consultivo de la Sociedad administradora del Fondo con el fin de apoyar los procesos de selección, compra y venta de inmuebles, en orden a lograr la mayor valorización de </w:t>
      </w:r>
      <w:proofErr w:type="gramStart"/>
      <w:r w:rsidRPr="009342F9">
        <w:rPr>
          <w:rFonts w:ascii="Arial" w:eastAsia="Times New Roman" w:hAnsi="Arial" w:cs="Arial"/>
          <w:color w:val="000000"/>
          <w:lang w:eastAsia="es-CO"/>
        </w:rPr>
        <w:t>los mismos</w:t>
      </w:r>
      <w:proofErr w:type="gramEnd"/>
      <w:r w:rsidRPr="009342F9">
        <w:rPr>
          <w:rFonts w:ascii="Arial" w:eastAsia="Times New Roman" w:hAnsi="Arial" w:cs="Arial"/>
          <w:color w:val="000000"/>
          <w:lang w:eastAsia="es-CO"/>
        </w:rPr>
        <w:t>. </w:t>
      </w:r>
    </w:p>
    <w:p w14:paraId="59146BA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F732EE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Dicho comité estará conformado por un número plural impar de miembros que serán nombrados directamente por los órganos de dirección de la sociedad administradora. Los integrantes de este comité deberán ser independientes de la sociedad administradora y contar con adecuada experiencia para cumplir a cabalidad con las funciones que corresponden al mismo. </w:t>
      </w:r>
    </w:p>
    <w:p w14:paraId="00DC0F9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54EF77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1°. Le corresponde al comité de inversión inmobiliaria identificar cambios de tendencias en el mercado o circunstancias que puedan afectar el valor de un inmueble en particular, con el fin de recomendar avalúos comerciales extraordinarios adicionales a los establecidos en este artículo como periódicos obligatorios. Los resultados de estos avalúos deberán reflejarse en la valoración del fondo. </w:t>
      </w:r>
    </w:p>
    <w:p w14:paraId="1177468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7D968E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2°. La existencia del comité de que trata el presente artículo no exonera a la sociedad administradora del fondo de las responsabilidades legales y contractuales que a esta corresponden en condición de tal. </w:t>
      </w:r>
    </w:p>
    <w:p w14:paraId="4D28CBCB"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792" w:name="ver_30072488"/>
      <w:bookmarkEnd w:id="792"/>
    </w:p>
    <w:p w14:paraId="311F05C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2.1.4.4.1.11. Gastos a cargo de los fondos de inversión inmobiliaria. Estarán a cargo del fondo únicamente los siguientes gastos, sin perjuicio de que la sociedad administradora asuma directamente algunos de estos: </w:t>
      </w:r>
    </w:p>
    <w:p w14:paraId="0E2DBE1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BE282E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La remuneración de la sociedad administradora. </w:t>
      </w:r>
    </w:p>
    <w:p w14:paraId="0BC485C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D4CDD1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La comisión de administración y mantenimiento de los inmuebles cuando esta la adelante un agente especializado. </w:t>
      </w:r>
    </w:p>
    <w:p w14:paraId="58C98A6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6CE5D5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El valor de los seguros y amparos de los activos del fondo, incluyendo los seguros para mantener la integridad de los bienes inmuebles. </w:t>
      </w:r>
    </w:p>
    <w:p w14:paraId="75E0A67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65F938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El valor de los seguros por arrendamiento y servicios públicos. </w:t>
      </w:r>
    </w:p>
    <w:p w14:paraId="5BAB699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9FEFE5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 Costo de la custodia de los valores del fondo. </w:t>
      </w:r>
    </w:p>
    <w:p w14:paraId="266FBE0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7D8C58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6. Los gastos bancarios que se originen en el depósito de los recursos del fondo. </w:t>
      </w:r>
    </w:p>
    <w:p w14:paraId="421F1A2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E3BD80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7. Cuando sea el caso los honorarios y gastos causados por la auditoría externa del fondo y los gastos de citación a asambleas. </w:t>
      </w:r>
    </w:p>
    <w:p w14:paraId="18DC9BA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24B43B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8. Los impuestos y contribuciones que graven directamente los activos del fondo. </w:t>
      </w:r>
    </w:p>
    <w:p w14:paraId="7C7156E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31F1E0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9. Los gastos relacionados con los avalúos de los inmuebles. </w:t>
      </w:r>
    </w:p>
    <w:p w14:paraId="7BCFCB2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DB29F5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10. El costo de mantenimiento y reparación de los inmuebles. </w:t>
      </w:r>
    </w:p>
    <w:p w14:paraId="7897C1B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0EF861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11. Los gastos vinculados a la adquisición, venta, alquiler y mantenimiento de los inmuebles. </w:t>
      </w:r>
    </w:p>
    <w:p w14:paraId="2FF7D68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1EDDF7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12. Los honorarios y gastos en que se incurra con motivo de la defensa jurídica de los bienes. </w:t>
      </w:r>
    </w:p>
    <w:p w14:paraId="2DA2E40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w:t>
      </w:r>
    </w:p>
    <w:p w14:paraId="5D1377F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Cualquier expensa no prevista como gasto a cargo del fondo estará a cargo de la sociedad administradora. </w:t>
      </w:r>
    </w:p>
    <w:p w14:paraId="181E1084"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793" w:name="ver_30072489"/>
      <w:bookmarkEnd w:id="793"/>
    </w:p>
    <w:p w14:paraId="546C5A4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2.1.4.4.1.12. Contenido del contrato de vinculación al fondo. Además de los requisitos o previsiones establecidos en el presente capítulo y en las normas y disposiciones especiales aplicables a los fondos de inversión administrados por las sociedades administradoras de inversión y a los fondos comunes especiales, administrados por las sociedades fiduciarias, el contrato de vinculación al fondo de inversión inmobiliaria deberá estipular el objetivo y la política de inversión, discriminando entre otros: </w:t>
      </w:r>
    </w:p>
    <w:p w14:paraId="5BCFB30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A13E29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Características de los activos en los que invertirá y los porcentajes máximos y mínimos de participación de cada uno. </w:t>
      </w:r>
    </w:p>
    <w:p w14:paraId="77E8ACE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43DB89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Localización geográfica. </w:t>
      </w:r>
    </w:p>
    <w:p w14:paraId="3EDE516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1E5447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Activos Clase 1: Características de las viviendas, discriminando la VIS y otros rangos de precios o estratos. </w:t>
      </w:r>
    </w:p>
    <w:p w14:paraId="037F781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C2F10D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Activos Clase 2: Tipología y uso de los bienes inmuebles diferentes a vivienda. </w:t>
      </w:r>
    </w:p>
    <w:p w14:paraId="44A656C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C5B28F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 Activos Clase 3: Características y condiciones de los títulos. </w:t>
      </w:r>
    </w:p>
    <w:p w14:paraId="103F796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E22217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6. Activos Clase 4: Estrategia de inversión en esta clase de activo. </w:t>
      </w:r>
    </w:p>
    <w:p w14:paraId="2E69B38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8194D5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7. Porcentaje máximo que un único bien inmueble puede representar sobre el activo total teniendo en cuenta lo establecido en el artículo 2.1.4.4.1.3 del presente capítulo. </w:t>
      </w:r>
    </w:p>
    <w:p w14:paraId="6DB8A96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0484B2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8. Políticas establecidas para la adquisición, venta y arriendo de inmuebles. </w:t>
      </w:r>
    </w:p>
    <w:p w14:paraId="50781CE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AFA1F9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9. El perfil de los agentes especializados en avalúos que vinculará el fondo. </w:t>
      </w:r>
    </w:p>
    <w:p w14:paraId="589BA55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624177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10. Respecto del comité de inversiones: Composición, perfil de los integrantes y forma de designación. </w:t>
      </w:r>
    </w:p>
    <w:p w14:paraId="11A4DD9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CD4B30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11. La determinación de si asumirá de manera directa o contratará un agente especializado para la administración y mantenimiento de los inmuebles del fondo. </w:t>
      </w:r>
    </w:p>
    <w:p w14:paraId="06E50BF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C08659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12. Procedimiento para el retiro o redención de los aportes, en el cual se deberá especificar las penalizaciones por retiros que se realicen antes de cumplirse el plazo de permanencia pactado. </w:t>
      </w:r>
    </w:p>
    <w:p w14:paraId="092DEC1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1C6AB2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13. La comisión que cobrará el administrador del fondo en caso de liquidación del fondo por no cumplir con lo exigido en el artículo 2.1.4.4.1.5 presente capítulo. </w:t>
      </w:r>
    </w:p>
    <w:p w14:paraId="7DA0187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1D729E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Las modificaciones en los anteriores contenidos del contrato deberán realizarse conforme a la normatividad aplicable a la sociedad administradora del fondo de inversión inmobiliaria. </w:t>
      </w:r>
    </w:p>
    <w:p w14:paraId="5EC52A63"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794" w:name="ver_30072492"/>
      <w:bookmarkEnd w:id="794"/>
    </w:p>
    <w:p w14:paraId="4CF7FDC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2.1.4.4.1.13. Revelación de información. Es deber de las sociedades administradoras de fondos de inversión inmobiliaria generar y revelar toda la información que les permita a los inversionistas evaluar y comparar las diferentes alternativas de inversión. Para este fin, las </w:t>
      </w:r>
      <w:r w:rsidRPr="009342F9">
        <w:rPr>
          <w:rFonts w:ascii="Arial" w:eastAsia="Times New Roman" w:hAnsi="Arial" w:cs="Arial"/>
          <w:color w:val="000000"/>
          <w:lang w:eastAsia="es-CO"/>
        </w:rPr>
        <w:lastRenderedPageBreak/>
        <w:t>entidades de supervisión reglamentarán el contenido y la periodicidad de actualización de una ficha técnica, la cual deberá incluir, entre otros, la siguiente información: </w:t>
      </w:r>
    </w:p>
    <w:p w14:paraId="60D028D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CBAAC2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Nombre o razón social y honorarios previstos para los agentes especializados seleccionados para el avalúo de los bienes. </w:t>
      </w:r>
    </w:p>
    <w:p w14:paraId="106A051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E5134E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Nombres de los integrantes del comité de inversiones. </w:t>
      </w:r>
    </w:p>
    <w:p w14:paraId="1C67E9C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97F1E1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El nombre o razón social del agente especializado que administrará los inmuebles, cuando sea el caso. </w:t>
      </w:r>
    </w:p>
    <w:p w14:paraId="7CB1A8F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6AD46A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El valor del fondo. </w:t>
      </w:r>
    </w:p>
    <w:p w14:paraId="007B826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D46832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 La discriminación por clases de activos y la variación de cada una de ellas dentro del período. </w:t>
      </w:r>
    </w:p>
    <w:p w14:paraId="35236CC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B10F74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6. El valor de la unidad y su variación durante el período. </w:t>
      </w:r>
    </w:p>
    <w:p w14:paraId="44EC47D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78CAC6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7. El detalle desagregado sobre los inmuebles que posee el fondo. </w:t>
      </w:r>
    </w:p>
    <w:p w14:paraId="2ABFC54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A006CB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El primer número de la ficha técnica deberá publicarse, con antelación a la recepción de los aportes iniciales, en un término no inferior a diez (10) días calendario. </w:t>
      </w:r>
    </w:p>
    <w:p w14:paraId="1D588C1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9032AB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El contenido de los extractos deberá ajustarse a la normatividad aplicable a la sociedad administradora del fondo de inversión inmobiliaria. </w:t>
      </w:r>
    </w:p>
    <w:p w14:paraId="43FCBB79" w14:textId="3E412F03"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795" w:name="ver_30072494"/>
      <w:bookmarkEnd w:id="795"/>
    </w:p>
    <w:p w14:paraId="51B0D81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2.1.4.4.1.14. Causales de disolución y liquidación. Además de las causales establecidas en las normas y disposiciones especiales aplicables a los fondos de inversión administrados por las sociedades administradoras de inversión y a los fondos comunes especiales administrados por las sociedades fiduciarias, serán causales de disolución y liquidación las siguientes: </w:t>
      </w:r>
    </w:p>
    <w:p w14:paraId="085DC61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0861A6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La establecida en el parágrafo del artículo 2.1.4.4.1.5 del presente capítulo. </w:t>
      </w:r>
    </w:p>
    <w:p w14:paraId="03AEDEE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6A9C0F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Las demás que se establezcan en los contratos de vinculación al fondo de inversión inmobiliaria. </w:t>
      </w:r>
    </w:p>
    <w:p w14:paraId="2641AA15" w14:textId="77777777" w:rsidR="00AA5FD1" w:rsidRDefault="00AA5FD1" w:rsidP="00683694">
      <w:pPr>
        <w:spacing w:after="0" w:line="240" w:lineRule="auto"/>
        <w:jc w:val="center"/>
        <w:rPr>
          <w:rFonts w:ascii="Arial" w:eastAsia="Times New Roman" w:hAnsi="Arial" w:cs="Arial"/>
          <w:b/>
          <w:bCs/>
          <w:color w:val="000000"/>
          <w:lang w:eastAsia="es-CO"/>
        </w:rPr>
      </w:pPr>
      <w:bookmarkStart w:id="796" w:name="ver_30072506"/>
      <w:bookmarkEnd w:id="796"/>
    </w:p>
    <w:p w14:paraId="6A99855D" w14:textId="6DA67775" w:rsidR="00FC79C1" w:rsidRPr="009342F9" w:rsidRDefault="00FC79C1" w:rsidP="00683694">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SECCIÓN 2</w:t>
      </w:r>
    </w:p>
    <w:p w14:paraId="1E9E2544" w14:textId="77777777" w:rsidR="00FC79C1" w:rsidRPr="009342F9" w:rsidRDefault="00FC79C1" w:rsidP="00683694">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DE LOS FONDOS DE INVERSIÓN INMOBILIARIA ABIERTOS CON PACTO DE PERMANENCIA</w:t>
      </w:r>
    </w:p>
    <w:p w14:paraId="34086B6F"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797" w:name="ver_30072507"/>
      <w:bookmarkEnd w:id="797"/>
    </w:p>
    <w:p w14:paraId="420E50F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2.1.4.4.2.1. Fechas de apertura. La sociedad administradora deberá definir en el contrato de vinculación al fondo las fechas en las cuales se permitirá la recepción y/o el retiro de aportes. </w:t>
      </w:r>
    </w:p>
    <w:p w14:paraId="3A453D8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D55E1B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Estas sociedades deberán permitir el retiro de aportes como mínimo cada doce (12) meses. La recepción de aportes podrá realizarse con cualquier frecuencia, siempre y cuando la misma esté contemplada en los contratos de vinculación al fondo. La recepción o retiro de aportes exigirá una valoración previa de las unidades del fondo realizada el día inmediatamente anterior a la fecha de recepción o de retiro. </w:t>
      </w:r>
    </w:p>
    <w:p w14:paraId="32C137D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98837C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Parágrafo 1°. Los inversionistas en los fondos de inversión inmobiliaria abiertos con pacto de permanencia podrán realizar retiros parciales o totales en las fechas de apertura del fondo </w:t>
      </w:r>
      <w:r w:rsidRPr="009342F9">
        <w:rPr>
          <w:rFonts w:ascii="Arial" w:eastAsia="Times New Roman" w:hAnsi="Arial" w:cs="Arial"/>
          <w:color w:val="000000"/>
          <w:lang w:eastAsia="es-CO"/>
        </w:rPr>
        <w:lastRenderedPageBreak/>
        <w:t>establecidas por la sociedad administradora, sin perjuicio del pago de la penalización de que trata el artículo siguiente. </w:t>
      </w:r>
    </w:p>
    <w:p w14:paraId="39D1A79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B17FA5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2°. Sin perjuicio de lo dispuesto en el numeral 12 del artículo 2.1.4.4.1.12 del presente capítulo, la sociedad administradora de fondos de inversión inmobiliaria abiertos con pacto de permanencia deberá establecer en el contrato de vinculación al fondo el procedimiento especial a seguir en cuanto a la redención de los derechos o aportes cuando se presente el retiro de más del 10% del valor del fondo. </w:t>
      </w:r>
    </w:p>
    <w:p w14:paraId="0CCB2788"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798" w:name="ver_30072508"/>
      <w:bookmarkEnd w:id="798"/>
    </w:p>
    <w:p w14:paraId="68B8446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2.1.4.4.2.2. Período de permanencia y penalizaciones. El período mínimo de permanencia de cada aporte que se realice en un fondo de inversión inmobiliaria abierto con pacto de </w:t>
      </w:r>
      <w:proofErr w:type="gramStart"/>
      <w:r w:rsidRPr="009342F9">
        <w:rPr>
          <w:rFonts w:ascii="Arial" w:eastAsia="Times New Roman" w:hAnsi="Arial" w:cs="Arial"/>
          <w:color w:val="000000"/>
          <w:lang w:eastAsia="es-CO"/>
        </w:rPr>
        <w:t>permanencia,</w:t>
      </w:r>
      <w:proofErr w:type="gramEnd"/>
      <w:r w:rsidRPr="009342F9">
        <w:rPr>
          <w:rFonts w:ascii="Arial" w:eastAsia="Times New Roman" w:hAnsi="Arial" w:cs="Arial"/>
          <w:color w:val="000000"/>
          <w:lang w:eastAsia="es-CO"/>
        </w:rPr>
        <w:t xml:space="preserve"> será de cinco (5) años. El administrador establecerá penalizaciones por retiros que se realicen antes de cumplirse este plazo, las cuales se estipularán como porcentajes del monto retirado que dependerán únicamente de la duración de la inversión. Estas penalizaciones deberán ser estipuladas en el contrato de vinculación al fondo. </w:t>
      </w:r>
    </w:p>
    <w:p w14:paraId="00240B0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1C760C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Las penalizaciones se contabilizarán como un ingreso del fondo. </w:t>
      </w:r>
    </w:p>
    <w:p w14:paraId="669433C5"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799" w:name="ver_30072509"/>
      <w:bookmarkEnd w:id="799"/>
    </w:p>
    <w:p w14:paraId="5E93002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2.1.4.4.2.3. Límites a la participación. La participación máxima por inversionista en un fondo de inversión inmobiliaria abierto con pacto de permanencia se sujetará a los siguientes límites: </w:t>
      </w:r>
    </w:p>
    <w:p w14:paraId="487AC8F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97C86E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Durante los primeros 12 meses de operación no aplicará límite alguno. </w:t>
      </w:r>
    </w:p>
    <w:p w14:paraId="2950C16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A17A88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De 12 a 24 meses de operación, la participación máxima por inversionista será del 30%. </w:t>
      </w:r>
    </w:p>
    <w:p w14:paraId="18A98B1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B4A3D8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Más de 24 meses de operación, la participación máxima por inversionista será del 20%. </w:t>
      </w:r>
    </w:p>
    <w:p w14:paraId="2A27897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9D2364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1°. En los contratos de vinculación al fondo podrán establecerse límites inferiores a los aquí previstos. </w:t>
      </w:r>
    </w:p>
    <w:p w14:paraId="2079590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A581D9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2°. Cuando se produzcan retiros que alteren los porcentajes máximos previstos en los contratos, el Fondo tendrá un plazo de seis (6) meses para recomponer la participación individual de los inversionistas. </w:t>
      </w:r>
    </w:p>
    <w:p w14:paraId="115F594A" w14:textId="77777777" w:rsidR="00AA5FD1" w:rsidRDefault="00AA5FD1" w:rsidP="00683694">
      <w:pPr>
        <w:spacing w:after="0" w:line="240" w:lineRule="auto"/>
        <w:jc w:val="center"/>
        <w:rPr>
          <w:rFonts w:ascii="Arial" w:eastAsia="Times New Roman" w:hAnsi="Arial" w:cs="Arial"/>
          <w:b/>
          <w:bCs/>
          <w:color w:val="000000"/>
          <w:lang w:eastAsia="es-CO"/>
        </w:rPr>
      </w:pPr>
      <w:bookmarkStart w:id="800" w:name="ver_30072510"/>
      <w:bookmarkEnd w:id="800"/>
    </w:p>
    <w:p w14:paraId="07230F2B" w14:textId="0CFE430F" w:rsidR="00FC79C1" w:rsidRPr="009342F9" w:rsidRDefault="00FC79C1" w:rsidP="00683694">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SECCIÓN 3</w:t>
      </w:r>
    </w:p>
    <w:p w14:paraId="67098E5B" w14:textId="77777777" w:rsidR="00FC79C1" w:rsidRPr="009342F9" w:rsidRDefault="00FC79C1" w:rsidP="00683694">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DE LOS FONDOS DE INVERSIÓN INMOBILIARIA CERRADOS</w:t>
      </w:r>
    </w:p>
    <w:p w14:paraId="74A7308F"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801" w:name="ver_30072524"/>
      <w:bookmarkEnd w:id="801"/>
    </w:p>
    <w:p w14:paraId="4CFEC40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2.1.4.4.3.1. Aportes. Las sociedades que administren fondos de inversión inmobiliaria cerrados deberán establecer en los contratos de vinculación al fondo, el plazo máximo para recibir aportes, el cual no podrá exceder del veinte por ciento (20%) del plazo previsto para la duración total del respectivo fondo. </w:t>
      </w:r>
    </w:p>
    <w:p w14:paraId="64B21D1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014286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Dentro del plazo mencionado se podrán contemplar fechas para recibir aportes de los inversionistas, previa la valoración de las unidades del fondo, efectuada el día inmediatamente anterior a las fechas de apertura. </w:t>
      </w:r>
    </w:p>
    <w:p w14:paraId="405E876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57C622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Los fondos de inversión inmobiliaria cerrados podrán recibir nuevos aportes con posterioridad al plazo máximo aquí previsto, previa aprobación de los inversionistas y del ente de supervisión respectivo. En tales casos, los inversionistas tendrán derecho de preferencia para realizar los aportes. </w:t>
      </w:r>
    </w:p>
    <w:p w14:paraId="45B131C0"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802" w:name="ver_30072525"/>
      <w:bookmarkEnd w:id="802"/>
    </w:p>
    <w:p w14:paraId="39CE755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2.1.4.4.3.2. Redención de derechos o aportes. La inversión en los fondos de inversión inmobiliaria cerrados solo podrá ser redimida totalmente en la fecha determinada como plazo total de duración del fondo. No obstante, se podrán realizar entregas anticipadas de aportes a los inversionistas del fondo a prorrata de su participación, por decisión válidamente tomada de conformidad con los procedimientos y normas de Código de Comercio para la asamblea de accionistas. </w:t>
      </w:r>
    </w:p>
    <w:p w14:paraId="4078FF6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CEAAFA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De la misma forma se podrá, por decisión de los inversionistas, ampliar el plazo de duración del fondo. </w:t>
      </w:r>
    </w:p>
    <w:p w14:paraId="3596D4B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66B8EF3" w14:textId="77777777" w:rsidR="00FC79C1" w:rsidRPr="009342F9" w:rsidRDefault="00FC79C1" w:rsidP="00683694">
      <w:pPr>
        <w:spacing w:after="0" w:line="240" w:lineRule="auto"/>
        <w:jc w:val="center"/>
        <w:rPr>
          <w:rFonts w:ascii="Arial" w:eastAsia="Times New Roman" w:hAnsi="Arial" w:cs="Arial"/>
          <w:b/>
          <w:bCs/>
          <w:color w:val="000000"/>
          <w:lang w:eastAsia="es-CO"/>
        </w:rPr>
      </w:pPr>
      <w:bookmarkStart w:id="803" w:name="ver_30072528"/>
      <w:bookmarkEnd w:id="803"/>
      <w:r w:rsidRPr="009342F9">
        <w:rPr>
          <w:rFonts w:ascii="Arial" w:eastAsia="Times New Roman" w:hAnsi="Arial" w:cs="Arial"/>
          <w:b/>
          <w:bCs/>
          <w:color w:val="000000"/>
          <w:lang w:eastAsia="es-CO"/>
        </w:rPr>
        <w:t>SECCIÓN 4</w:t>
      </w:r>
    </w:p>
    <w:p w14:paraId="17580700" w14:textId="77777777" w:rsidR="00FC79C1" w:rsidRPr="009342F9" w:rsidRDefault="00FC79C1" w:rsidP="00683694">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VALORACIÓN DE LOS FONDOS DE INVERSIÓN INMOBILIARIA</w:t>
      </w:r>
    </w:p>
    <w:p w14:paraId="27115541"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804" w:name="ver_30072529"/>
      <w:bookmarkEnd w:id="804"/>
    </w:p>
    <w:p w14:paraId="5F0078A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2.1.4.4.4.1. Valoración de los inmuebles del fondo de inversión inmobiliaria. Para la adquisición de bienes inmuebles se deberá contar con un avalúo comercial efectuado dentro de los seis (6) meses anteriores a la fecha de compra. El valor de adquisición del inmueble no podrá ser superior al establecido en dicho avalúo. De otro lado, la venta de un inmueble deberá estar precedida por un avalúo comercial con antigüedad no mayor a seis (6) meses y el valor de venta no podrá ser inferior al noventa por ciento (90%) de esta suma. </w:t>
      </w:r>
    </w:p>
    <w:p w14:paraId="30226B6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38001A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Todos los inmuebles de un fondo de inversión inmobiliaria deberán ser objeto de un avalúo comercial máximo cada doce (12) meses. Después de realizados los avalúos conforme a lo dispuesto en el presente artículo, estos deberán actualizarse convirtiendo el precio inicial a su equivalente en Unidades de Valor Real y utilizando la variación diaria de este índice para obtener los nuevos valores. En todo caso, una vez practicado el avalúo anual, será este el que en forma inmediata adopte el fondo de inversión inmobiliaria como valor comercial del inmueble. </w:t>
      </w:r>
    </w:p>
    <w:p w14:paraId="50CB267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C8FD78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Cuando se realicen mejoras materiales de los inmuebles, el costo de </w:t>
      </w:r>
      <w:proofErr w:type="gramStart"/>
      <w:r w:rsidRPr="009342F9">
        <w:rPr>
          <w:rFonts w:ascii="Arial" w:eastAsia="Times New Roman" w:hAnsi="Arial" w:cs="Arial"/>
          <w:color w:val="000000"/>
          <w:lang w:eastAsia="es-CO"/>
        </w:rPr>
        <w:t>las mismas</w:t>
      </w:r>
      <w:proofErr w:type="gramEnd"/>
      <w:r w:rsidRPr="009342F9">
        <w:rPr>
          <w:rFonts w:ascii="Arial" w:eastAsia="Times New Roman" w:hAnsi="Arial" w:cs="Arial"/>
          <w:color w:val="000000"/>
          <w:lang w:eastAsia="es-CO"/>
        </w:rPr>
        <w:t xml:space="preserve"> deberá registrarse en la contabilidad del fondo de inversión inmobiliaria. </w:t>
      </w:r>
    </w:p>
    <w:p w14:paraId="554B711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A3F4C0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Parágrafo. La estimación del valor comercial de los inmuebles deberá efectuarse siguiendo los métodos </w:t>
      </w:r>
      <w:proofErr w:type="spellStart"/>
      <w:r w:rsidRPr="009342F9">
        <w:rPr>
          <w:rFonts w:ascii="Arial" w:eastAsia="Times New Roman" w:hAnsi="Arial" w:cs="Arial"/>
          <w:color w:val="000000"/>
          <w:lang w:eastAsia="es-CO"/>
        </w:rPr>
        <w:t>valuatorios</w:t>
      </w:r>
      <w:proofErr w:type="spellEnd"/>
      <w:r w:rsidRPr="009342F9">
        <w:rPr>
          <w:rFonts w:ascii="Arial" w:eastAsia="Times New Roman" w:hAnsi="Arial" w:cs="Arial"/>
          <w:color w:val="000000"/>
          <w:lang w:eastAsia="es-CO"/>
        </w:rPr>
        <w:t xml:space="preserve"> reconocidos en la normatividad vigente. En el caso de inmuebles de valor igual o superior a cinco mil (5.000) salarios mínimos legales mensuales vigentes, los avalúos deberán ser practicados y definidos por un número plural de peritos conforme al procedimiento especial que para el efecto adopte el Instituto Geográfico Agustín Codazzi. Igualmente, el Instituto Geográfico Agustín Codazzi especificará cuáles métodos </w:t>
      </w:r>
      <w:proofErr w:type="spellStart"/>
      <w:r w:rsidRPr="009342F9">
        <w:rPr>
          <w:rFonts w:ascii="Arial" w:eastAsia="Times New Roman" w:hAnsi="Arial" w:cs="Arial"/>
          <w:color w:val="000000"/>
          <w:lang w:eastAsia="es-CO"/>
        </w:rPr>
        <w:t>valuatorios</w:t>
      </w:r>
      <w:proofErr w:type="spellEnd"/>
      <w:r w:rsidRPr="009342F9">
        <w:rPr>
          <w:rFonts w:ascii="Arial" w:eastAsia="Times New Roman" w:hAnsi="Arial" w:cs="Arial"/>
          <w:color w:val="000000"/>
          <w:lang w:eastAsia="es-CO"/>
        </w:rPr>
        <w:t xml:space="preserve"> deberán utilizarse en el caso de bienes inmuebles vinculados a fondos de inversión inmobiliaria. </w:t>
      </w:r>
    </w:p>
    <w:p w14:paraId="1C6D6AE5"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805" w:name="ver_30072530"/>
      <w:bookmarkEnd w:id="805"/>
    </w:p>
    <w:p w14:paraId="2CAA992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2.1.4.4.4.2. Valoración de los activos clase 3 y 4 definidos en el artículo 2.1.4.4.1.2. Para las inversiones en estas clases de activos, aplicarán las normas de carácter general establecidas por las entidades supervisoras correspondientes. </w:t>
      </w:r>
    </w:p>
    <w:p w14:paraId="27C31FD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BCAD972"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806" w:name="ver_30072531"/>
      <w:bookmarkEnd w:id="806"/>
      <w:r w:rsidRPr="009342F9">
        <w:rPr>
          <w:rFonts w:ascii="Arial" w:eastAsia="Times New Roman" w:hAnsi="Arial" w:cs="Arial"/>
          <w:color w:val="000000"/>
          <w:lang w:eastAsia="es-CO"/>
        </w:rPr>
        <w:t>Artículo 2.1.4.4.4.3. Valoración del fondo de inversión inmobiliaria. Las sociedades administradoras de fondos de inversión inmobiliaria deberán determinar la periodicidad con la que se realizará la valoración del fondo, conforme a las disposiciones emitidas por las entidades de supervisión, y deberá ser efectuada el día inmediatamente anterior a las fechas en que el fondo esté abierto para la recepción y entrega de recursos. Las entidades de supervisión establecerán la metodología de valoración de los activos del fondo y verificarán el cumplimiento de las normas previstas en el presente capítulo. </w:t>
      </w:r>
    </w:p>
    <w:p w14:paraId="481BD671"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807" w:name="ver_30072534"/>
      <w:bookmarkEnd w:id="807"/>
    </w:p>
    <w:p w14:paraId="6EFE760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Artículo 2.1.4.4.4.4. Agente especializado para valoración de inmuebles. Para la valoración de los bienes inmuebles de que trata el presente capítulo, las sociedades administradoras de fondos de inversión inmobiliaria deberán contar con agentes especializados en la valoración de este tipo de bienes. Dichos agentes deberán ser personas naturales o jurídicas debidamente inscritas conforme a lo dispuesto en el artículo 50 de la Ley 546 de 1999, sus normas reglamentarias y aquellas que con posterioridad las modifiquen. </w:t>
      </w:r>
    </w:p>
    <w:p w14:paraId="3302E79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17BB89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Los agentes especializados y sus funcionarios no podrán tener directa o indirectamente, interés en el resultado de los avalúos o en sus posibles utilizaciones, no pudiendo existir, en ningún evento conflicto de intereses. Tampoco podrán tener con la sociedad administradora del fondo de inversión ninguna relación de subordinación o dependencia, ni la condición de beneficiario real de la sociedad administradora del fondo o no ser esta última beneficiaria real de la sociedad </w:t>
      </w:r>
      <w:proofErr w:type="spellStart"/>
      <w:r w:rsidRPr="009342F9">
        <w:rPr>
          <w:rFonts w:ascii="Arial" w:eastAsia="Times New Roman" w:hAnsi="Arial" w:cs="Arial"/>
          <w:color w:val="000000"/>
          <w:lang w:eastAsia="es-CO"/>
        </w:rPr>
        <w:t>avaluadora</w:t>
      </w:r>
      <w:proofErr w:type="spellEnd"/>
      <w:r w:rsidRPr="009342F9">
        <w:rPr>
          <w:rFonts w:ascii="Arial" w:eastAsia="Times New Roman" w:hAnsi="Arial" w:cs="Arial"/>
          <w:color w:val="000000"/>
          <w:lang w:eastAsia="es-CO"/>
        </w:rPr>
        <w:t>. </w:t>
      </w:r>
    </w:p>
    <w:p w14:paraId="5264604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E71C855" w14:textId="6FBD4C3C" w:rsidR="00FC79C1" w:rsidRPr="009342F9" w:rsidRDefault="00FC79C1" w:rsidP="00AA5FD1">
      <w:pPr>
        <w:spacing w:after="0" w:line="240" w:lineRule="auto"/>
        <w:jc w:val="center"/>
        <w:rPr>
          <w:rFonts w:ascii="Arial" w:eastAsia="Times New Roman" w:hAnsi="Arial" w:cs="Arial"/>
          <w:b/>
          <w:bCs/>
          <w:color w:val="000000"/>
          <w:lang w:eastAsia="es-CO"/>
        </w:rPr>
      </w:pPr>
      <w:bookmarkStart w:id="808" w:name="ver_30072535"/>
      <w:bookmarkEnd w:id="808"/>
      <w:r w:rsidRPr="009342F9">
        <w:rPr>
          <w:rFonts w:ascii="Arial" w:eastAsia="Times New Roman" w:hAnsi="Arial" w:cs="Arial"/>
          <w:b/>
          <w:bCs/>
          <w:color w:val="000000"/>
          <w:lang w:eastAsia="es-CO"/>
        </w:rPr>
        <w:t>SECCIÓN 5</w:t>
      </w:r>
    </w:p>
    <w:p w14:paraId="6E1F6946" w14:textId="77777777" w:rsidR="00FC79C1" w:rsidRPr="009342F9" w:rsidRDefault="00FC79C1" w:rsidP="00683694">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DE LA EXENCIÓN TRIBUTARIA</w:t>
      </w:r>
    </w:p>
    <w:p w14:paraId="4616A122"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809" w:name="ver_30072536"/>
      <w:bookmarkEnd w:id="809"/>
    </w:p>
    <w:p w14:paraId="6D30752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2.1.4.4.5.1. Rentas exentas provenientes de fondos de inversión. De conformidad con lo dispuesto en el inciso segundo y en el parágrafo del artículo 41 de la Ley 820 de 2003, las rentas que perciban los fondos de inversión inmobiliaria, originadas en cánones de arrendamiento de vivienda de interés social nueva durante los diez (10) años siguientes a su construcción, que sean distribuidas a sus inversionistas, serán exentas en cabeza de estos. </w:t>
      </w:r>
    </w:p>
    <w:p w14:paraId="483F7F98" w14:textId="1FDA5C79" w:rsidR="00FC79C1" w:rsidRPr="009342F9" w:rsidRDefault="00FC79C1" w:rsidP="00AA5FD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810" w:name="ver_30072537"/>
      <w:bookmarkEnd w:id="810"/>
    </w:p>
    <w:p w14:paraId="470ECDE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2.1.4.4.5.2. Requisitos. Para la procedencia de la exención de que trata el artículo anterior, deberán cumplirse los siguientes requisitos: </w:t>
      </w:r>
    </w:p>
    <w:p w14:paraId="1DFCD42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764BF5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 Por la sociedad administradora del fondo: </w:t>
      </w:r>
    </w:p>
    <w:p w14:paraId="3F0CD27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9F29D4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Expedir certificado de ingresos a cada inversionista en el que discrimine: </w:t>
      </w:r>
    </w:p>
    <w:p w14:paraId="1B88B7A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6F9B1F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 La parte originada en cánones de arrendamiento de vivienda de interés social nueva, de acuerdo con su participación en el fondo, y </w:t>
      </w:r>
    </w:p>
    <w:p w14:paraId="142C609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581516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b) El valor de las retenciones en la fuente practicadas a título del impuesto de renta y complementarios, respecto de pagos o abonos en cuenta por conceptos diferentes de las rentas objeto de la exención. </w:t>
      </w:r>
    </w:p>
    <w:p w14:paraId="4D1B9A4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6FA7DC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Llevar en su contabilidad cuentas separadas tanto de los activos como de los ingresos por concepto de cánones de arrendamiento de vivienda de interés social nueva que da lugar a la exención, frente a los demás ingresos que perciba el fondo en el correspondiente período fiscal. </w:t>
      </w:r>
    </w:p>
    <w:p w14:paraId="42B8B31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2BAFA6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Presentar cuando la Dirección de Impuestos y Aduanas Nacionales lo exija, certificación anual, suscrita por el representante legal y por el revisor fiscal y/o contador público, según corresponda, en la que conste: </w:t>
      </w:r>
    </w:p>
    <w:p w14:paraId="1A25301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FB2A0B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 Monto de la inversión realizada en la adquisición de vivienda de interés social nueva, durante el respectivo año gravable; </w:t>
      </w:r>
    </w:p>
    <w:p w14:paraId="22CBAB4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A776C4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b) Precio de las viviendas de interés social nuevas en la fecha de adquisición por el Fondo y manifestación expresa de que dicho precio a esa fecha era igual o inferior al monto máximo </w:t>
      </w:r>
      <w:r w:rsidRPr="009342F9">
        <w:rPr>
          <w:rFonts w:ascii="Arial" w:eastAsia="Times New Roman" w:hAnsi="Arial" w:cs="Arial"/>
          <w:color w:val="000000"/>
          <w:lang w:eastAsia="es-CO"/>
        </w:rPr>
        <w:lastRenderedPageBreak/>
        <w:t>establecido para este tipo de viviendas en el artículo 104 de la Ley 812 de 2003, o en las disposiciones legales que lo modifiquen; </w:t>
      </w:r>
    </w:p>
    <w:p w14:paraId="5280FE2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9A3512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 Identificación de los inversionistas, fecha de la inversión en el fondo y monto de la misma; </w:t>
      </w:r>
    </w:p>
    <w:p w14:paraId="496DDC8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6B0FA5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d) Relación de los contratos de arrendamiento y montos individuales y totales de los cánones percibidos por el fondo en el respectivo período fiscal, originados en viviendas de interés social nuevas; </w:t>
      </w:r>
    </w:p>
    <w:p w14:paraId="1E8074E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112B77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 Valor de las rentas pagadas a cada uno de los inversionistas del fondo durante el respectivo año gravable, originadas en contratos de arrendamiento de vivienda de interés social nueva; </w:t>
      </w:r>
    </w:p>
    <w:p w14:paraId="0614098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9BE183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f) Monto total acumulado de las inversiones en adquisición de viviendas de interés social nuevas, cuyos cánones de arrendamiento estén exentos; </w:t>
      </w:r>
    </w:p>
    <w:p w14:paraId="1CB4F61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550A11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g) Relación de las viviendas de las cuales provienen los ingresos relativos a las rentas objeto de la exención, que contenga: lugar de ubicación, número y fecha de la licencia de construcción, matrícula inmobiliaria e identificación de la Notaría, Círculo Notarial, número y fecha de escritura de compraventa. </w:t>
      </w:r>
    </w:p>
    <w:p w14:paraId="61411B6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9C4A6F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Presentar cuando la Dirección de Impuestos y Aduanas Nacionales lo exija, la escritura pública cuyo registro dio origen a la matricula inmobiliaria y cédula catastral de la nueva unidad individual de vivienda. La fecha de otorgamiento de esta escritura se tendrá como fecha de inicio de los diez (10) años en los cuales opera el beneficio a que se refiere el artículo 41 de la Ley 820 de 2003. </w:t>
      </w:r>
    </w:p>
    <w:p w14:paraId="2846313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7D9E80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B. Por el inversionista: </w:t>
      </w:r>
    </w:p>
    <w:p w14:paraId="6DA6924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A47A4A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Conservar el certificado de ingresos expedido por la sociedad administradora del fondo, en el que se encuentre discriminado: </w:t>
      </w:r>
    </w:p>
    <w:p w14:paraId="1984B7A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385FD0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 La parte originada en cánones de arrendamiento de vivienda de interés social nueva, de acuerdo con su participación en el fondo, y </w:t>
      </w:r>
    </w:p>
    <w:p w14:paraId="16489EF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B07C7D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b) El valor de las retenciones en la fuente practicadas a título del Impuesto sobre la renta y complementarios, respecto de pagos o abonos en cuenta por conceptos diferentes de las rentas objeto de la exención. </w:t>
      </w:r>
    </w:p>
    <w:p w14:paraId="30997348"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811" w:name="ver_30072539"/>
      <w:bookmarkEnd w:id="811"/>
    </w:p>
    <w:p w14:paraId="09E85EE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2.1.4.4.5.3. Remisión de normas. En lo no previsto en el presente capítulo se aplicará la normatividad vigente expedida para regular el funcionamiento de los fondos de inversión, siempre que dicha regulación no pugne con la naturaleza, alcances y finalidades aquí establecidas. </w:t>
      </w:r>
    </w:p>
    <w:p w14:paraId="328EBF2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C7D19F0" w14:textId="77777777" w:rsidR="00FC79C1" w:rsidRPr="009342F9" w:rsidRDefault="00FC79C1" w:rsidP="00683694">
      <w:pPr>
        <w:spacing w:after="0" w:line="240" w:lineRule="auto"/>
        <w:jc w:val="center"/>
        <w:rPr>
          <w:rFonts w:ascii="Arial" w:eastAsia="Times New Roman" w:hAnsi="Arial" w:cs="Arial"/>
          <w:b/>
          <w:bCs/>
          <w:color w:val="000000"/>
          <w:lang w:eastAsia="es-CO"/>
        </w:rPr>
      </w:pPr>
      <w:bookmarkStart w:id="812" w:name="ver_30072540"/>
      <w:bookmarkEnd w:id="812"/>
      <w:r w:rsidRPr="009342F9">
        <w:rPr>
          <w:rFonts w:ascii="Arial" w:eastAsia="Times New Roman" w:hAnsi="Arial" w:cs="Arial"/>
          <w:b/>
          <w:bCs/>
          <w:color w:val="000000"/>
          <w:lang w:eastAsia="es-CO"/>
        </w:rPr>
        <w:t>TÍTULO 5</w:t>
      </w:r>
    </w:p>
    <w:p w14:paraId="5658CF79" w14:textId="77777777" w:rsidR="00FC79C1" w:rsidRDefault="00FC79C1" w:rsidP="00683694">
      <w:pPr>
        <w:spacing w:after="0" w:line="240" w:lineRule="auto"/>
        <w:jc w:val="center"/>
        <w:rPr>
          <w:rFonts w:ascii="Arial" w:eastAsia="Times New Roman" w:hAnsi="Arial" w:cs="Arial"/>
          <w:b/>
          <w:bCs/>
          <w:color w:val="000000"/>
          <w:lang w:eastAsia="es-CO"/>
        </w:rPr>
      </w:pPr>
      <w:r w:rsidRPr="231E957E">
        <w:rPr>
          <w:rFonts w:ascii="Arial" w:eastAsia="Times New Roman" w:hAnsi="Arial" w:cs="Arial"/>
          <w:b/>
          <w:color w:val="000000" w:themeColor="text1"/>
          <w:lang w:eastAsia="es-CO"/>
        </w:rPr>
        <w:t>PROPIEDAD HORIZONTAL</w:t>
      </w:r>
    </w:p>
    <w:p w14:paraId="3C5E4C4E" w14:textId="77777777" w:rsidR="007C7D44" w:rsidRPr="009342F9" w:rsidRDefault="007C7D44" w:rsidP="00683694">
      <w:pPr>
        <w:spacing w:after="0" w:line="240" w:lineRule="auto"/>
        <w:jc w:val="center"/>
        <w:rPr>
          <w:rFonts w:ascii="Arial" w:eastAsia="Times New Roman" w:hAnsi="Arial" w:cs="Arial"/>
          <w:b/>
          <w:bCs/>
          <w:color w:val="000000"/>
          <w:lang w:eastAsia="es-CO"/>
        </w:rPr>
      </w:pPr>
    </w:p>
    <w:p w14:paraId="281C3325" w14:textId="77777777" w:rsidR="00FC79C1" w:rsidRPr="009342F9" w:rsidRDefault="00FC79C1" w:rsidP="00683694">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CAPÍTULO 1</w:t>
      </w:r>
    </w:p>
    <w:p w14:paraId="5CE2D247" w14:textId="77777777" w:rsidR="00FC79C1" w:rsidRPr="009342F9" w:rsidRDefault="00FC79C1" w:rsidP="00683694">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OBJETO SOCIAL DE LA PROPIEDAD HORIZONTAL</w:t>
      </w:r>
    </w:p>
    <w:p w14:paraId="04A9E4B5"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813" w:name="ver_30072541"/>
      <w:bookmarkEnd w:id="813"/>
    </w:p>
    <w:p w14:paraId="04B7B15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2.1.5.1.1. Objeto de la persona jurídica de propiedad horizontal. Objeto social de la persona jurídica originada en la constitución de la propiedad horizontal. Para los efectos de la Ley 675 de 2001, entiéndese que forman parte del objeto social de la propiedad horizontal, los actos </w:t>
      </w:r>
      <w:r w:rsidRPr="009342F9">
        <w:rPr>
          <w:rFonts w:ascii="Arial" w:eastAsia="Times New Roman" w:hAnsi="Arial" w:cs="Arial"/>
          <w:color w:val="000000"/>
          <w:lang w:eastAsia="es-CO"/>
        </w:rPr>
        <w:lastRenderedPageBreak/>
        <w:t>y negocios jurídicos que se realicen sobre los bienes comunes por su representante legal, relacionados con la explotación económica de los mismos que permitan su correcta y eficaz administración, con el propósito de obtener contraprestaciones económicas que se destinen al pago de expensas comunes del edificio o conjunto y que además facilitan la existencia de la propiedad horizontal, su estabilidad, funcionamiento, conservación, seguridad, uso, goce o explotación de los bienes de dominio particular. </w:t>
      </w:r>
    </w:p>
    <w:p w14:paraId="33A44070" w14:textId="233170E5" w:rsidR="00FC79C1" w:rsidRPr="009342F9" w:rsidRDefault="00FC79C1" w:rsidP="00AA5FD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F48E320" w14:textId="77777777" w:rsidR="00FC79C1" w:rsidRPr="009342F9" w:rsidRDefault="00FC79C1" w:rsidP="00683694">
      <w:pPr>
        <w:spacing w:after="0" w:line="240" w:lineRule="auto"/>
        <w:jc w:val="center"/>
        <w:rPr>
          <w:rFonts w:ascii="Arial" w:eastAsia="Times New Roman" w:hAnsi="Arial" w:cs="Arial"/>
          <w:b/>
          <w:bCs/>
          <w:color w:val="000000"/>
          <w:lang w:eastAsia="es-CO"/>
        </w:rPr>
      </w:pPr>
      <w:bookmarkStart w:id="814" w:name="ver_30072542"/>
      <w:bookmarkEnd w:id="814"/>
      <w:r w:rsidRPr="009342F9">
        <w:rPr>
          <w:rFonts w:ascii="Arial" w:eastAsia="Times New Roman" w:hAnsi="Arial" w:cs="Arial"/>
          <w:b/>
          <w:bCs/>
          <w:color w:val="000000"/>
          <w:lang w:eastAsia="es-CO"/>
        </w:rPr>
        <w:t>TÍTULO 6</w:t>
      </w:r>
    </w:p>
    <w:p w14:paraId="6A3E25AE" w14:textId="77777777" w:rsidR="00FC79C1" w:rsidRDefault="00FC79C1" w:rsidP="00683694">
      <w:pPr>
        <w:spacing w:after="0" w:line="240" w:lineRule="auto"/>
        <w:jc w:val="center"/>
        <w:rPr>
          <w:rFonts w:ascii="Arial" w:eastAsia="Times New Roman" w:hAnsi="Arial" w:cs="Arial"/>
          <w:b/>
          <w:bCs/>
          <w:color w:val="000000"/>
          <w:lang w:eastAsia="es-CO"/>
        </w:rPr>
      </w:pPr>
      <w:r w:rsidRPr="231E957E">
        <w:rPr>
          <w:rFonts w:ascii="Arial" w:eastAsia="Times New Roman" w:hAnsi="Arial" w:cs="Arial"/>
          <w:b/>
          <w:color w:val="000000" w:themeColor="text1"/>
          <w:lang w:eastAsia="es-CO"/>
        </w:rPr>
        <w:t>INSPECCIÓN, VIGILANCIA Y CONTROL DE LA ACTIVIDAD DE CONSTRUCCIÓN Y ENAJENACIÓN DE VIVIENDA</w:t>
      </w:r>
    </w:p>
    <w:p w14:paraId="4FD8DB6F" w14:textId="77777777" w:rsidR="007C7D44" w:rsidRPr="009342F9" w:rsidRDefault="007C7D44" w:rsidP="00683694">
      <w:pPr>
        <w:spacing w:after="0" w:line="240" w:lineRule="auto"/>
        <w:jc w:val="center"/>
        <w:rPr>
          <w:rFonts w:ascii="Arial" w:eastAsia="Times New Roman" w:hAnsi="Arial" w:cs="Arial"/>
          <w:b/>
          <w:bCs/>
          <w:color w:val="000000"/>
          <w:lang w:eastAsia="es-CO"/>
        </w:rPr>
      </w:pPr>
    </w:p>
    <w:p w14:paraId="6D3862FE" w14:textId="77777777" w:rsidR="00FC79C1" w:rsidRPr="009342F9" w:rsidRDefault="00FC79C1" w:rsidP="00683694">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CAPÍTULO 1</w:t>
      </w:r>
    </w:p>
    <w:p w14:paraId="273AA1DC" w14:textId="77777777" w:rsidR="00FC79C1" w:rsidRPr="009342F9" w:rsidRDefault="00FC79C1" w:rsidP="00683694">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ORGANIZACIONES POPULARES DE VIVIENDA</w:t>
      </w:r>
    </w:p>
    <w:p w14:paraId="0F604ADE"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815" w:name="ver_30072543"/>
      <w:bookmarkEnd w:id="815"/>
    </w:p>
    <w:p w14:paraId="7C24E73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2.1.6.1.1. Definición de Organizaciones Populares de Vivienda. Se entiende por organizaciones populares de vivienda aquellas que han sido constituidas y reconocidas como entidades sin ánimo de lucro cuyo sistema financiero sea de economía solidaria y tengan por objeto el desarrollo de programas de vivienda para sus afiliados por sistemas de autogestión o participación comunitaria. </w:t>
      </w:r>
    </w:p>
    <w:p w14:paraId="2EC7D8A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3CFD2F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Estas Organizaciones pueden ser constituidas por sindicatos, cooperativas, asociaciones, fundaciones, corporaciones, juntas de acción comunal, fondos de empleados, empresas comunitarias y las demás que puedan asimilarse a las anteriores, en los términos previstos por la Ley 9ª de 1989. </w:t>
      </w:r>
    </w:p>
    <w:p w14:paraId="3E9D7176"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816" w:name="ver_30072545"/>
      <w:bookmarkEnd w:id="816"/>
    </w:p>
    <w:p w14:paraId="391687C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2.1.6.1.2. Definición del Sistema Financiero de Economía Solidaria. Entiéndase por sistema financiero de economía solidaria aquel en el cual todos los afiliados participan directamente mediante aportes en dinero y en trabajo comunitario, o en cualquiera de las dos formas. </w:t>
      </w:r>
    </w:p>
    <w:p w14:paraId="13504A6C"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817" w:name="ver_30072547"/>
      <w:bookmarkEnd w:id="817"/>
    </w:p>
    <w:p w14:paraId="0A43DFF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2.1.6.1.3. Definición de los Sistemas de Autogestión o Participación Comunitaria. Se entiende que un plan dirigido a construir, adecuar o mejorar la vivienda en desarrollado por autogestión o participación comunitaria, cuando en él participan todos los afiliados administrativa, técnica y financieramente. </w:t>
      </w:r>
    </w:p>
    <w:p w14:paraId="55B24CF6"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818" w:name="ver_30072548"/>
      <w:bookmarkEnd w:id="818"/>
    </w:p>
    <w:p w14:paraId="343F5B9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2.1.6.1.4. De las Modalidades de los Sistemas de Autogestión o Participación Comunitaria. Según los niveles de participación de los afiliados en la construcción de las obras, se establecen las siguientes modalidades de los sistemas de autogestión o participación comunitaria: </w:t>
      </w:r>
    </w:p>
    <w:p w14:paraId="7DA9DB7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854563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 Por Construcción Delegada: Es aquella modalidad en la cual la gestión, administración y planificación de la obra, así como el nombramiento del personal técnico administrativo está a cargo de los afiliados a la Organización Popular, sin que medie su participación en forma de trabajo comunitario en la ejecución de las obras. </w:t>
      </w:r>
    </w:p>
    <w:p w14:paraId="567D5A6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202A93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b) Autoconstrucción: Es aquella modalidad de la autogestión en la que los afiliados contribuyen directamente con su trabajo en la ejecución de las obras. </w:t>
      </w:r>
    </w:p>
    <w:p w14:paraId="5B23785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ACD03D0" w14:textId="77777777" w:rsidR="00FC79C1" w:rsidRPr="009342F9" w:rsidRDefault="00FC79C1" w:rsidP="00FC79C1">
      <w:pPr>
        <w:spacing w:after="0" w:line="240" w:lineRule="auto"/>
        <w:jc w:val="both"/>
        <w:rPr>
          <w:rFonts w:ascii="Arial" w:eastAsia="Times New Roman" w:hAnsi="Arial" w:cs="Arial"/>
          <w:color w:val="000000"/>
          <w:lang w:eastAsia="es-CO"/>
        </w:rPr>
      </w:pPr>
      <w:proofErr w:type="gramStart"/>
      <w:r w:rsidRPr="009342F9">
        <w:rPr>
          <w:rFonts w:ascii="Arial" w:eastAsia="Times New Roman" w:hAnsi="Arial" w:cs="Arial"/>
          <w:color w:val="000000"/>
          <w:lang w:eastAsia="es-CO"/>
        </w:rPr>
        <w:t>Parágrafo.-</w:t>
      </w:r>
      <w:proofErr w:type="gramEnd"/>
      <w:r w:rsidRPr="009342F9">
        <w:rPr>
          <w:rFonts w:ascii="Arial" w:eastAsia="Times New Roman" w:hAnsi="Arial" w:cs="Arial"/>
          <w:color w:val="000000"/>
          <w:lang w:eastAsia="es-CO"/>
        </w:rPr>
        <w:t xml:space="preserve"> Las Organizaciones Populares de Vivienda podrán delegar en personas naturales o jurídicas, públicas o privadas, de idoneidad demostrada, la ejecución de obras que por su </w:t>
      </w:r>
      <w:r w:rsidRPr="009342F9">
        <w:rPr>
          <w:rFonts w:ascii="Arial" w:eastAsia="Times New Roman" w:hAnsi="Arial" w:cs="Arial"/>
          <w:color w:val="000000"/>
          <w:lang w:eastAsia="es-CO"/>
        </w:rPr>
        <w:lastRenderedPageBreak/>
        <w:t>naturaleza técnica así lo justifiquen. Los asociados no podrán delegar las actividades de gestión, administración y control sobre el programa. </w:t>
      </w:r>
    </w:p>
    <w:p w14:paraId="37BF9B9F" w14:textId="77777777" w:rsidR="00AA5FD1" w:rsidRDefault="00AA5FD1" w:rsidP="00FC79C1">
      <w:pPr>
        <w:spacing w:after="0" w:line="240" w:lineRule="auto"/>
        <w:jc w:val="both"/>
        <w:rPr>
          <w:rFonts w:ascii="Arial" w:eastAsia="Times New Roman" w:hAnsi="Arial" w:cs="Arial"/>
          <w:color w:val="000000"/>
          <w:lang w:eastAsia="es-CO"/>
        </w:rPr>
      </w:pPr>
    </w:p>
    <w:p w14:paraId="7A37EC1E" w14:textId="24A06140"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2.1.6.1.5. Número de Participantes de Cada Plan por los Sistemas de Autogestión o Participación Comunitaria. El número de participantes activos de cada plan de vivienda realizado por los sistemas de autogestión o participación </w:t>
      </w:r>
      <w:proofErr w:type="gramStart"/>
      <w:r w:rsidRPr="009342F9">
        <w:rPr>
          <w:rFonts w:ascii="Arial" w:eastAsia="Times New Roman" w:hAnsi="Arial" w:cs="Arial"/>
          <w:color w:val="000000"/>
          <w:lang w:eastAsia="es-CO"/>
        </w:rPr>
        <w:t>comunitaria,</w:t>
      </w:r>
      <w:proofErr w:type="gramEnd"/>
      <w:r w:rsidRPr="009342F9">
        <w:rPr>
          <w:rFonts w:ascii="Arial" w:eastAsia="Times New Roman" w:hAnsi="Arial" w:cs="Arial"/>
          <w:color w:val="000000"/>
          <w:lang w:eastAsia="es-CO"/>
        </w:rPr>
        <w:t xml:space="preserve"> no podrá ser menos de cinco (5) ni exceder de doscientos (200) y dicho número no podrá aumentar durante toda la etapa de ejecución. </w:t>
      </w:r>
    </w:p>
    <w:p w14:paraId="360C619F"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819" w:name="ver_30072550"/>
      <w:bookmarkEnd w:id="819"/>
    </w:p>
    <w:p w14:paraId="1409CF7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2.1.6.1.6. Obligaciones de las Organizaciones Populares de Vivienda ante la entidad de vigilancia y control de la actividad de construcción y enajenación de vivienda. Las Organizaciones Populares de Vivienda deberán cumplir con las siguientes obligaciones ante la entidad de vigilancia y control de la actividad de construcción y enajenación de vivienda: </w:t>
      </w:r>
    </w:p>
    <w:p w14:paraId="5769566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F25B55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Presentación anual de Estados Financieros, suscritos por el Representaste Legal y contador público, debidamente aprobados por el máximo órgano de la entidad. </w:t>
      </w:r>
    </w:p>
    <w:p w14:paraId="64ABB73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AA0410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Envío del presupuesto de gastos e inversiones por cada año, con la constancia de aprobación del órgano social correspondiente, antes del primer día hábil del mes de mayo. </w:t>
      </w:r>
    </w:p>
    <w:p w14:paraId="60EA612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A9F2D2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Relación de Ingresos y Egresos trimestral, con indicación del total recaudado por concepto de cuotas de vivienda y de las otras fuentes de financiación, debidamente discriminadas. </w:t>
      </w:r>
    </w:p>
    <w:p w14:paraId="67940C4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5A7FB3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Prueba del registro de los nombramientos ante las autoridades competentes: </w:t>
      </w:r>
    </w:p>
    <w:p w14:paraId="085CB39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el caso de las cooperativas, Certificación de la Cámara de Comercio; para las Asociaciones y Fundaciones, Certificación de la Alcaldía Mayor de Bogotá o de las Gobernaciones; para las Juntas de Vivienda Comunitaria, Certificación del Ministerio del Interior. </w:t>
      </w:r>
    </w:p>
    <w:p w14:paraId="6762561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28D669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 Envío del permiso de captación y/o enajenación de inmuebles destinados a vivienda, dentro del mes siguiente a la fecha de expedición. </w:t>
      </w:r>
    </w:p>
    <w:p w14:paraId="45A60F4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EA47E1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6. Informe de la evolución semestral del proyecto que contendrá básicamente el avance de la obra, número de adjudicaciones realizadas, número de socios, dificultades que se hubieren </w:t>
      </w:r>
      <w:proofErr w:type="gramStart"/>
      <w:r w:rsidRPr="009342F9">
        <w:rPr>
          <w:rFonts w:ascii="Arial" w:eastAsia="Times New Roman" w:hAnsi="Arial" w:cs="Arial"/>
          <w:color w:val="000000"/>
          <w:lang w:eastAsia="es-CO"/>
        </w:rPr>
        <w:t>presentando</w:t>
      </w:r>
      <w:proofErr w:type="gramEnd"/>
      <w:r w:rsidRPr="009342F9">
        <w:rPr>
          <w:rFonts w:ascii="Arial" w:eastAsia="Times New Roman" w:hAnsi="Arial" w:cs="Arial"/>
          <w:color w:val="000000"/>
          <w:lang w:eastAsia="es-CO"/>
        </w:rPr>
        <w:t xml:space="preserve"> en cualquier orden (financiero, administrativo, etc.), el cual se presentará en los primeros cinco días de los meses de enero y julio de cada año. </w:t>
      </w:r>
    </w:p>
    <w:p w14:paraId="361F78BC"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820" w:name="ver_30072551"/>
      <w:bookmarkEnd w:id="820"/>
    </w:p>
    <w:p w14:paraId="70679DC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2.1.6.1.7. Registro para Desarrollar Planes y Programas por los Sistemas de Autogestión o Participación Comunitaria. Para desarrollar planes y programas por los sistemas de autogestión o participación comunitaria, las Organizaciones Populares de Vivienda deberán registrarse ante la Alcaldía Mayor del Distrito Capital de Bogotá, Departamento Archipiélago de San Andrés, Providencia y Santa Catalina o en la Alcaldía Municipal del lugar donde se realice la obra. El registro se hará por una sola vez y se entenderá vigente por todo el término de duración de la Organización Popular de Vivienda o hasta que la Organización solicite su cancelación, a menos que le sea cancelado como consecuencia de las sanciones establecidas para este efecto. </w:t>
      </w:r>
    </w:p>
    <w:p w14:paraId="521C170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AAC7BF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Para obtener el registro de que trata el presente artículo, la Organización Popular de Vivienda debe presentar ante la respectiva autoridad, la solicitud correspondiente acompañada de un ejemplar de los Estatutos debidamente autenticado y Certificación sobre la Personería Jurídica y Representación Legal vigente. </w:t>
      </w:r>
    </w:p>
    <w:p w14:paraId="661CF92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08EB35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Para obtener la cancelación del registro, el representante legal de la Organización elevará ante la Alcaldía Mayor del Distrito Capital de Bogotá, Departamento Archipiélago de San Andrés, Providencia y Santa Catalina o Alcaldía Municipal respectiva, una solicitud acompañada de Declaración Jurada en la que indique no estar adelantando ninguna actividad de aquellas a que se refiere este capítulo y acreditando la culminación del o de los programas autorizados y certificación de la entidad que ejerce la vigilancia en el sentido de que no tiene obligaciones pendientes con la misma. </w:t>
      </w:r>
    </w:p>
    <w:p w14:paraId="09D4E12F"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821" w:name="ver_30072552"/>
      <w:bookmarkEnd w:id="821"/>
    </w:p>
    <w:p w14:paraId="46CF8F8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2.1.6.1.8. Asesoría de las Oficinas de Planeación. Las Organizaciones Populares de Vivienda, antes de adquirir los predios para sus programas de vivienda deberán consultar por escrito a la Oficina de Planeación o quien haga sus veces en el Distrito Capital de Bogotá, Departamento Archipiélago de San Andrés, Providencia y Santa Catalina o Municipio respectivo, sobre las características especiales del mismo. En la consulta debe indicarse los linderos y las particularidades especiales del predio si las hubiere. La entidad competente deberá certificar sobre los siguientes puntos: </w:t>
      </w:r>
    </w:p>
    <w:p w14:paraId="23C3365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30934A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 Situación del predio frente al Plan de Desarrollo Municipal. </w:t>
      </w:r>
    </w:p>
    <w:p w14:paraId="63368EB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F0EC3D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b) Localización del predio con respecto al perímetro de servicios públicos. </w:t>
      </w:r>
    </w:p>
    <w:p w14:paraId="347C37D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C77356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 Tipo de afectaciones futuras que pueda sufrir el predio. </w:t>
      </w:r>
    </w:p>
    <w:p w14:paraId="2448ABC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2F1BDD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d) Zonas de reserva. </w:t>
      </w:r>
    </w:p>
    <w:p w14:paraId="5F0CB9D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641898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 Posibles usos contaminantes del entorno inmediato. </w:t>
      </w:r>
    </w:p>
    <w:p w14:paraId="1B45CA8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F773F4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f) Confrontación de los linderos del predio con la cartografía del Distrito o del Municipio. </w:t>
      </w:r>
    </w:p>
    <w:p w14:paraId="7CC3ADB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9ECD37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g) Dictaminar las normas urbanísticas que para tal desarrollo existan en el Distrito Capital de Bogotá, Departamento Archipiélago de San Andrés, Providencia y Santa Catalina o Municipio de que se trate. </w:t>
      </w:r>
    </w:p>
    <w:p w14:paraId="3FC2596A"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822" w:name="ver_30072553"/>
      <w:bookmarkEnd w:id="822"/>
    </w:p>
    <w:p w14:paraId="1DED0BC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2.1.6.1.9. De los Permisos de Enajenación. Para obtener el permiso de enajenación de las unidades de vivienda, resultantes de un programa de autogestión o autoconstrucción, la Organización Popular deberá acreditar los requisitos que para el efecto exija la Alcaldía Municipal, el Distrito Capital de Bogotá o el Departamento Archipiélago de San Andrés, Providencia y Santa Catalina. </w:t>
      </w:r>
    </w:p>
    <w:p w14:paraId="04BDA3D4" w14:textId="77777777" w:rsidR="00AA5FD1" w:rsidRDefault="00AA5FD1" w:rsidP="00FC79C1">
      <w:pPr>
        <w:spacing w:after="0" w:line="240" w:lineRule="auto"/>
        <w:jc w:val="both"/>
        <w:rPr>
          <w:rFonts w:ascii="Arial" w:eastAsia="Times New Roman" w:hAnsi="Arial" w:cs="Arial"/>
          <w:color w:val="000000"/>
          <w:lang w:eastAsia="es-CO"/>
        </w:rPr>
      </w:pPr>
    </w:p>
    <w:p w14:paraId="35FC060E" w14:textId="3B6DF786"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2.1.6.1.10. De las Sanciones. El Distrito Capital de Bogotá, los municipios y el Departamento Archipiélago de San Andrés, Providencia y Santa Catalina, impondrán a las Organizaciones Populares de Vivienda, las sanciones establecidas en el numeral 9 del artículo 2° del Decreto Ley 78 de 1987 para los casos allí contemplados. </w:t>
      </w:r>
    </w:p>
    <w:p w14:paraId="0E0D5A95" w14:textId="77777777" w:rsidR="00AA5FD1" w:rsidRDefault="00AA5FD1" w:rsidP="00FC79C1">
      <w:pPr>
        <w:spacing w:after="0" w:line="240" w:lineRule="auto"/>
        <w:jc w:val="both"/>
        <w:rPr>
          <w:rFonts w:ascii="Arial" w:eastAsia="Times New Roman" w:hAnsi="Arial" w:cs="Arial"/>
          <w:color w:val="000000"/>
          <w:lang w:eastAsia="es-CO"/>
        </w:rPr>
      </w:pPr>
    </w:p>
    <w:p w14:paraId="0ADC585C" w14:textId="1594F1CF"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2.1.6.1.11. De los Comités Especiales. En los casos en que haya lugar a intervención de bienes y haberes de las personas jurídicas de que trata este capítulo, por ocurrencia de cualquiera de las causales previstas en el artículo 12 de la Ley 66 de 1968, el Agente Especial del Superintendente de Sociedades, o quien haga sus veces, en la Urbanización intervenida conformará un comité con participación de las personas designadas por los beneficiarios del Plan. Este comité, además de asistir al agente especial, cumplirá las funciones administrativas por él delegadas. </w:t>
      </w:r>
    </w:p>
    <w:p w14:paraId="47C85EBC"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823" w:name="ver_30072556"/>
      <w:bookmarkEnd w:id="823"/>
    </w:p>
    <w:p w14:paraId="6CE73D11" w14:textId="77777777" w:rsidR="00FC79C1" w:rsidRPr="009342F9" w:rsidRDefault="00FC79C1" w:rsidP="00FC79C1">
      <w:pPr>
        <w:spacing w:after="0" w:line="240" w:lineRule="auto"/>
        <w:jc w:val="both"/>
        <w:rPr>
          <w:rFonts w:ascii="Arial" w:eastAsia="Times New Roman" w:hAnsi="Arial" w:cs="Arial"/>
          <w:color w:val="000000"/>
          <w:lang w:eastAsia="es-CO"/>
        </w:rPr>
      </w:pPr>
      <w:r w:rsidRPr="231E957E">
        <w:rPr>
          <w:rFonts w:ascii="Arial" w:eastAsia="Times New Roman" w:hAnsi="Arial" w:cs="Arial"/>
          <w:color w:val="000000" w:themeColor="text1"/>
          <w:lang w:eastAsia="es-CO"/>
        </w:rPr>
        <w:lastRenderedPageBreak/>
        <w:t xml:space="preserve">Artículo 2.1.6.1.12. De la Capacitación. La capacitación que requieran los participantes activos y las organizaciones encargadas de adelantar planes y programas de vivienda por los sistemas de autogestión o participación </w:t>
      </w:r>
      <w:proofErr w:type="gramStart"/>
      <w:r w:rsidRPr="231E957E">
        <w:rPr>
          <w:rFonts w:ascii="Arial" w:eastAsia="Times New Roman" w:hAnsi="Arial" w:cs="Arial"/>
          <w:color w:val="000000" w:themeColor="text1"/>
          <w:lang w:eastAsia="es-CO"/>
        </w:rPr>
        <w:t>comunitaria,</w:t>
      </w:r>
      <w:proofErr w:type="gramEnd"/>
      <w:r w:rsidRPr="231E957E">
        <w:rPr>
          <w:rFonts w:ascii="Arial" w:eastAsia="Times New Roman" w:hAnsi="Arial" w:cs="Arial"/>
          <w:color w:val="000000" w:themeColor="text1"/>
          <w:lang w:eastAsia="es-CO"/>
        </w:rPr>
        <w:t xml:space="preserve"> será suministrada por el Servicio Nacional de Aprendizaje SENA, la Escuela Superior de Administración Pública ESAP y/o por las entidades públicas y privadas interesadas en tal fin. </w:t>
      </w:r>
    </w:p>
    <w:p w14:paraId="6A5E20CE" w14:textId="41BECB90" w:rsidR="00A27815"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F643E2E" w14:textId="77777777" w:rsidR="00FC79C1" w:rsidRPr="00AA5FD1" w:rsidRDefault="00FC79C1" w:rsidP="00AA5FD1">
      <w:pPr>
        <w:spacing w:after="0" w:line="240" w:lineRule="auto"/>
        <w:jc w:val="center"/>
        <w:rPr>
          <w:rFonts w:ascii="Arial" w:eastAsia="Times New Roman" w:hAnsi="Arial" w:cs="Arial"/>
          <w:b/>
          <w:bCs/>
          <w:color w:val="000000"/>
          <w:lang w:eastAsia="es-CO"/>
        </w:rPr>
      </w:pPr>
      <w:bookmarkStart w:id="824" w:name="ver_30109522"/>
      <w:bookmarkEnd w:id="824"/>
      <w:r w:rsidRPr="00AA5FD1">
        <w:rPr>
          <w:rFonts w:ascii="Arial" w:eastAsia="Times New Roman" w:hAnsi="Arial" w:cs="Arial"/>
          <w:b/>
          <w:bCs/>
          <w:color w:val="000000"/>
          <w:lang w:eastAsia="es-CO"/>
        </w:rPr>
        <w:t>CAPÍTULO 2</w:t>
      </w:r>
    </w:p>
    <w:p w14:paraId="43B26D9C" w14:textId="77777777" w:rsidR="00FC79C1" w:rsidRPr="00AA5FD1" w:rsidRDefault="00FC79C1" w:rsidP="00AA5FD1">
      <w:pPr>
        <w:spacing w:after="0" w:line="240" w:lineRule="auto"/>
        <w:jc w:val="center"/>
        <w:rPr>
          <w:rFonts w:ascii="Arial" w:eastAsia="Times New Roman" w:hAnsi="Arial" w:cs="Arial"/>
          <w:b/>
          <w:bCs/>
          <w:color w:val="000000"/>
          <w:lang w:eastAsia="es-CO"/>
        </w:rPr>
      </w:pPr>
      <w:r w:rsidRPr="00AA5FD1">
        <w:rPr>
          <w:rFonts w:ascii="Arial" w:eastAsia="Times New Roman" w:hAnsi="Arial" w:cs="Arial"/>
          <w:b/>
          <w:bCs/>
          <w:color w:val="000000"/>
          <w:lang w:eastAsia="es-CO"/>
        </w:rPr>
        <w:t>INCUMPLIMIENTO EN LA EJECUCIÓN DE PROYECTOS DE VIVIENDA DE INTERÉS SOCIAL URBANA</w:t>
      </w:r>
    </w:p>
    <w:p w14:paraId="2F23E01A"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825" w:name="ver_30109523"/>
      <w:bookmarkEnd w:id="825"/>
    </w:p>
    <w:p w14:paraId="0E59048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2.1.6.2.</w:t>
      </w:r>
      <w:proofErr w:type="gramStart"/>
      <w:r w:rsidRPr="009342F9">
        <w:rPr>
          <w:rFonts w:ascii="Arial" w:eastAsia="Times New Roman" w:hAnsi="Arial" w:cs="Arial"/>
          <w:color w:val="000000"/>
          <w:lang w:eastAsia="es-CO"/>
        </w:rPr>
        <w:t>1.Incumplimiento</w:t>
      </w:r>
      <w:proofErr w:type="gramEnd"/>
      <w:r w:rsidRPr="009342F9">
        <w:rPr>
          <w:rFonts w:ascii="Arial" w:eastAsia="Times New Roman" w:hAnsi="Arial" w:cs="Arial"/>
          <w:color w:val="000000"/>
          <w:lang w:eastAsia="es-CO"/>
        </w:rPr>
        <w:t xml:space="preserve"> de obligaciones en proyectos de vivienda de interés social urbana. El Fondo Nacional de Vivienda (Fonvivienda) y las instituciones otorgantes del subsidio familiar de vivienda urbana de las entidades territoriales adelantarán el procedimiento administrativo sancionatorio al que hace referencia el artículo 47 y siguientes del Código de Procedimiento Administrativo y de lo Contencioso Administrativo, o las normas que los modifiquen, adicionen o sustituyan, contra los constructores, interventores, auditores y/o supervisores que hayan incurrido en un presunto incumplimiento de sus obligaciones, durante la ejecución de proyectos de vivienda que involucren recursos de subsidios familiares de vivienda asignados por este.  </w:t>
      </w:r>
    </w:p>
    <w:p w14:paraId="080FD35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22C573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 sanción en que incurrirán los constructores, interventores, auditores y/o supervisores, de conformidad con lo dispuesto en el artículo 22 de la Ley 1537 de 2012, será la imposibilidad de participar durante diez (10) años en proyectos de vivienda de interés social que vinculen los recursos asignados por las entidades otorgantes de subsidios familiares de vivienda.  </w:t>
      </w:r>
    </w:p>
    <w:p w14:paraId="5A1B07A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A00E19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el evento en que los constructores, interventores, auditores y/o supervisores de los proyectos de vivienda hayan desarrollado sus obligaciones a través de un consorcio, unión temporal o cualquier otra forma asociativa permitida por la ley, se iniciará el proceso sancionatorio a todos los miembros de la forma asociativa, y se determinará la sanción a cada uno, de conformidad con lo establecido en el artículo 7° de la Ley 80 de 1993 o las normas que lo modifiquen, adicionen o sustituyan.  </w:t>
      </w:r>
    </w:p>
    <w:p w14:paraId="6EDA39F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4EF6F3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Cuando los órganos de decisión de los patrimonios autónomos en los cuales Fonvivienda o las instituciones otorgantes del subsidio familiar de vivienda urbana de las entidades territoriales sean fideicomitentes determinen qué constructores, interventores, auditores y/o supervisores de proyectos de vivienda incumplieron sus obligaciones, la sociedad fiduciaria vocera del Fideicomiso informará la decisión a los directores o representantes legales de las entidades otorgantes del subsidio familiar de vivienda, quienes deberán adelantar el procedimiento administrativo sancionatorio de que trata este artículo y emitir el acto administrativo sancionatorio que se reportará en los términos establecidos en el presente capítulo.  </w:t>
      </w:r>
    </w:p>
    <w:p w14:paraId="308B1FD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451938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todo caso, si tanto Fonvivienda como las instituciones otorgantes del subsidio familiar de vivienda urbana de las entidades territoriales aportaron recursos al mismo patrimonio autónomo, Fonvivienda adelantará el procedimiento administrativo sancionatorio de que trata este artículo.  </w:t>
      </w:r>
    </w:p>
    <w:p w14:paraId="25C67F75" w14:textId="00E1DAF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826" w:name="ver_30109524"/>
      <w:bookmarkEnd w:id="826"/>
    </w:p>
    <w:p w14:paraId="4B146BD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2.1.6.2.</w:t>
      </w:r>
      <w:proofErr w:type="gramStart"/>
      <w:r w:rsidRPr="009342F9">
        <w:rPr>
          <w:rFonts w:ascii="Arial" w:eastAsia="Times New Roman" w:hAnsi="Arial" w:cs="Arial"/>
          <w:color w:val="000000"/>
          <w:lang w:eastAsia="es-CO"/>
        </w:rPr>
        <w:t>2.Reporte</w:t>
      </w:r>
      <w:proofErr w:type="gramEnd"/>
      <w:r w:rsidRPr="009342F9">
        <w:rPr>
          <w:rFonts w:ascii="Arial" w:eastAsia="Times New Roman" w:hAnsi="Arial" w:cs="Arial"/>
          <w:color w:val="000000"/>
          <w:lang w:eastAsia="es-CO"/>
        </w:rPr>
        <w:t xml:space="preserve"> de la información. Las sanciones impuestas a los constructores, interventores, auditores y/o supervisores de proyectos de vivienda, deberán ser reportadas por la entidad otorgante del subsidio familiar de vivienda, dentro del mes siguiente a la ejecutoria del respectivo acto, a la Cámara de Comercio que tenga jurisdicción en el lugar del domicilio del inscrito en el Registro Único de Proponentes que haya sido sancionado.  </w:t>
      </w:r>
    </w:p>
    <w:p w14:paraId="697AFE9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E86942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xml:space="preserve">La Superintendencia de Industria y Comercio determinará las especificaciones técnicas, procedimiento y condiciones para el reporte electrónico de información que Fonvivienda o las entidades otorgantes de subsidios están obligadas a suministrar a las Cámaras de Comercio sobre las sanciones impuestas a los inscritos en el Registro Único de Proponentes, de acuerdo con lo establecido en el presente capítulo, dentro de los tres (3) meses siguientes a su </w:t>
      </w:r>
      <w:proofErr w:type="gramStart"/>
      <w:r w:rsidRPr="009342F9">
        <w:rPr>
          <w:rFonts w:ascii="Arial" w:eastAsia="Times New Roman" w:hAnsi="Arial" w:cs="Arial"/>
          <w:color w:val="000000"/>
          <w:lang w:eastAsia="es-CO"/>
        </w:rPr>
        <w:t>entrada en vigencia</w:t>
      </w:r>
      <w:proofErr w:type="gramEnd"/>
      <w:r w:rsidRPr="009342F9">
        <w:rPr>
          <w:rFonts w:ascii="Arial" w:eastAsia="Times New Roman" w:hAnsi="Arial" w:cs="Arial"/>
          <w:color w:val="000000"/>
          <w:lang w:eastAsia="es-CO"/>
        </w:rPr>
        <w:t>.  </w:t>
      </w:r>
    </w:p>
    <w:p w14:paraId="7BEE116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71D8A1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Las sanciones y medidas administrativas de incumplimiento declaradas a consorcios, uniones temporales o cualquier otra forma asociativa permitida por la ley, deberán reportarse respecto a cada uno de sus integrantes inscritos.  </w:t>
      </w:r>
    </w:p>
    <w:p w14:paraId="43472B5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C57394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Adicionalmente, cuando se trate de sanciones o medidas administrativas impuestas por Fonvivienda, esta entidad incluirá la sanción en el Sistema de Información del Subsidio Familiar de Vivienda, y se mantendrá en el mismo por el tiempo de la sanción.  </w:t>
      </w:r>
    </w:p>
    <w:p w14:paraId="593CE58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03E679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1°. Las entidades otorgantes del subsidio familiar de vivienda, del nivel departamental y municipal, deberán reportar la información de que trata este artículo, surtiendo el procedimiento y condiciones que defina la Superintendencia de Industria y Comercio para el efecto. Adicionalmente, deberán reportar la misma información a Fonvivienda, en los términos y condiciones definidos por este, con el fin de que se incluya en el Sistema de Información del Subsidio Familiar de Vivienda.  </w:t>
      </w:r>
    </w:p>
    <w:p w14:paraId="4519469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5B5681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2°. Fonvivienda estará obligada a reportar a las Cámaras de Comercio la información a que se refiere el presente artículo, a partir de los tres (3) meses siguientes a la fecha en que Confecámaras comunique a la Superintendencia de Industria y Comercio sobre la implementación definitiva de la solución tecnológica adoptada para el reporte de dicha información. Una vez reciba la mencionada comunicación la Superintendencia de Industria y Comercio, informará a Fonvivienda, para los fines pertinentes.  </w:t>
      </w:r>
    </w:p>
    <w:p w14:paraId="47B7FADF"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827" w:name="ver_30109525"/>
      <w:bookmarkEnd w:id="827"/>
    </w:p>
    <w:p w14:paraId="782014C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2.1.6.2.</w:t>
      </w:r>
      <w:proofErr w:type="gramStart"/>
      <w:r w:rsidRPr="009342F9">
        <w:rPr>
          <w:rFonts w:ascii="Arial" w:eastAsia="Times New Roman" w:hAnsi="Arial" w:cs="Arial"/>
          <w:color w:val="000000"/>
          <w:lang w:eastAsia="es-CO"/>
        </w:rPr>
        <w:t>3.Reporte</w:t>
      </w:r>
      <w:proofErr w:type="gramEnd"/>
      <w:r w:rsidRPr="009342F9">
        <w:rPr>
          <w:rFonts w:ascii="Arial" w:eastAsia="Times New Roman" w:hAnsi="Arial" w:cs="Arial"/>
          <w:color w:val="000000"/>
          <w:lang w:eastAsia="es-CO"/>
        </w:rPr>
        <w:t xml:space="preserve"> de información previamente emitida. La información de las sanciones y medidas administrativas de incumplimiento declaradas por Fonvivienda antes de la entrada en vigencia del presente </w:t>
      </w:r>
      <w:proofErr w:type="gramStart"/>
      <w:r w:rsidRPr="009342F9">
        <w:rPr>
          <w:rFonts w:ascii="Arial" w:eastAsia="Times New Roman" w:hAnsi="Arial" w:cs="Arial"/>
          <w:color w:val="000000"/>
          <w:lang w:eastAsia="es-CO"/>
        </w:rPr>
        <w:t>capítulo,</w:t>
      </w:r>
      <w:proofErr w:type="gramEnd"/>
      <w:r w:rsidRPr="009342F9">
        <w:rPr>
          <w:rFonts w:ascii="Arial" w:eastAsia="Times New Roman" w:hAnsi="Arial" w:cs="Arial"/>
          <w:color w:val="000000"/>
          <w:lang w:eastAsia="es-CO"/>
        </w:rPr>
        <w:t xml:space="preserve"> deberá ser reportada por dicha entidad a la Cámara de Comercio del domicilio del inscrito en el Registro Único de Proponentes que haya sido sancionado, dentro de los tres (3) meses siguientes a la fecha en que reciba la comunicación a que se refiere el parágrafo 2° del artículo 2.1.6.2.2 de este decreto.  </w:t>
      </w:r>
    </w:p>
    <w:p w14:paraId="7202F7EC"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828" w:name="ver_30109526"/>
      <w:bookmarkEnd w:id="828"/>
    </w:p>
    <w:p w14:paraId="76EE092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2.1.6.2.</w:t>
      </w:r>
      <w:proofErr w:type="gramStart"/>
      <w:r w:rsidRPr="009342F9">
        <w:rPr>
          <w:rFonts w:ascii="Arial" w:eastAsia="Times New Roman" w:hAnsi="Arial" w:cs="Arial"/>
          <w:color w:val="000000"/>
          <w:lang w:eastAsia="es-CO"/>
        </w:rPr>
        <w:t>4.Condiciones</w:t>
      </w:r>
      <w:proofErr w:type="gramEnd"/>
      <w:r w:rsidRPr="009342F9">
        <w:rPr>
          <w:rFonts w:ascii="Arial" w:eastAsia="Times New Roman" w:hAnsi="Arial" w:cs="Arial"/>
          <w:color w:val="000000"/>
          <w:lang w:eastAsia="es-CO"/>
        </w:rPr>
        <w:t xml:space="preserve"> para el reporte de la información. Cuando la entidad que haya emitido la sanción o medida de incumplimiento reporte la información respectiva, las Cámaras de Comercio la registrarán sin necesidad de actuación alguna por parte del incumplido y/o sancionado.  </w:t>
      </w:r>
    </w:p>
    <w:p w14:paraId="24E0FC2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6360A7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Las Cámaras de Comercio no serán responsables del contenido ni de la oportunidad de la información reportada por la entidad que reporte la sanción o medida de incumplimiento, por lo tanto, las controversias respecto de la </w:t>
      </w:r>
      <w:proofErr w:type="gramStart"/>
      <w:r w:rsidRPr="009342F9">
        <w:rPr>
          <w:rFonts w:ascii="Arial" w:eastAsia="Times New Roman" w:hAnsi="Arial" w:cs="Arial"/>
          <w:color w:val="000000"/>
          <w:lang w:eastAsia="es-CO"/>
        </w:rPr>
        <w:t>misma,</w:t>
      </w:r>
      <w:proofErr w:type="gramEnd"/>
      <w:r w:rsidRPr="009342F9">
        <w:rPr>
          <w:rFonts w:ascii="Arial" w:eastAsia="Times New Roman" w:hAnsi="Arial" w:cs="Arial"/>
          <w:color w:val="000000"/>
          <w:lang w:eastAsia="es-CO"/>
        </w:rPr>
        <w:t xml:space="preserve"> deberán surtirse ante dicha entidad.  </w:t>
      </w:r>
    </w:p>
    <w:p w14:paraId="423BFD6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27421A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Las certificaciones que expidan las Cámaras de Comercio, en relación con el Registro Único de Proponentes deberán permitir verificar si los reportes de incumplimientos contractuales están relacionados con el desarrollo de contratos de obra civil y/o interventoría de obra civil”.  </w:t>
      </w:r>
    </w:p>
    <w:p w14:paraId="67A50539" w14:textId="7399DA11" w:rsidR="00FC79C1" w:rsidRPr="009342F9" w:rsidRDefault="00FC79C1" w:rsidP="00683694">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0C64C2D" w14:textId="77777777" w:rsidR="00FC79C1" w:rsidRPr="009342F9" w:rsidRDefault="00FC79C1" w:rsidP="00683694">
      <w:pPr>
        <w:spacing w:after="0" w:line="240" w:lineRule="auto"/>
        <w:jc w:val="center"/>
        <w:rPr>
          <w:rFonts w:ascii="Arial" w:eastAsia="Times New Roman" w:hAnsi="Arial" w:cs="Arial"/>
          <w:b/>
          <w:bCs/>
          <w:color w:val="000000"/>
          <w:lang w:eastAsia="es-CO"/>
        </w:rPr>
      </w:pPr>
      <w:bookmarkStart w:id="829" w:name="ver_30072557"/>
      <w:bookmarkEnd w:id="829"/>
      <w:r w:rsidRPr="009342F9">
        <w:rPr>
          <w:rFonts w:ascii="Arial" w:eastAsia="Times New Roman" w:hAnsi="Arial" w:cs="Arial"/>
          <w:b/>
          <w:bCs/>
          <w:color w:val="000000"/>
          <w:lang w:eastAsia="es-CO"/>
        </w:rPr>
        <w:t>TÍTULO 7</w:t>
      </w:r>
    </w:p>
    <w:p w14:paraId="1265267A" w14:textId="77777777" w:rsidR="00FC79C1" w:rsidRPr="009342F9" w:rsidRDefault="00FC79C1" w:rsidP="00683694">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CONSEJO SUPERIOR DE VIVIENDA</w:t>
      </w:r>
    </w:p>
    <w:p w14:paraId="4D81DEC7"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830" w:name="ver_30072558"/>
      <w:bookmarkEnd w:id="830"/>
    </w:p>
    <w:p w14:paraId="0A4C449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2.1.7.1. Naturaleza y funciones del consejo superior de vivienda. El consejo superior de vivienda, creado mediante el artículo 6º de la Ley 546 de 1999 es un organismo asesor del gobierno en materia de vivienda, adscrito al Ministerio de Vivienda, Ciudad y Territorio, que cuenta con las siguientes funciones, según lo establecido en la Ley 3ª de 1991 y en la Ley 546 de 1999. </w:t>
      </w:r>
    </w:p>
    <w:p w14:paraId="2AEF6B6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DF9455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Asesorar al Gobierno Nacional en la formulación, coordinación, y ejecución de la política de vivienda, particularmente de la de interés social. </w:t>
      </w:r>
    </w:p>
    <w:p w14:paraId="1EE6B19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336C4A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Revisar los costos para adquisición de vivienda, tales como los gastos por concepto de impuestos, tarifas y tasas. </w:t>
      </w:r>
    </w:p>
    <w:p w14:paraId="3723A86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E00D19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Evaluar periódicamente los resultados obtenidos en desarrollo de los programas de ejecución de la política de vivienda. </w:t>
      </w:r>
    </w:p>
    <w:p w14:paraId="3076251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F7AA27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Velar por el cumplimiento de los objetivos y criterios del sistema especializado de financiación de vivienda a largo plazo. </w:t>
      </w:r>
    </w:p>
    <w:p w14:paraId="5EB7ED1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10FBC8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 Establecer y divulgar las estadísticas que afecten a la construcción y financiación de vivienda. </w:t>
      </w:r>
    </w:p>
    <w:p w14:paraId="63C1AA0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7A537A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6. Velar por el cumplimiento de las condiciones de transferencia e información en las actividades de las diferentes entidades involucradas en el sistema especializado de financiación de vivienda a largo plazo. </w:t>
      </w:r>
    </w:p>
    <w:p w14:paraId="3854920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F71FAC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7. Recomendar a la Junta Directiva del Banco de la República la intervención temporal en los márgenes de intermediación de los créditos destinados a la financiación de vivienda. </w:t>
      </w:r>
    </w:p>
    <w:p w14:paraId="72AE193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C09BE3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8. Recomendar los seguros que amparen los riesgos que puedan tener los activos que se financien. </w:t>
      </w:r>
    </w:p>
    <w:p w14:paraId="3CD384E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99F210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9. Recomendar incentivos para la adquisición y comercialización de bonos y títulos hipotecarios. </w:t>
      </w:r>
    </w:p>
    <w:p w14:paraId="08C22A5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BDDF7B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10. Presentar anualmente, dentro de los primeros quince (15) días de cada legislatura, al Congreso de la República un informe acerca del déficit cuantitativo y cualitativo, urbano y rural de vivienda, en el nivel nacional y regional, en forma global y por estrato socioeconómico. </w:t>
      </w:r>
    </w:p>
    <w:p w14:paraId="2D74C0E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31867A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11. Las demás que le asigne la ley. </w:t>
      </w:r>
    </w:p>
    <w:p w14:paraId="0F51BF2E"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831" w:name="ver_30072559"/>
      <w:bookmarkEnd w:id="831"/>
    </w:p>
    <w:p w14:paraId="4E200C4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2.1.7.2. Conformación del consejo superior de vivienda y escogencia de sus integrantes. El consejo superior de vivienda, consagrado en la Ley 546 de 1999, estará integrado por: </w:t>
      </w:r>
    </w:p>
    <w:p w14:paraId="3E8394A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8E984A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El Ministro de Vivienda, Ciudad y Territorio o su delegado, quien lo presidirá. </w:t>
      </w:r>
    </w:p>
    <w:p w14:paraId="119211C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BC0810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El Ministro de Hacienda y Crédito Público o su delegado. </w:t>
      </w:r>
    </w:p>
    <w:p w14:paraId="1322571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774B32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El director del Departamento Nacional de Planeación o su delegado. </w:t>
      </w:r>
    </w:p>
    <w:p w14:paraId="43099AD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284E78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El Superintendente Financiero o su delegado. </w:t>
      </w:r>
    </w:p>
    <w:p w14:paraId="1FB2978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16B26E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 El Superintendente de Sociedades o su delegado. </w:t>
      </w:r>
    </w:p>
    <w:p w14:paraId="26C11DA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w:t>
      </w:r>
    </w:p>
    <w:p w14:paraId="599A608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6. El Superintendente del Subsidio Familiar o su delegado. </w:t>
      </w:r>
    </w:p>
    <w:p w14:paraId="12773B3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326C09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7. Un representante de las organizaciones populares de vivienda, escogido por el Ministro de Vivienda, Ciudad y Territorio, de las organizaciones de este tipo, legalmente reconocidas y que se inscriban para este propósito, ante la secretaría técnica del consejo superior de vivienda. </w:t>
      </w:r>
    </w:p>
    <w:p w14:paraId="00B60E2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349F71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8. Un representante de los constructores, escogido por el Ministro de Vivienda, Ciudad y Territorio, de las agremiaciones de este tipo, legalmente constituidas y que se inscriban para este propósito, ante la secretaría técnica del consejo superior de vivienda. </w:t>
      </w:r>
    </w:p>
    <w:p w14:paraId="27980C2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F18129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9. Un representante de los establecimientos de crédito, escogido por el Ministro de Hacienda y Crédito Público, de los que se inscriban para este propósito, ante la secretaría técnica del consejo superior de vivienda. </w:t>
      </w:r>
    </w:p>
    <w:p w14:paraId="298EB29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266A62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10. Un representante de los usuarios de crédito individual de vivienda, escogido por el Ministro de Hacienda y Crédito Público, de las asociaciones de este tipo legalmente constituidas, y que se inscriban para este propósito, ante la secretaría técnica del consejo superior de vivienda. </w:t>
      </w:r>
    </w:p>
    <w:p w14:paraId="1701B2D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73789B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11. Un representante de los trabajadores, escogido por el Ministro de Vivienda, Ciudad y Territorio, de terna enviada por las organizaciones sindicales de tercer grado a la secretaría técnica del consejo superior de vivienda. </w:t>
      </w:r>
    </w:p>
    <w:p w14:paraId="68AA617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B699FA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12. Un representante de las cajas de compensación familiar, elegido por el consejo superior del subsidio familiar. </w:t>
      </w:r>
    </w:p>
    <w:p w14:paraId="4E1E441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A2848A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13. Un representante del sector inmobiliario nacional, escogido por el Ministro de Vivienda, Ciudad y Territorio, de las lonjas de propiedad raíz y establecimientos de comercio que cumplen funciones de enajenación de inmuebles, que se inscriban para este propósito, ante la secretaría técnica del consejo superior de vivienda. </w:t>
      </w:r>
    </w:p>
    <w:p w14:paraId="767918D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EBBFEF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1º. El período de los integrantes del consejo, de que tratan los numerales 8º al 14 del presente artículo, será de dos (2) años contados a partir de la fecha de su escogencia o elección. En el evento de renuncia de uno de ellos, sin que hubiere concluido el período para el cual fue elegido, se procederá a la elección de un nuevo representante, en la forma prevista en el presente artículo, para que culmine el período correspondiente. </w:t>
      </w:r>
    </w:p>
    <w:p w14:paraId="2D30855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9777AD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2º. La inscripción para la selección de cada representante ante la secretaría técnica del consejo superior de vivienda, se hará indicando para qué propósito y allegando los documentos que lo acrediten como tal. </w:t>
      </w:r>
    </w:p>
    <w:p w14:paraId="37B0AB6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FAD513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3°. En el evento que no se inscriban o no sean enviadas las ternas de que trata el presente artículo, el Ministro de Hacienda y Crédito Público designará a los Representantes de los Establecimientos de Crédito y de los Usuarios de Crédito Individual, y el Ministro de Vivienda, Ciudad y Territorio designará a los Representantes de las Organizaciones Populares de Vivienda, de los Constructores, de los Trabajadores y del Sector Inmobiliario Nacional. (Adicionado por el Decreto 2319 de 2000, artículo 1°).  </w:t>
      </w:r>
    </w:p>
    <w:p w14:paraId="6A2EDB4A"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832" w:name="ver_30072560"/>
      <w:bookmarkEnd w:id="832"/>
    </w:p>
    <w:p w14:paraId="229F88C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2.1.7.3. Secretaría técnica del consejo superior de vivienda. El consejo superior de </w:t>
      </w:r>
      <w:proofErr w:type="gramStart"/>
      <w:r w:rsidRPr="009342F9">
        <w:rPr>
          <w:rFonts w:ascii="Arial" w:eastAsia="Times New Roman" w:hAnsi="Arial" w:cs="Arial"/>
          <w:color w:val="000000"/>
          <w:lang w:eastAsia="es-CO"/>
        </w:rPr>
        <w:t>vivienda,</w:t>
      </w:r>
      <w:proofErr w:type="gramEnd"/>
      <w:r w:rsidRPr="009342F9">
        <w:rPr>
          <w:rFonts w:ascii="Arial" w:eastAsia="Times New Roman" w:hAnsi="Arial" w:cs="Arial"/>
          <w:color w:val="000000"/>
          <w:lang w:eastAsia="es-CO"/>
        </w:rPr>
        <w:t xml:space="preserve"> contará con una secretaría técnica permanente la cual será ejercida por la dirección </w:t>
      </w:r>
      <w:r w:rsidRPr="009342F9">
        <w:rPr>
          <w:rFonts w:ascii="Arial" w:eastAsia="Times New Roman" w:hAnsi="Arial" w:cs="Arial"/>
          <w:color w:val="000000"/>
          <w:lang w:eastAsia="es-CO"/>
        </w:rPr>
        <w:lastRenderedPageBreak/>
        <w:t>general de vivienda del Ministerio de Vivienda, Ciudad y Territorio, o la dependencia que haga sus veces, y tendrá las siguientes funciones: </w:t>
      </w:r>
    </w:p>
    <w:p w14:paraId="5D4F7E3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DAA76E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Prestar apoyo operativo al consejo, en los asuntos relacionados con su participación en el mismo. </w:t>
      </w:r>
    </w:p>
    <w:p w14:paraId="1FA02AC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E94CF6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2. Levantar las actas de las reuniones del consejo y ejercer la guarda de </w:t>
      </w:r>
      <w:proofErr w:type="gramStart"/>
      <w:r w:rsidRPr="009342F9">
        <w:rPr>
          <w:rFonts w:ascii="Arial" w:eastAsia="Times New Roman" w:hAnsi="Arial" w:cs="Arial"/>
          <w:color w:val="000000"/>
          <w:lang w:eastAsia="es-CO"/>
        </w:rPr>
        <w:t>las mismas</w:t>
      </w:r>
      <w:proofErr w:type="gramEnd"/>
      <w:r w:rsidRPr="009342F9">
        <w:rPr>
          <w:rFonts w:ascii="Arial" w:eastAsia="Times New Roman" w:hAnsi="Arial" w:cs="Arial"/>
          <w:color w:val="000000"/>
          <w:lang w:eastAsia="es-CO"/>
        </w:rPr>
        <w:t>. </w:t>
      </w:r>
    </w:p>
    <w:p w14:paraId="0DE4AEF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918A40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Preparar los temas a tratar en cada reunión del consejo. </w:t>
      </w:r>
    </w:p>
    <w:p w14:paraId="61587A4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A57CD5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Informar con la debida antelación a los miembros del consejo, sobre las convocatorias a las reuniones realizadas por la presidencia del consejo. </w:t>
      </w:r>
    </w:p>
    <w:p w14:paraId="356C2F8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2685A7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 Las demás establecidas en la ley o el reglamento. </w:t>
      </w:r>
    </w:p>
    <w:p w14:paraId="3ADC0BE2" w14:textId="016E3C2D"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833" w:name="ver_30072561"/>
      <w:bookmarkEnd w:id="833"/>
    </w:p>
    <w:p w14:paraId="26C0AA4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2.1.7.4. Asesores del consejo superior de vivienda. El consejo superior de vivienda contará con dos asesores, designados uno (1) por el </w:t>
      </w:r>
      <w:proofErr w:type="gramStart"/>
      <w:r w:rsidRPr="009342F9">
        <w:rPr>
          <w:rFonts w:ascii="Arial" w:eastAsia="Times New Roman" w:hAnsi="Arial" w:cs="Arial"/>
          <w:color w:val="000000"/>
          <w:lang w:eastAsia="es-CO"/>
        </w:rPr>
        <w:t>Ministro</w:t>
      </w:r>
      <w:proofErr w:type="gramEnd"/>
      <w:r w:rsidRPr="009342F9">
        <w:rPr>
          <w:rFonts w:ascii="Arial" w:eastAsia="Times New Roman" w:hAnsi="Arial" w:cs="Arial"/>
          <w:color w:val="000000"/>
          <w:lang w:eastAsia="es-CO"/>
        </w:rPr>
        <w:t xml:space="preserve"> de Hacienda y Crédito Público, y uno (1) por el Ministro de Vivienda, Ciudad y Territorio, los cuales serán expertos con amplia preparación en los temas de competencia del mismo. Los asesores del consejo superior de vivienda analizarán y conceptuarán sobre los asuntos sometidos a su consideración por el secretario técnico. </w:t>
      </w:r>
    </w:p>
    <w:p w14:paraId="0E1F240B" w14:textId="7D9942E5"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834" w:name="ver_30072562"/>
      <w:bookmarkEnd w:id="834"/>
    </w:p>
    <w:p w14:paraId="5BB6732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2.1.7.5. Reuniones y convocatorias. El consejo superior de vivienda se reunirá, al menos, dos (2) veces al año, previa convocatoria del Ministro de Vivienda, Ciudad y Territorio, a través de la secretaría técnica, efectuada por escrito que se enviará como mínimo con cinco (5) días de antelación a la fecha de la reunión. </w:t>
      </w:r>
    </w:p>
    <w:p w14:paraId="50C834D9" w14:textId="77777777" w:rsidR="00AA5FD1" w:rsidRDefault="00AA5FD1" w:rsidP="00FC79C1">
      <w:pPr>
        <w:spacing w:after="0" w:line="240" w:lineRule="auto"/>
        <w:jc w:val="both"/>
        <w:rPr>
          <w:rFonts w:ascii="Arial" w:eastAsia="Times New Roman" w:hAnsi="Arial" w:cs="Arial"/>
          <w:color w:val="000000"/>
          <w:lang w:eastAsia="es-CO"/>
        </w:rPr>
      </w:pPr>
    </w:p>
    <w:p w14:paraId="21AF58FE" w14:textId="1F6DC26B"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2.1.7.6. Quórum </w:t>
      </w:r>
      <w:proofErr w:type="spellStart"/>
      <w:r w:rsidRPr="009342F9">
        <w:rPr>
          <w:rFonts w:ascii="Arial" w:eastAsia="Times New Roman" w:hAnsi="Arial" w:cs="Arial"/>
          <w:color w:val="000000"/>
          <w:lang w:eastAsia="es-CO"/>
        </w:rPr>
        <w:t>deliberatorio</w:t>
      </w:r>
      <w:proofErr w:type="spellEnd"/>
      <w:r w:rsidRPr="009342F9">
        <w:rPr>
          <w:rFonts w:ascii="Arial" w:eastAsia="Times New Roman" w:hAnsi="Arial" w:cs="Arial"/>
          <w:color w:val="000000"/>
          <w:lang w:eastAsia="es-CO"/>
        </w:rPr>
        <w:t>. El consejo superior de vivienda sesionará con la mitad más uno de sus miembros. </w:t>
      </w:r>
    </w:p>
    <w:p w14:paraId="0A72C484"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835" w:name="ver_30072564"/>
      <w:bookmarkEnd w:id="835"/>
    </w:p>
    <w:p w14:paraId="6FE9A59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2.1.7.7. Quórum decisorio. El consejo superior de vivienda decidirá con la mitad más uno de los miembros presentes. En todo caso, se requerirá al menos del voto favorable de uno de los ministros miembros o su respectivo delegado. </w:t>
      </w:r>
    </w:p>
    <w:p w14:paraId="266B6E22" w14:textId="411E09D5"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836" w:name="ver_30072565"/>
      <w:bookmarkEnd w:id="836"/>
    </w:p>
    <w:p w14:paraId="026CDDE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2.1.7.8. Actas. De cada reunión se levantará un acta suscrita por el presidente del consejo y la secretaría técnica, que indicará, entre otros, los siguientes aspectos: </w:t>
      </w:r>
    </w:p>
    <w:p w14:paraId="258AA33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2A35D5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Hora de iniciación y terminación de la reunión. </w:t>
      </w:r>
    </w:p>
    <w:p w14:paraId="604037C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AA8CC7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Llamado a lista, con indicación de los presentes y ausentes, así como de la presencia de delegados o invitados, cuando fuere el caso. </w:t>
      </w:r>
    </w:p>
    <w:p w14:paraId="58B8149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8FBDE1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Los aspectos sometidos a su consideración en la reunión correspondiente. </w:t>
      </w:r>
    </w:p>
    <w:p w14:paraId="6185143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966653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Decisiones adoptadas, con indicación de los consensos y disensos. </w:t>
      </w:r>
    </w:p>
    <w:p w14:paraId="7845CEE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91EC77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 Constancias solicitadas por los miembros del consejo. </w:t>
      </w:r>
    </w:p>
    <w:p w14:paraId="1CD7C4F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CAC780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6. Los demás que se consideren necesarios para el cabal funcionamiento del consejo. </w:t>
      </w:r>
    </w:p>
    <w:p w14:paraId="3ED4461D" w14:textId="77777777" w:rsidR="00683694" w:rsidRPr="009342F9" w:rsidRDefault="00683694" w:rsidP="00FC79C1">
      <w:pPr>
        <w:spacing w:after="0" w:line="240" w:lineRule="auto"/>
        <w:jc w:val="both"/>
        <w:rPr>
          <w:rFonts w:ascii="Arial" w:eastAsia="Times New Roman" w:hAnsi="Arial" w:cs="Arial"/>
          <w:color w:val="000000"/>
          <w:lang w:eastAsia="es-CO"/>
        </w:rPr>
      </w:pPr>
    </w:p>
    <w:p w14:paraId="4319E8A2" w14:textId="381D60B1" w:rsidR="00FC79C1" w:rsidRPr="009342F9" w:rsidRDefault="00FC79C1" w:rsidP="00683694">
      <w:pPr>
        <w:spacing w:after="0" w:line="240" w:lineRule="auto"/>
        <w:jc w:val="center"/>
        <w:rPr>
          <w:rFonts w:ascii="Arial" w:eastAsia="Times New Roman" w:hAnsi="Arial" w:cs="Arial"/>
          <w:b/>
          <w:bCs/>
          <w:color w:val="000000"/>
          <w:lang w:eastAsia="es-CO"/>
        </w:rPr>
      </w:pPr>
      <w:bookmarkStart w:id="837" w:name="ver_30110849"/>
      <w:bookmarkEnd w:id="837"/>
      <w:r w:rsidRPr="009342F9">
        <w:rPr>
          <w:rFonts w:ascii="Arial" w:eastAsia="Times New Roman" w:hAnsi="Arial" w:cs="Arial"/>
          <w:b/>
          <w:bCs/>
          <w:color w:val="000000"/>
          <w:lang w:eastAsia="es-CO"/>
        </w:rPr>
        <w:t>TÍTULO 8</w:t>
      </w:r>
    </w:p>
    <w:p w14:paraId="53FE6E4F" w14:textId="77777777" w:rsidR="00FC79C1" w:rsidRPr="009342F9" w:rsidRDefault="00FC79C1" w:rsidP="00683694">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lastRenderedPageBreak/>
        <w:t>EXENCIÓN DE DERECHOS NOTARIALES Y DE REGISTRO</w:t>
      </w:r>
    </w:p>
    <w:p w14:paraId="62DAB645"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838" w:name="ver_30210177"/>
      <w:bookmarkStart w:id="839" w:name="ver_30110850"/>
      <w:bookmarkEnd w:id="838"/>
    </w:p>
    <w:p w14:paraId="7B8F72A5" w14:textId="5A1348AE"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2.1.8.1.</w:t>
      </w:r>
      <w:r w:rsidR="00A27815">
        <w:rPr>
          <w:rFonts w:ascii="Arial" w:eastAsia="Times New Roman" w:hAnsi="Arial" w:cs="Arial"/>
          <w:color w:val="000000"/>
          <w:lang w:eastAsia="es-CO"/>
        </w:rPr>
        <w:t xml:space="preserve"> </w:t>
      </w:r>
      <w:r w:rsidRPr="009342F9">
        <w:rPr>
          <w:rFonts w:ascii="Arial" w:eastAsia="Times New Roman" w:hAnsi="Arial" w:cs="Arial"/>
          <w:color w:val="000000"/>
          <w:lang w:eastAsia="es-CO"/>
        </w:rPr>
        <w:t>Acreditación de la condición de vivienda de interés prioritario para aplicar la exención de pago de derechos notariales y registrales. Los interesados en acceder a la exención de derechos notariales y registrales, en el caso al que se refiere el literal a) del artículo 119 de la Ley 1753 de 2015, deberán presentar ante el notario correspondiente, certificación expedida por la entidad otorgante del subsidio familiar de vivienda en la que conste que todos los bienes de dominio particular que conformen el edificio o conjunto sometido al régimen de propiedad horizontal, son viviendas de interés prioritario desarrolladas con la financiación o cofinanciación de subsidios familiares de vivienda. </w:t>
      </w:r>
    </w:p>
    <w:p w14:paraId="492E0E4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6E616F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Para acceder a las exenciones de derechos notariales a que se refieren los literales b) al g) del artículo 119 de la Ley 1753 de 2015, los interesados deberán acompañar al negocio jurídico correspondiente el documento que acredite la asignación del subsidio familiar de vivienda, emitido por la entidad otorgante del mismo. </w:t>
      </w:r>
    </w:p>
    <w:p w14:paraId="440B56B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20AC70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En todos los eventos a que se refiere este artículo, el notario y la Oficina de Registro de Instrumentos Públicos correspondiente deberán verificar que el valor de las viviendas objeto de los negocios jurídicos, de acuerdo con lo establecido en los mismos, no supere los noventa (90) salarios mínimos legales mensuales vigentes, o los valores máximos de las viviendas de interés prioritario, establecidos en el artículo 2.1.1.2.2.2 del presente decreto, para los departamentos de San Andrés, Providencia y Santa Catalina, Amazonas, Vichada, Vaupés, Guainía, Putumayo y Chocó. </w:t>
      </w:r>
    </w:p>
    <w:p w14:paraId="2DF64416"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840" w:name="ver_30110851"/>
      <w:bookmarkEnd w:id="839"/>
      <w:bookmarkEnd w:id="840"/>
    </w:p>
    <w:p w14:paraId="5B9ECC0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2.1.8.2. Acreditación de la condición de población vulnerable para ser beneficiarios de la exención de pago de derechos notariales y registrales en negocios jurídicos sobre viviendas de interés prioritario usadas. Los interesados en acceder a las exenciones de derechos notariales y registrales previstas en los literales c), e) y g) del artículo 119 de la Ley 1753 de 2015, además de la acreditación de las condiciones establecidas en el artículo 2.1.8.1 del presente decreto, deberán presentar ante el notario correspondiente, una certificación emitida por la entidad competente en la que conste que están registrados en los siguientes listados o bases de datos:  </w:t>
      </w:r>
    </w:p>
    <w:p w14:paraId="7606A9D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8AEBA3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Sistema de información de la Red para la Superación de la Pobreza Extrema Unidos (</w:t>
      </w:r>
      <w:proofErr w:type="spellStart"/>
      <w:r w:rsidRPr="009342F9">
        <w:rPr>
          <w:rFonts w:ascii="Arial" w:eastAsia="Times New Roman" w:hAnsi="Arial" w:cs="Arial"/>
          <w:color w:val="000000"/>
          <w:lang w:eastAsia="es-CO"/>
        </w:rPr>
        <w:t>Siunidos</w:t>
      </w:r>
      <w:proofErr w:type="spellEnd"/>
      <w:r w:rsidRPr="009342F9">
        <w:rPr>
          <w:rFonts w:ascii="Arial" w:eastAsia="Times New Roman" w:hAnsi="Arial" w:cs="Arial"/>
          <w:color w:val="000000"/>
          <w:lang w:eastAsia="es-CO"/>
        </w:rPr>
        <w:t>) o la que haga sus veces.  </w:t>
      </w:r>
    </w:p>
    <w:p w14:paraId="622B3F8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030ECA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Sistema de identificación para potenciales beneficiarios de los programas sociales Sisbén III o el que haga sus veces.  </w:t>
      </w:r>
    </w:p>
    <w:p w14:paraId="5FF33E2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1A4FBB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Registro Único de Población Desplazada (RUPD) o el que haga sus veces.  </w:t>
      </w:r>
    </w:p>
    <w:p w14:paraId="0159A49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70C6AD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4. Censo de hogares damnificados de desastre natural, calamidad pública o emergencia, y de hogares localizados en zonas de alto riesgo, elaborados por los Consejos Municipales para la Gestión del Riesgo de Desastres (antes </w:t>
      </w:r>
      <w:proofErr w:type="spellStart"/>
      <w:r w:rsidRPr="009342F9">
        <w:rPr>
          <w:rFonts w:ascii="Arial" w:eastAsia="Times New Roman" w:hAnsi="Arial" w:cs="Arial"/>
          <w:color w:val="000000"/>
          <w:lang w:eastAsia="es-CO"/>
        </w:rPr>
        <w:t>Clopad</w:t>
      </w:r>
      <w:proofErr w:type="spellEnd"/>
      <w:r w:rsidRPr="009342F9">
        <w:rPr>
          <w:rFonts w:ascii="Arial" w:eastAsia="Times New Roman" w:hAnsi="Arial" w:cs="Arial"/>
          <w:color w:val="000000"/>
          <w:lang w:eastAsia="es-CO"/>
        </w:rPr>
        <w:t>), avalados por los Consejos Departamentales para la Gestión del Riesgo de Desastres (antes Crepad) y refrendados por la Unidad Nacional para la Gestión del Riesgo de Desastres (UNGRD).  </w:t>
      </w:r>
    </w:p>
    <w:p w14:paraId="3B35FD3B" w14:textId="4264A8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841" w:name="ver_30110852"/>
      <w:bookmarkEnd w:id="841"/>
    </w:p>
    <w:p w14:paraId="21408D9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2.1.8.3. Protocolización de certificados y/o documentos. Una vez acreditadas las condiciones señaladas en los artículos 2.1.8.1 y 2.1.8.2 del presente título, los notarios deberán incluir en la escritura pública respectiva que el negocio jurídico se encuentra exento de derechos notariales, de conformidad con el artículo 119 de la Ley 1753 de 2015, y protocolizar los certificados y/o documentos mencionados. Los referidos documentos serán suficientes para </w:t>
      </w:r>
      <w:r w:rsidRPr="009342F9">
        <w:rPr>
          <w:rFonts w:ascii="Arial" w:eastAsia="Times New Roman" w:hAnsi="Arial" w:cs="Arial"/>
          <w:color w:val="000000"/>
          <w:lang w:eastAsia="es-CO"/>
        </w:rPr>
        <w:lastRenderedPageBreak/>
        <w:t>acreditar ante las Oficinas de Registro de Instrumentos Públicos la exención de los derechos registrales”.  </w:t>
      </w:r>
    </w:p>
    <w:p w14:paraId="169CAE4A" w14:textId="77777777" w:rsidR="00683694" w:rsidRDefault="00FC79C1" w:rsidP="00FC79C1">
      <w:pPr>
        <w:spacing w:after="0" w:line="240" w:lineRule="auto"/>
        <w:jc w:val="both"/>
        <w:rPr>
          <w:rFonts w:ascii="Arial" w:eastAsia="Times New Roman" w:hAnsi="Arial" w:cs="Arial"/>
          <w:color w:val="000000"/>
          <w:lang w:eastAsia="es-CO"/>
        </w:rPr>
      </w:pPr>
      <w:r w:rsidRPr="231E957E">
        <w:rPr>
          <w:rFonts w:ascii="Arial" w:eastAsia="Times New Roman" w:hAnsi="Arial" w:cs="Arial"/>
          <w:color w:val="000000" w:themeColor="text1"/>
          <w:lang w:eastAsia="es-CO"/>
        </w:rPr>
        <w:t>  </w:t>
      </w:r>
      <w:bookmarkStart w:id="842" w:name="ver_30197941"/>
      <w:bookmarkEnd w:id="842"/>
    </w:p>
    <w:p w14:paraId="5FB63E7C" w14:textId="45CE4E3F" w:rsidR="00FC79C1" w:rsidRPr="009342F9" w:rsidRDefault="00FC79C1" w:rsidP="00683694">
      <w:pPr>
        <w:spacing w:after="0" w:line="240" w:lineRule="auto"/>
        <w:jc w:val="center"/>
        <w:rPr>
          <w:rFonts w:ascii="Arial" w:eastAsia="Times New Roman" w:hAnsi="Arial" w:cs="Arial"/>
          <w:b/>
          <w:bCs/>
          <w:color w:val="000000"/>
          <w:lang w:eastAsia="es-CO"/>
        </w:rPr>
      </w:pPr>
      <w:r w:rsidRPr="231E957E">
        <w:rPr>
          <w:rFonts w:ascii="Arial" w:eastAsia="Times New Roman" w:hAnsi="Arial" w:cs="Arial"/>
          <w:b/>
          <w:color w:val="000000" w:themeColor="text1"/>
          <w:lang w:eastAsia="es-CO"/>
        </w:rPr>
        <w:t>TÍTULO 9</w:t>
      </w:r>
    </w:p>
    <w:p w14:paraId="6D88049E" w14:textId="77777777" w:rsidR="00FC79C1" w:rsidRPr="009342F9" w:rsidRDefault="00FC79C1" w:rsidP="00683694">
      <w:pPr>
        <w:spacing w:after="0" w:line="240" w:lineRule="auto"/>
        <w:jc w:val="center"/>
        <w:rPr>
          <w:rFonts w:ascii="Arial" w:eastAsia="Times New Roman" w:hAnsi="Arial" w:cs="Arial"/>
          <w:b/>
          <w:bCs/>
          <w:color w:val="000000"/>
          <w:lang w:eastAsia="es-CO"/>
        </w:rPr>
      </w:pPr>
      <w:r w:rsidRPr="231E957E">
        <w:rPr>
          <w:rFonts w:ascii="Arial" w:eastAsia="Times New Roman" w:hAnsi="Arial" w:cs="Arial"/>
          <w:b/>
          <w:color w:val="000000" w:themeColor="text1"/>
          <w:lang w:eastAsia="es-CO"/>
        </w:rPr>
        <w:t>MUNICIPIOS Y DISTRITOS SOBRE LOS QUE APLICA EL PRECIO EXCEPCIONAL DE LA VIVIENDA DE INTERÉS SOCIAL</w:t>
      </w:r>
    </w:p>
    <w:p w14:paraId="16261EFB"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843" w:name="ver_30197943"/>
      <w:bookmarkEnd w:id="843"/>
    </w:p>
    <w:p w14:paraId="4F7F472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2.1.9.1. Precio Excepcional de la Vivienda de Interés Social. El precio máximo de la Vivienda de Interés Social será de ciento cincuenta (150) salarios mínimos mensuales legales vigentes para las viviendas que se ubiquen en los siguientes distritos y municipios pertenecientes a las aglomeraciones urbanas definidas por el documento </w:t>
      </w:r>
      <w:proofErr w:type="spellStart"/>
      <w:r w:rsidRPr="009342F9">
        <w:rPr>
          <w:rFonts w:ascii="Arial" w:eastAsia="Times New Roman" w:hAnsi="Arial" w:cs="Arial"/>
          <w:color w:val="000000"/>
          <w:lang w:eastAsia="es-CO"/>
        </w:rPr>
        <w:t>Conpes</w:t>
      </w:r>
      <w:proofErr w:type="spellEnd"/>
      <w:r w:rsidRPr="009342F9">
        <w:rPr>
          <w:rFonts w:ascii="Arial" w:eastAsia="Times New Roman" w:hAnsi="Arial" w:cs="Arial"/>
          <w:color w:val="000000"/>
          <w:lang w:eastAsia="es-CO"/>
        </w:rPr>
        <w:t xml:space="preserve"> 3819 de 2014 cuya población supera un millón (1.000.000) de habitantes:  </w:t>
      </w:r>
    </w:p>
    <w:p w14:paraId="60D9269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60"/>
        <w:gridCol w:w="4455"/>
      </w:tblGrid>
      <w:tr w:rsidR="00FC79C1" w:rsidRPr="009342F9" w14:paraId="6A0702D9" w14:textId="77777777" w:rsidTr="00FC79C1">
        <w:trPr>
          <w:trHeight w:val="120"/>
          <w:tblCellSpacing w:w="0" w:type="dxa"/>
          <w:jc w:val="center"/>
        </w:trPr>
        <w:tc>
          <w:tcPr>
            <w:tcW w:w="2160" w:type="dxa"/>
            <w:tcBorders>
              <w:top w:val="outset" w:sz="6" w:space="0" w:color="auto"/>
              <w:left w:val="outset" w:sz="6" w:space="0" w:color="auto"/>
              <w:bottom w:val="outset" w:sz="6" w:space="0" w:color="auto"/>
              <w:right w:val="outset" w:sz="6" w:space="0" w:color="auto"/>
            </w:tcBorders>
            <w:vAlign w:val="center"/>
            <w:hideMark/>
          </w:tcPr>
          <w:p w14:paraId="05AB3C8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AGLOMERACIÓN  </w:t>
            </w:r>
          </w:p>
        </w:tc>
        <w:tc>
          <w:tcPr>
            <w:tcW w:w="4455" w:type="dxa"/>
            <w:tcBorders>
              <w:top w:val="outset" w:sz="6" w:space="0" w:color="auto"/>
              <w:left w:val="outset" w:sz="6" w:space="0" w:color="auto"/>
              <w:bottom w:val="outset" w:sz="6" w:space="0" w:color="auto"/>
              <w:right w:val="outset" w:sz="6" w:space="0" w:color="auto"/>
            </w:tcBorders>
            <w:vAlign w:val="center"/>
            <w:hideMark/>
          </w:tcPr>
          <w:p w14:paraId="153D418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MUNICIPIO - DISTRITO  </w:t>
            </w:r>
          </w:p>
        </w:tc>
      </w:tr>
      <w:tr w:rsidR="00FC79C1" w:rsidRPr="009342F9" w14:paraId="08366B5B" w14:textId="77777777" w:rsidTr="00FC79C1">
        <w:trPr>
          <w:trHeight w:val="165"/>
          <w:tblCellSpacing w:w="0" w:type="dxa"/>
          <w:jc w:val="center"/>
        </w:trPr>
        <w:tc>
          <w:tcPr>
            <w:tcW w:w="2160" w:type="dxa"/>
            <w:vMerge w:val="restart"/>
            <w:tcBorders>
              <w:top w:val="outset" w:sz="6" w:space="0" w:color="auto"/>
              <w:left w:val="outset" w:sz="6" w:space="0" w:color="auto"/>
              <w:bottom w:val="outset" w:sz="6" w:space="0" w:color="auto"/>
              <w:right w:val="outset" w:sz="6" w:space="0" w:color="auto"/>
            </w:tcBorders>
            <w:vAlign w:val="center"/>
            <w:hideMark/>
          </w:tcPr>
          <w:p w14:paraId="2A052AE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Barranquilla  </w:t>
            </w:r>
          </w:p>
        </w:tc>
        <w:tc>
          <w:tcPr>
            <w:tcW w:w="4455" w:type="dxa"/>
            <w:tcBorders>
              <w:top w:val="outset" w:sz="6" w:space="0" w:color="auto"/>
              <w:left w:val="outset" w:sz="6" w:space="0" w:color="auto"/>
              <w:bottom w:val="outset" w:sz="6" w:space="0" w:color="auto"/>
              <w:right w:val="outset" w:sz="6" w:space="0" w:color="auto"/>
            </w:tcBorders>
            <w:vAlign w:val="center"/>
            <w:hideMark/>
          </w:tcPr>
          <w:p w14:paraId="234AD0BB" w14:textId="77777777" w:rsidR="00FC79C1" w:rsidRPr="009342F9" w:rsidRDefault="00FC79C1" w:rsidP="00FC79C1">
            <w:pPr>
              <w:spacing w:after="0" w:line="240" w:lineRule="auto"/>
              <w:jc w:val="both"/>
              <w:rPr>
                <w:rFonts w:ascii="Arial" w:eastAsia="Times New Roman" w:hAnsi="Arial" w:cs="Arial"/>
                <w:color w:val="000000"/>
                <w:lang w:eastAsia="es-CO"/>
              </w:rPr>
            </w:pPr>
            <w:proofErr w:type="spellStart"/>
            <w:r w:rsidRPr="009342F9">
              <w:rPr>
                <w:rFonts w:ascii="Arial" w:eastAsia="Times New Roman" w:hAnsi="Arial" w:cs="Arial"/>
                <w:color w:val="000000"/>
                <w:lang w:eastAsia="es-CO"/>
              </w:rPr>
              <w:t>Sitionuevo</w:t>
            </w:r>
            <w:proofErr w:type="spellEnd"/>
            <w:r w:rsidRPr="009342F9">
              <w:rPr>
                <w:rFonts w:ascii="Arial" w:eastAsia="Times New Roman" w:hAnsi="Arial" w:cs="Arial"/>
                <w:color w:val="000000"/>
                <w:lang w:eastAsia="es-CO"/>
              </w:rPr>
              <w:t xml:space="preserve">  </w:t>
            </w:r>
          </w:p>
        </w:tc>
      </w:tr>
      <w:tr w:rsidR="00FC79C1" w:rsidRPr="009342F9" w14:paraId="2C2B9E81" w14:textId="77777777" w:rsidTr="00FC79C1">
        <w:trPr>
          <w:trHeight w:val="120"/>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2AC1383C" w14:textId="77777777" w:rsidR="00FC79C1" w:rsidRPr="009342F9" w:rsidRDefault="00FC79C1" w:rsidP="00FC79C1">
            <w:pPr>
              <w:spacing w:after="0" w:line="240" w:lineRule="auto"/>
              <w:jc w:val="both"/>
              <w:rPr>
                <w:rFonts w:ascii="Arial" w:eastAsia="Times New Roman" w:hAnsi="Arial" w:cs="Arial"/>
                <w:color w:val="000000"/>
                <w:lang w:eastAsia="es-CO"/>
              </w:rPr>
            </w:pPr>
          </w:p>
        </w:tc>
        <w:tc>
          <w:tcPr>
            <w:tcW w:w="4455" w:type="dxa"/>
            <w:tcBorders>
              <w:top w:val="outset" w:sz="6" w:space="0" w:color="auto"/>
              <w:left w:val="outset" w:sz="6" w:space="0" w:color="auto"/>
              <w:bottom w:val="outset" w:sz="6" w:space="0" w:color="auto"/>
              <w:right w:val="outset" w:sz="6" w:space="0" w:color="auto"/>
            </w:tcBorders>
            <w:vAlign w:val="center"/>
            <w:hideMark/>
          </w:tcPr>
          <w:p w14:paraId="519715C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Sabanalarga  </w:t>
            </w:r>
          </w:p>
        </w:tc>
      </w:tr>
      <w:tr w:rsidR="00FC79C1" w:rsidRPr="009342F9" w14:paraId="300A8978" w14:textId="77777777" w:rsidTr="00FC79C1">
        <w:trPr>
          <w:trHeight w:val="120"/>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206C9694" w14:textId="77777777" w:rsidR="00FC79C1" w:rsidRPr="009342F9" w:rsidRDefault="00FC79C1" w:rsidP="00FC79C1">
            <w:pPr>
              <w:spacing w:after="0" w:line="240" w:lineRule="auto"/>
              <w:jc w:val="both"/>
              <w:rPr>
                <w:rFonts w:ascii="Arial" w:eastAsia="Times New Roman" w:hAnsi="Arial" w:cs="Arial"/>
                <w:color w:val="000000"/>
                <w:lang w:eastAsia="es-CO"/>
              </w:rPr>
            </w:pPr>
          </w:p>
        </w:tc>
        <w:tc>
          <w:tcPr>
            <w:tcW w:w="4455" w:type="dxa"/>
            <w:tcBorders>
              <w:top w:val="outset" w:sz="6" w:space="0" w:color="auto"/>
              <w:left w:val="outset" w:sz="6" w:space="0" w:color="auto"/>
              <w:bottom w:val="outset" w:sz="6" w:space="0" w:color="auto"/>
              <w:right w:val="outset" w:sz="6" w:space="0" w:color="auto"/>
            </w:tcBorders>
            <w:vAlign w:val="center"/>
            <w:hideMark/>
          </w:tcPr>
          <w:p w14:paraId="00D96BD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Ponedera  </w:t>
            </w:r>
          </w:p>
        </w:tc>
      </w:tr>
      <w:tr w:rsidR="00FC79C1" w:rsidRPr="009342F9" w14:paraId="79239474" w14:textId="77777777" w:rsidTr="00FC79C1">
        <w:trPr>
          <w:trHeight w:val="120"/>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1F489830" w14:textId="77777777" w:rsidR="00FC79C1" w:rsidRPr="009342F9" w:rsidRDefault="00FC79C1" w:rsidP="00FC79C1">
            <w:pPr>
              <w:spacing w:after="0" w:line="240" w:lineRule="auto"/>
              <w:jc w:val="both"/>
              <w:rPr>
                <w:rFonts w:ascii="Arial" w:eastAsia="Times New Roman" w:hAnsi="Arial" w:cs="Arial"/>
                <w:color w:val="000000"/>
                <w:lang w:eastAsia="es-CO"/>
              </w:rPr>
            </w:pPr>
          </w:p>
        </w:tc>
        <w:tc>
          <w:tcPr>
            <w:tcW w:w="4455" w:type="dxa"/>
            <w:tcBorders>
              <w:top w:val="outset" w:sz="6" w:space="0" w:color="auto"/>
              <w:left w:val="outset" w:sz="6" w:space="0" w:color="auto"/>
              <w:bottom w:val="outset" w:sz="6" w:space="0" w:color="auto"/>
              <w:right w:val="outset" w:sz="6" w:space="0" w:color="auto"/>
            </w:tcBorders>
            <w:vAlign w:val="center"/>
            <w:hideMark/>
          </w:tcPr>
          <w:p w14:paraId="3F03356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Palmar de Varela  </w:t>
            </w:r>
          </w:p>
        </w:tc>
      </w:tr>
      <w:tr w:rsidR="00FC79C1" w:rsidRPr="009342F9" w14:paraId="0006F2AA" w14:textId="77777777" w:rsidTr="00FC79C1">
        <w:trPr>
          <w:trHeight w:val="120"/>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65030FF0" w14:textId="77777777" w:rsidR="00FC79C1" w:rsidRPr="009342F9" w:rsidRDefault="00FC79C1" w:rsidP="00FC79C1">
            <w:pPr>
              <w:spacing w:after="0" w:line="240" w:lineRule="auto"/>
              <w:jc w:val="both"/>
              <w:rPr>
                <w:rFonts w:ascii="Arial" w:eastAsia="Times New Roman" w:hAnsi="Arial" w:cs="Arial"/>
                <w:color w:val="000000"/>
                <w:lang w:eastAsia="es-CO"/>
              </w:rPr>
            </w:pPr>
          </w:p>
        </w:tc>
        <w:tc>
          <w:tcPr>
            <w:tcW w:w="4455" w:type="dxa"/>
            <w:tcBorders>
              <w:top w:val="outset" w:sz="6" w:space="0" w:color="auto"/>
              <w:left w:val="outset" w:sz="6" w:space="0" w:color="auto"/>
              <w:bottom w:val="outset" w:sz="6" w:space="0" w:color="auto"/>
              <w:right w:val="outset" w:sz="6" w:space="0" w:color="auto"/>
            </w:tcBorders>
            <w:vAlign w:val="center"/>
            <w:hideMark/>
          </w:tcPr>
          <w:p w14:paraId="4187564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Sabanagrande  </w:t>
            </w:r>
          </w:p>
        </w:tc>
      </w:tr>
      <w:tr w:rsidR="00FC79C1" w:rsidRPr="009342F9" w14:paraId="09CEFD17" w14:textId="77777777" w:rsidTr="00FC79C1">
        <w:trPr>
          <w:trHeight w:val="120"/>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25980EB2" w14:textId="77777777" w:rsidR="00FC79C1" w:rsidRPr="009342F9" w:rsidRDefault="00FC79C1" w:rsidP="00FC79C1">
            <w:pPr>
              <w:spacing w:after="0" w:line="240" w:lineRule="auto"/>
              <w:jc w:val="both"/>
              <w:rPr>
                <w:rFonts w:ascii="Arial" w:eastAsia="Times New Roman" w:hAnsi="Arial" w:cs="Arial"/>
                <w:color w:val="000000"/>
                <w:lang w:eastAsia="es-CO"/>
              </w:rPr>
            </w:pPr>
          </w:p>
        </w:tc>
        <w:tc>
          <w:tcPr>
            <w:tcW w:w="4455" w:type="dxa"/>
            <w:tcBorders>
              <w:top w:val="outset" w:sz="6" w:space="0" w:color="auto"/>
              <w:left w:val="outset" w:sz="6" w:space="0" w:color="auto"/>
              <w:bottom w:val="outset" w:sz="6" w:space="0" w:color="auto"/>
              <w:right w:val="outset" w:sz="6" w:space="0" w:color="auto"/>
            </w:tcBorders>
            <w:vAlign w:val="center"/>
            <w:hideMark/>
          </w:tcPr>
          <w:p w14:paraId="5578793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Santo Tomás  </w:t>
            </w:r>
          </w:p>
        </w:tc>
      </w:tr>
      <w:tr w:rsidR="00FC79C1" w:rsidRPr="009342F9" w14:paraId="7DB8C11E" w14:textId="77777777" w:rsidTr="00FC79C1">
        <w:trPr>
          <w:trHeight w:val="120"/>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64D0011E" w14:textId="77777777" w:rsidR="00FC79C1" w:rsidRPr="009342F9" w:rsidRDefault="00FC79C1" w:rsidP="00FC79C1">
            <w:pPr>
              <w:spacing w:after="0" w:line="240" w:lineRule="auto"/>
              <w:jc w:val="both"/>
              <w:rPr>
                <w:rFonts w:ascii="Arial" w:eastAsia="Times New Roman" w:hAnsi="Arial" w:cs="Arial"/>
                <w:color w:val="000000"/>
                <w:lang w:eastAsia="es-CO"/>
              </w:rPr>
            </w:pPr>
          </w:p>
        </w:tc>
        <w:tc>
          <w:tcPr>
            <w:tcW w:w="4455" w:type="dxa"/>
            <w:tcBorders>
              <w:top w:val="outset" w:sz="6" w:space="0" w:color="auto"/>
              <w:left w:val="outset" w:sz="6" w:space="0" w:color="auto"/>
              <w:bottom w:val="outset" w:sz="6" w:space="0" w:color="auto"/>
              <w:right w:val="outset" w:sz="6" w:space="0" w:color="auto"/>
            </w:tcBorders>
            <w:vAlign w:val="center"/>
            <w:hideMark/>
          </w:tcPr>
          <w:p w14:paraId="1AC7CAB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Malambo  </w:t>
            </w:r>
          </w:p>
        </w:tc>
      </w:tr>
      <w:tr w:rsidR="00FC79C1" w:rsidRPr="009342F9" w14:paraId="658D2830" w14:textId="77777777" w:rsidTr="00FC79C1">
        <w:trPr>
          <w:trHeight w:val="120"/>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33D598A8" w14:textId="77777777" w:rsidR="00FC79C1" w:rsidRPr="009342F9" w:rsidRDefault="00FC79C1" w:rsidP="00FC79C1">
            <w:pPr>
              <w:spacing w:after="0" w:line="240" w:lineRule="auto"/>
              <w:jc w:val="both"/>
              <w:rPr>
                <w:rFonts w:ascii="Arial" w:eastAsia="Times New Roman" w:hAnsi="Arial" w:cs="Arial"/>
                <w:color w:val="000000"/>
                <w:lang w:eastAsia="es-CO"/>
              </w:rPr>
            </w:pPr>
          </w:p>
        </w:tc>
        <w:tc>
          <w:tcPr>
            <w:tcW w:w="4455" w:type="dxa"/>
            <w:tcBorders>
              <w:top w:val="outset" w:sz="6" w:space="0" w:color="auto"/>
              <w:left w:val="outset" w:sz="6" w:space="0" w:color="auto"/>
              <w:bottom w:val="outset" w:sz="6" w:space="0" w:color="auto"/>
              <w:right w:val="outset" w:sz="6" w:space="0" w:color="auto"/>
            </w:tcBorders>
            <w:vAlign w:val="center"/>
            <w:hideMark/>
          </w:tcPr>
          <w:p w14:paraId="244E292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Soledad  </w:t>
            </w:r>
          </w:p>
        </w:tc>
      </w:tr>
      <w:tr w:rsidR="00FC79C1" w:rsidRPr="009342F9" w14:paraId="70AD62E5" w14:textId="77777777" w:rsidTr="00FC79C1">
        <w:trPr>
          <w:trHeight w:val="120"/>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734B98AB" w14:textId="77777777" w:rsidR="00FC79C1" w:rsidRPr="009342F9" w:rsidRDefault="00FC79C1" w:rsidP="00FC79C1">
            <w:pPr>
              <w:spacing w:after="0" w:line="240" w:lineRule="auto"/>
              <w:jc w:val="both"/>
              <w:rPr>
                <w:rFonts w:ascii="Arial" w:eastAsia="Times New Roman" w:hAnsi="Arial" w:cs="Arial"/>
                <w:color w:val="000000"/>
                <w:lang w:eastAsia="es-CO"/>
              </w:rPr>
            </w:pPr>
          </w:p>
        </w:tc>
        <w:tc>
          <w:tcPr>
            <w:tcW w:w="4455" w:type="dxa"/>
            <w:tcBorders>
              <w:top w:val="outset" w:sz="6" w:space="0" w:color="auto"/>
              <w:left w:val="outset" w:sz="6" w:space="0" w:color="auto"/>
              <w:bottom w:val="outset" w:sz="6" w:space="0" w:color="auto"/>
              <w:right w:val="outset" w:sz="6" w:space="0" w:color="auto"/>
            </w:tcBorders>
            <w:vAlign w:val="center"/>
            <w:hideMark/>
          </w:tcPr>
          <w:p w14:paraId="362CD32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Galapa  </w:t>
            </w:r>
          </w:p>
        </w:tc>
      </w:tr>
      <w:tr w:rsidR="00FC79C1" w:rsidRPr="009342F9" w14:paraId="1F1EA326" w14:textId="77777777" w:rsidTr="00FC79C1">
        <w:trPr>
          <w:trHeight w:val="120"/>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46B7E254" w14:textId="77777777" w:rsidR="00FC79C1" w:rsidRPr="009342F9" w:rsidRDefault="00FC79C1" w:rsidP="00FC79C1">
            <w:pPr>
              <w:spacing w:after="0" w:line="240" w:lineRule="auto"/>
              <w:jc w:val="both"/>
              <w:rPr>
                <w:rFonts w:ascii="Arial" w:eastAsia="Times New Roman" w:hAnsi="Arial" w:cs="Arial"/>
                <w:color w:val="000000"/>
                <w:lang w:eastAsia="es-CO"/>
              </w:rPr>
            </w:pPr>
          </w:p>
        </w:tc>
        <w:tc>
          <w:tcPr>
            <w:tcW w:w="4455" w:type="dxa"/>
            <w:tcBorders>
              <w:top w:val="outset" w:sz="6" w:space="0" w:color="auto"/>
              <w:left w:val="outset" w:sz="6" w:space="0" w:color="auto"/>
              <w:bottom w:val="outset" w:sz="6" w:space="0" w:color="auto"/>
              <w:right w:val="outset" w:sz="6" w:space="0" w:color="auto"/>
            </w:tcBorders>
            <w:vAlign w:val="center"/>
            <w:hideMark/>
          </w:tcPr>
          <w:p w14:paraId="1772832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Barranquilla  </w:t>
            </w:r>
          </w:p>
        </w:tc>
      </w:tr>
      <w:tr w:rsidR="00FC79C1" w:rsidRPr="009342F9" w14:paraId="5F111C91" w14:textId="77777777" w:rsidTr="00FC79C1">
        <w:trPr>
          <w:trHeight w:val="900"/>
          <w:tblCellSpacing w:w="0" w:type="dxa"/>
          <w:jc w:val="center"/>
        </w:trPr>
        <w:tc>
          <w:tcPr>
            <w:tcW w:w="2160" w:type="dxa"/>
            <w:vMerge w:val="restart"/>
            <w:tcBorders>
              <w:top w:val="outset" w:sz="6" w:space="0" w:color="auto"/>
              <w:left w:val="outset" w:sz="6" w:space="0" w:color="auto"/>
              <w:bottom w:val="outset" w:sz="6" w:space="0" w:color="auto"/>
              <w:right w:val="outset" w:sz="6" w:space="0" w:color="auto"/>
            </w:tcBorders>
            <w:vAlign w:val="center"/>
            <w:hideMark/>
          </w:tcPr>
          <w:p w14:paraId="7565A7D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Bogotá  </w:t>
            </w:r>
          </w:p>
        </w:tc>
        <w:tc>
          <w:tcPr>
            <w:tcW w:w="4455" w:type="dxa"/>
            <w:tcBorders>
              <w:top w:val="outset" w:sz="6" w:space="0" w:color="auto"/>
              <w:left w:val="outset" w:sz="6" w:space="0" w:color="auto"/>
              <w:bottom w:val="outset" w:sz="6" w:space="0" w:color="auto"/>
              <w:right w:val="outset" w:sz="6" w:space="0" w:color="auto"/>
            </w:tcBorders>
            <w:vAlign w:val="center"/>
            <w:hideMark/>
          </w:tcPr>
          <w:p w14:paraId="57E3F3E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Tabio  </w:t>
            </w:r>
          </w:p>
        </w:tc>
      </w:tr>
      <w:tr w:rsidR="00FC79C1" w:rsidRPr="009342F9" w14:paraId="39A6C341" w14:textId="77777777" w:rsidTr="00FC79C1">
        <w:trPr>
          <w:trHeight w:val="120"/>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2E81C83C" w14:textId="77777777" w:rsidR="00FC79C1" w:rsidRPr="009342F9" w:rsidRDefault="00FC79C1" w:rsidP="00FC79C1">
            <w:pPr>
              <w:spacing w:after="0" w:line="240" w:lineRule="auto"/>
              <w:jc w:val="both"/>
              <w:rPr>
                <w:rFonts w:ascii="Arial" w:eastAsia="Times New Roman" w:hAnsi="Arial" w:cs="Arial"/>
                <w:color w:val="000000"/>
                <w:lang w:eastAsia="es-CO"/>
              </w:rPr>
            </w:pPr>
          </w:p>
        </w:tc>
        <w:tc>
          <w:tcPr>
            <w:tcW w:w="4455" w:type="dxa"/>
            <w:tcBorders>
              <w:top w:val="outset" w:sz="6" w:space="0" w:color="auto"/>
              <w:left w:val="outset" w:sz="6" w:space="0" w:color="auto"/>
              <w:bottom w:val="outset" w:sz="6" w:space="0" w:color="auto"/>
              <w:right w:val="outset" w:sz="6" w:space="0" w:color="auto"/>
            </w:tcBorders>
            <w:vAlign w:val="center"/>
            <w:hideMark/>
          </w:tcPr>
          <w:p w14:paraId="43EB6C4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Cajicá  </w:t>
            </w:r>
          </w:p>
        </w:tc>
      </w:tr>
      <w:tr w:rsidR="00FC79C1" w:rsidRPr="009342F9" w14:paraId="33B90A92" w14:textId="77777777" w:rsidTr="00FC79C1">
        <w:trPr>
          <w:trHeight w:val="120"/>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4D9D6310" w14:textId="77777777" w:rsidR="00FC79C1" w:rsidRPr="009342F9" w:rsidRDefault="00FC79C1" w:rsidP="00FC79C1">
            <w:pPr>
              <w:spacing w:after="0" w:line="240" w:lineRule="auto"/>
              <w:jc w:val="both"/>
              <w:rPr>
                <w:rFonts w:ascii="Arial" w:eastAsia="Times New Roman" w:hAnsi="Arial" w:cs="Arial"/>
                <w:color w:val="000000"/>
                <w:lang w:eastAsia="es-CO"/>
              </w:rPr>
            </w:pPr>
          </w:p>
        </w:tc>
        <w:tc>
          <w:tcPr>
            <w:tcW w:w="4455" w:type="dxa"/>
            <w:tcBorders>
              <w:top w:val="outset" w:sz="6" w:space="0" w:color="auto"/>
              <w:left w:val="outset" w:sz="6" w:space="0" w:color="auto"/>
              <w:bottom w:val="outset" w:sz="6" w:space="0" w:color="auto"/>
              <w:right w:val="outset" w:sz="6" w:space="0" w:color="auto"/>
            </w:tcBorders>
            <w:vAlign w:val="center"/>
            <w:hideMark/>
          </w:tcPr>
          <w:p w14:paraId="29EE3D7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Cota  </w:t>
            </w:r>
          </w:p>
        </w:tc>
      </w:tr>
      <w:tr w:rsidR="00FC79C1" w:rsidRPr="009342F9" w14:paraId="5F58AC9D" w14:textId="77777777" w:rsidTr="00FC79C1">
        <w:trPr>
          <w:trHeight w:val="120"/>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5CD7650B" w14:textId="77777777" w:rsidR="00FC79C1" w:rsidRPr="009342F9" w:rsidRDefault="00FC79C1" w:rsidP="00FC79C1">
            <w:pPr>
              <w:spacing w:after="0" w:line="240" w:lineRule="auto"/>
              <w:jc w:val="both"/>
              <w:rPr>
                <w:rFonts w:ascii="Arial" w:eastAsia="Times New Roman" w:hAnsi="Arial" w:cs="Arial"/>
                <w:color w:val="000000"/>
                <w:lang w:eastAsia="es-CO"/>
              </w:rPr>
            </w:pPr>
          </w:p>
        </w:tc>
        <w:tc>
          <w:tcPr>
            <w:tcW w:w="4455" w:type="dxa"/>
            <w:tcBorders>
              <w:top w:val="outset" w:sz="6" w:space="0" w:color="auto"/>
              <w:left w:val="outset" w:sz="6" w:space="0" w:color="auto"/>
              <w:bottom w:val="outset" w:sz="6" w:space="0" w:color="auto"/>
              <w:right w:val="outset" w:sz="6" w:space="0" w:color="auto"/>
            </w:tcBorders>
            <w:vAlign w:val="center"/>
            <w:hideMark/>
          </w:tcPr>
          <w:p w14:paraId="4E4C475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Sibaté  </w:t>
            </w:r>
          </w:p>
        </w:tc>
      </w:tr>
      <w:tr w:rsidR="00FC79C1" w:rsidRPr="009342F9" w14:paraId="0E6AAA1C" w14:textId="77777777" w:rsidTr="00FC79C1">
        <w:trPr>
          <w:trHeight w:val="120"/>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67E2FA18" w14:textId="77777777" w:rsidR="00FC79C1" w:rsidRPr="009342F9" w:rsidRDefault="00FC79C1" w:rsidP="00FC79C1">
            <w:pPr>
              <w:spacing w:after="0" w:line="240" w:lineRule="auto"/>
              <w:jc w:val="both"/>
              <w:rPr>
                <w:rFonts w:ascii="Arial" w:eastAsia="Times New Roman" w:hAnsi="Arial" w:cs="Arial"/>
                <w:color w:val="000000"/>
                <w:lang w:eastAsia="es-CO"/>
              </w:rPr>
            </w:pPr>
          </w:p>
        </w:tc>
        <w:tc>
          <w:tcPr>
            <w:tcW w:w="4455" w:type="dxa"/>
            <w:tcBorders>
              <w:top w:val="outset" w:sz="6" w:space="0" w:color="auto"/>
              <w:left w:val="outset" w:sz="6" w:space="0" w:color="auto"/>
              <w:bottom w:val="outset" w:sz="6" w:space="0" w:color="auto"/>
              <w:right w:val="outset" w:sz="6" w:space="0" w:color="auto"/>
            </w:tcBorders>
            <w:vAlign w:val="center"/>
            <w:hideMark/>
          </w:tcPr>
          <w:p w14:paraId="09A15C9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 Calera  </w:t>
            </w:r>
          </w:p>
        </w:tc>
      </w:tr>
      <w:tr w:rsidR="00FC79C1" w:rsidRPr="009342F9" w14:paraId="70A0DDE4" w14:textId="77777777" w:rsidTr="00FC79C1">
        <w:trPr>
          <w:trHeight w:val="120"/>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2D0CBB0E" w14:textId="77777777" w:rsidR="00FC79C1" w:rsidRPr="009342F9" w:rsidRDefault="00FC79C1" w:rsidP="00FC79C1">
            <w:pPr>
              <w:spacing w:after="0" w:line="240" w:lineRule="auto"/>
              <w:jc w:val="both"/>
              <w:rPr>
                <w:rFonts w:ascii="Arial" w:eastAsia="Times New Roman" w:hAnsi="Arial" w:cs="Arial"/>
                <w:color w:val="000000"/>
                <w:lang w:eastAsia="es-CO"/>
              </w:rPr>
            </w:pPr>
          </w:p>
        </w:tc>
        <w:tc>
          <w:tcPr>
            <w:tcW w:w="4455" w:type="dxa"/>
            <w:tcBorders>
              <w:top w:val="outset" w:sz="6" w:space="0" w:color="auto"/>
              <w:left w:val="outset" w:sz="6" w:space="0" w:color="auto"/>
              <w:bottom w:val="outset" w:sz="6" w:space="0" w:color="auto"/>
              <w:right w:val="outset" w:sz="6" w:space="0" w:color="auto"/>
            </w:tcBorders>
            <w:vAlign w:val="center"/>
            <w:hideMark/>
          </w:tcPr>
          <w:p w14:paraId="5C70DB7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Funza  </w:t>
            </w:r>
          </w:p>
        </w:tc>
      </w:tr>
      <w:tr w:rsidR="00FC79C1" w:rsidRPr="009342F9" w14:paraId="357DA253" w14:textId="77777777" w:rsidTr="00FC79C1">
        <w:trPr>
          <w:trHeight w:val="120"/>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666D565B" w14:textId="77777777" w:rsidR="00FC79C1" w:rsidRPr="009342F9" w:rsidRDefault="00FC79C1" w:rsidP="00FC79C1">
            <w:pPr>
              <w:spacing w:after="0" w:line="240" w:lineRule="auto"/>
              <w:jc w:val="both"/>
              <w:rPr>
                <w:rFonts w:ascii="Arial" w:eastAsia="Times New Roman" w:hAnsi="Arial" w:cs="Arial"/>
                <w:color w:val="000000"/>
                <w:lang w:eastAsia="es-CO"/>
              </w:rPr>
            </w:pPr>
          </w:p>
        </w:tc>
        <w:tc>
          <w:tcPr>
            <w:tcW w:w="4455" w:type="dxa"/>
            <w:tcBorders>
              <w:top w:val="outset" w:sz="6" w:space="0" w:color="auto"/>
              <w:left w:val="outset" w:sz="6" w:space="0" w:color="auto"/>
              <w:bottom w:val="outset" w:sz="6" w:space="0" w:color="auto"/>
              <w:right w:val="outset" w:sz="6" w:space="0" w:color="auto"/>
            </w:tcBorders>
            <w:vAlign w:val="center"/>
            <w:hideMark/>
          </w:tcPr>
          <w:p w14:paraId="0B96DBD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Chía  </w:t>
            </w:r>
          </w:p>
        </w:tc>
      </w:tr>
      <w:tr w:rsidR="00FC79C1" w:rsidRPr="009342F9" w14:paraId="7FC798D3" w14:textId="77777777" w:rsidTr="00FC79C1">
        <w:trPr>
          <w:trHeight w:val="120"/>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2FC9195A" w14:textId="77777777" w:rsidR="00FC79C1" w:rsidRPr="009342F9" w:rsidRDefault="00FC79C1" w:rsidP="00FC79C1">
            <w:pPr>
              <w:spacing w:after="0" w:line="240" w:lineRule="auto"/>
              <w:jc w:val="both"/>
              <w:rPr>
                <w:rFonts w:ascii="Arial" w:eastAsia="Times New Roman" w:hAnsi="Arial" w:cs="Arial"/>
                <w:color w:val="000000"/>
                <w:lang w:eastAsia="es-CO"/>
              </w:rPr>
            </w:pPr>
          </w:p>
        </w:tc>
        <w:tc>
          <w:tcPr>
            <w:tcW w:w="4455" w:type="dxa"/>
            <w:tcBorders>
              <w:top w:val="outset" w:sz="6" w:space="0" w:color="auto"/>
              <w:left w:val="outset" w:sz="6" w:space="0" w:color="auto"/>
              <w:bottom w:val="outset" w:sz="6" w:space="0" w:color="auto"/>
              <w:right w:val="outset" w:sz="6" w:space="0" w:color="auto"/>
            </w:tcBorders>
            <w:vAlign w:val="center"/>
            <w:hideMark/>
          </w:tcPr>
          <w:p w14:paraId="50DE6B4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Mosquera  </w:t>
            </w:r>
          </w:p>
        </w:tc>
      </w:tr>
      <w:tr w:rsidR="00FC79C1" w:rsidRPr="009342F9" w14:paraId="1CF1722F" w14:textId="77777777" w:rsidTr="00FC79C1">
        <w:trPr>
          <w:trHeight w:val="120"/>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273EE2C5" w14:textId="77777777" w:rsidR="00FC79C1" w:rsidRPr="009342F9" w:rsidRDefault="00FC79C1" w:rsidP="00FC79C1">
            <w:pPr>
              <w:spacing w:after="0" w:line="240" w:lineRule="auto"/>
              <w:jc w:val="both"/>
              <w:rPr>
                <w:rFonts w:ascii="Arial" w:eastAsia="Times New Roman" w:hAnsi="Arial" w:cs="Arial"/>
                <w:color w:val="000000"/>
                <w:lang w:eastAsia="es-CO"/>
              </w:rPr>
            </w:pPr>
          </w:p>
        </w:tc>
        <w:tc>
          <w:tcPr>
            <w:tcW w:w="4455" w:type="dxa"/>
            <w:tcBorders>
              <w:top w:val="outset" w:sz="6" w:space="0" w:color="auto"/>
              <w:left w:val="outset" w:sz="6" w:space="0" w:color="auto"/>
              <w:bottom w:val="outset" w:sz="6" w:space="0" w:color="auto"/>
              <w:right w:val="outset" w:sz="6" w:space="0" w:color="auto"/>
            </w:tcBorders>
            <w:vAlign w:val="center"/>
            <w:hideMark/>
          </w:tcPr>
          <w:p w14:paraId="328E6CD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Facatativá  </w:t>
            </w:r>
          </w:p>
        </w:tc>
      </w:tr>
      <w:tr w:rsidR="00FC79C1" w:rsidRPr="009342F9" w14:paraId="00F0EE9E" w14:textId="77777777" w:rsidTr="00FC79C1">
        <w:trPr>
          <w:trHeight w:val="120"/>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75B629E5" w14:textId="77777777" w:rsidR="00FC79C1" w:rsidRPr="009342F9" w:rsidRDefault="00FC79C1" w:rsidP="00FC79C1">
            <w:pPr>
              <w:spacing w:after="0" w:line="240" w:lineRule="auto"/>
              <w:jc w:val="both"/>
              <w:rPr>
                <w:rFonts w:ascii="Arial" w:eastAsia="Times New Roman" w:hAnsi="Arial" w:cs="Arial"/>
                <w:color w:val="000000"/>
                <w:lang w:eastAsia="es-CO"/>
              </w:rPr>
            </w:pPr>
          </w:p>
        </w:tc>
        <w:tc>
          <w:tcPr>
            <w:tcW w:w="4455" w:type="dxa"/>
            <w:tcBorders>
              <w:top w:val="outset" w:sz="6" w:space="0" w:color="auto"/>
              <w:left w:val="outset" w:sz="6" w:space="0" w:color="auto"/>
              <w:bottom w:val="outset" w:sz="6" w:space="0" w:color="auto"/>
              <w:right w:val="outset" w:sz="6" w:space="0" w:color="auto"/>
            </w:tcBorders>
            <w:vAlign w:val="center"/>
            <w:hideMark/>
          </w:tcPr>
          <w:p w14:paraId="6872389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Zipaquirá  </w:t>
            </w:r>
          </w:p>
        </w:tc>
      </w:tr>
      <w:tr w:rsidR="00FC79C1" w:rsidRPr="009342F9" w14:paraId="10CDCB53" w14:textId="77777777" w:rsidTr="00FC79C1">
        <w:trPr>
          <w:trHeight w:val="120"/>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35FED201" w14:textId="77777777" w:rsidR="00FC79C1" w:rsidRPr="009342F9" w:rsidRDefault="00FC79C1" w:rsidP="00FC79C1">
            <w:pPr>
              <w:spacing w:after="0" w:line="240" w:lineRule="auto"/>
              <w:jc w:val="both"/>
              <w:rPr>
                <w:rFonts w:ascii="Arial" w:eastAsia="Times New Roman" w:hAnsi="Arial" w:cs="Arial"/>
                <w:color w:val="000000"/>
                <w:lang w:eastAsia="es-CO"/>
              </w:rPr>
            </w:pPr>
          </w:p>
        </w:tc>
        <w:tc>
          <w:tcPr>
            <w:tcW w:w="4455" w:type="dxa"/>
            <w:tcBorders>
              <w:top w:val="outset" w:sz="6" w:space="0" w:color="auto"/>
              <w:left w:val="outset" w:sz="6" w:space="0" w:color="auto"/>
              <w:bottom w:val="outset" w:sz="6" w:space="0" w:color="auto"/>
              <w:right w:val="outset" w:sz="6" w:space="0" w:color="auto"/>
            </w:tcBorders>
            <w:vAlign w:val="center"/>
            <w:hideMark/>
          </w:tcPr>
          <w:p w14:paraId="0BCB497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Madrid  </w:t>
            </w:r>
          </w:p>
        </w:tc>
      </w:tr>
      <w:tr w:rsidR="00FC79C1" w:rsidRPr="009342F9" w14:paraId="02FA547D" w14:textId="77777777" w:rsidTr="00FC79C1">
        <w:trPr>
          <w:trHeight w:val="120"/>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41FDDD02" w14:textId="77777777" w:rsidR="00FC79C1" w:rsidRPr="009342F9" w:rsidRDefault="00FC79C1" w:rsidP="00FC79C1">
            <w:pPr>
              <w:spacing w:after="0" w:line="240" w:lineRule="auto"/>
              <w:jc w:val="both"/>
              <w:rPr>
                <w:rFonts w:ascii="Arial" w:eastAsia="Times New Roman" w:hAnsi="Arial" w:cs="Arial"/>
                <w:color w:val="000000"/>
                <w:lang w:eastAsia="es-CO"/>
              </w:rPr>
            </w:pPr>
          </w:p>
        </w:tc>
        <w:tc>
          <w:tcPr>
            <w:tcW w:w="4455" w:type="dxa"/>
            <w:tcBorders>
              <w:top w:val="outset" w:sz="6" w:space="0" w:color="auto"/>
              <w:left w:val="outset" w:sz="6" w:space="0" w:color="auto"/>
              <w:bottom w:val="outset" w:sz="6" w:space="0" w:color="auto"/>
              <w:right w:val="outset" w:sz="6" w:space="0" w:color="auto"/>
            </w:tcBorders>
            <w:vAlign w:val="center"/>
            <w:hideMark/>
          </w:tcPr>
          <w:p w14:paraId="431475D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Soacha  </w:t>
            </w:r>
          </w:p>
        </w:tc>
      </w:tr>
      <w:tr w:rsidR="00FC79C1" w:rsidRPr="009342F9" w14:paraId="1C4D7D14" w14:textId="77777777" w:rsidTr="00FC79C1">
        <w:trPr>
          <w:trHeight w:val="120"/>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5887F189" w14:textId="77777777" w:rsidR="00FC79C1" w:rsidRPr="009342F9" w:rsidRDefault="00FC79C1" w:rsidP="00FC79C1">
            <w:pPr>
              <w:spacing w:after="0" w:line="240" w:lineRule="auto"/>
              <w:jc w:val="both"/>
              <w:rPr>
                <w:rFonts w:ascii="Arial" w:eastAsia="Times New Roman" w:hAnsi="Arial" w:cs="Arial"/>
                <w:color w:val="000000"/>
                <w:lang w:eastAsia="es-CO"/>
              </w:rPr>
            </w:pPr>
          </w:p>
        </w:tc>
        <w:tc>
          <w:tcPr>
            <w:tcW w:w="4455" w:type="dxa"/>
            <w:tcBorders>
              <w:top w:val="outset" w:sz="6" w:space="0" w:color="auto"/>
              <w:left w:val="outset" w:sz="6" w:space="0" w:color="auto"/>
              <w:bottom w:val="outset" w:sz="6" w:space="0" w:color="auto"/>
              <w:right w:val="outset" w:sz="6" w:space="0" w:color="auto"/>
            </w:tcBorders>
            <w:vAlign w:val="center"/>
            <w:hideMark/>
          </w:tcPr>
          <w:p w14:paraId="724A027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Tocancipá  </w:t>
            </w:r>
          </w:p>
        </w:tc>
      </w:tr>
      <w:tr w:rsidR="00FC79C1" w:rsidRPr="009342F9" w14:paraId="1CC0D2E0" w14:textId="77777777" w:rsidTr="00FC79C1">
        <w:trPr>
          <w:trHeight w:val="120"/>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63C426D4" w14:textId="77777777" w:rsidR="00FC79C1" w:rsidRPr="009342F9" w:rsidRDefault="00FC79C1" w:rsidP="00FC79C1">
            <w:pPr>
              <w:spacing w:after="0" w:line="240" w:lineRule="auto"/>
              <w:jc w:val="both"/>
              <w:rPr>
                <w:rFonts w:ascii="Arial" w:eastAsia="Times New Roman" w:hAnsi="Arial" w:cs="Arial"/>
                <w:color w:val="000000"/>
                <w:lang w:eastAsia="es-CO"/>
              </w:rPr>
            </w:pPr>
          </w:p>
        </w:tc>
        <w:tc>
          <w:tcPr>
            <w:tcW w:w="4455" w:type="dxa"/>
            <w:tcBorders>
              <w:top w:val="outset" w:sz="6" w:space="0" w:color="auto"/>
              <w:left w:val="outset" w:sz="6" w:space="0" w:color="auto"/>
              <w:bottom w:val="outset" w:sz="6" w:space="0" w:color="auto"/>
              <w:right w:val="outset" w:sz="6" w:space="0" w:color="auto"/>
            </w:tcBorders>
            <w:vAlign w:val="center"/>
            <w:hideMark/>
          </w:tcPr>
          <w:p w14:paraId="7712868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Bogotá  </w:t>
            </w:r>
          </w:p>
        </w:tc>
      </w:tr>
      <w:tr w:rsidR="00FC79C1" w:rsidRPr="009342F9" w14:paraId="20D243F3" w14:textId="77777777" w:rsidTr="00FC79C1">
        <w:trPr>
          <w:trHeight w:val="300"/>
          <w:tblCellSpacing w:w="0" w:type="dxa"/>
          <w:jc w:val="center"/>
        </w:trPr>
        <w:tc>
          <w:tcPr>
            <w:tcW w:w="2160" w:type="dxa"/>
            <w:vMerge w:val="restart"/>
            <w:tcBorders>
              <w:top w:val="outset" w:sz="6" w:space="0" w:color="auto"/>
              <w:left w:val="outset" w:sz="6" w:space="0" w:color="auto"/>
              <w:bottom w:val="outset" w:sz="6" w:space="0" w:color="auto"/>
              <w:right w:val="outset" w:sz="6" w:space="0" w:color="auto"/>
            </w:tcBorders>
            <w:vAlign w:val="center"/>
            <w:hideMark/>
          </w:tcPr>
          <w:p w14:paraId="2C66946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Bucaramanga  </w:t>
            </w:r>
          </w:p>
        </w:tc>
        <w:tc>
          <w:tcPr>
            <w:tcW w:w="4455" w:type="dxa"/>
            <w:tcBorders>
              <w:top w:val="outset" w:sz="6" w:space="0" w:color="auto"/>
              <w:left w:val="outset" w:sz="6" w:space="0" w:color="auto"/>
              <w:bottom w:val="outset" w:sz="6" w:space="0" w:color="auto"/>
              <w:right w:val="outset" w:sz="6" w:space="0" w:color="auto"/>
            </w:tcBorders>
            <w:vAlign w:val="center"/>
            <w:hideMark/>
          </w:tcPr>
          <w:p w14:paraId="7657C94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Piedecuesta  </w:t>
            </w:r>
          </w:p>
        </w:tc>
      </w:tr>
      <w:tr w:rsidR="00FC79C1" w:rsidRPr="009342F9" w14:paraId="17380DCC" w14:textId="77777777" w:rsidTr="00FC79C1">
        <w:trPr>
          <w:trHeight w:val="120"/>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3D8584F0" w14:textId="77777777" w:rsidR="00FC79C1" w:rsidRPr="009342F9" w:rsidRDefault="00FC79C1" w:rsidP="00FC79C1">
            <w:pPr>
              <w:spacing w:after="0" w:line="240" w:lineRule="auto"/>
              <w:jc w:val="both"/>
              <w:rPr>
                <w:rFonts w:ascii="Arial" w:eastAsia="Times New Roman" w:hAnsi="Arial" w:cs="Arial"/>
                <w:color w:val="000000"/>
                <w:lang w:eastAsia="es-CO"/>
              </w:rPr>
            </w:pPr>
          </w:p>
        </w:tc>
        <w:tc>
          <w:tcPr>
            <w:tcW w:w="4455" w:type="dxa"/>
            <w:tcBorders>
              <w:top w:val="outset" w:sz="6" w:space="0" w:color="auto"/>
              <w:left w:val="outset" w:sz="6" w:space="0" w:color="auto"/>
              <w:bottom w:val="outset" w:sz="6" w:space="0" w:color="auto"/>
              <w:right w:val="outset" w:sz="6" w:space="0" w:color="auto"/>
            </w:tcBorders>
            <w:vAlign w:val="center"/>
            <w:hideMark/>
          </w:tcPr>
          <w:p w14:paraId="4649C5D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Girón  </w:t>
            </w:r>
          </w:p>
        </w:tc>
      </w:tr>
      <w:tr w:rsidR="00FC79C1" w:rsidRPr="009342F9" w14:paraId="461D3B79" w14:textId="77777777" w:rsidTr="00FC79C1">
        <w:trPr>
          <w:trHeight w:val="120"/>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5C75F72A" w14:textId="77777777" w:rsidR="00FC79C1" w:rsidRPr="009342F9" w:rsidRDefault="00FC79C1" w:rsidP="00FC79C1">
            <w:pPr>
              <w:spacing w:after="0" w:line="240" w:lineRule="auto"/>
              <w:jc w:val="both"/>
              <w:rPr>
                <w:rFonts w:ascii="Arial" w:eastAsia="Times New Roman" w:hAnsi="Arial" w:cs="Arial"/>
                <w:color w:val="000000"/>
                <w:lang w:eastAsia="es-CO"/>
              </w:rPr>
            </w:pPr>
          </w:p>
        </w:tc>
        <w:tc>
          <w:tcPr>
            <w:tcW w:w="4455" w:type="dxa"/>
            <w:tcBorders>
              <w:top w:val="outset" w:sz="6" w:space="0" w:color="auto"/>
              <w:left w:val="outset" w:sz="6" w:space="0" w:color="auto"/>
              <w:bottom w:val="outset" w:sz="6" w:space="0" w:color="auto"/>
              <w:right w:val="outset" w:sz="6" w:space="0" w:color="auto"/>
            </w:tcBorders>
            <w:vAlign w:val="center"/>
            <w:hideMark/>
          </w:tcPr>
          <w:p w14:paraId="3497FEF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Floridablanca  </w:t>
            </w:r>
          </w:p>
        </w:tc>
      </w:tr>
      <w:tr w:rsidR="00FC79C1" w:rsidRPr="009342F9" w14:paraId="3DF6EE22" w14:textId="77777777" w:rsidTr="00FC79C1">
        <w:trPr>
          <w:trHeight w:val="120"/>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6A7F6074" w14:textId="77777777" w:rsidR="00FC79C1" w:rsidRPr="009342F9" w:rsidRDefault="00FC79C1" w:rsidP="00FC79C1">
            <w:pPr>
              <w:spacing w:after="0" w:line="240" w:lineRule="auto"/>
              <w:jc w:val="both"/>
              <w:rPr>
                <w:rFonts w:ascii="Arial" w:eastAsia="Times New Roman" w:hAnsi="Arial" w:cs="Arial"/>
                <w:color w:val="000000"/>
                <w:lang w:eastAsia="es-CO"/>
              </w:rPr>
            </w:pPr>
          </w:p>
        </w:tc>
        <w:tc>
          <w:tcPr>
            <w:tcW w:w="4455" w:type="dxa"/>
            <w:tcBorders>
              <w:top w:val="outset" w:sz="6" w:space="0" w:color="auto"/>
              <w:left w:val="outset" w:sz="6" w:space="0" w:color="auto"/>
              <w:bottom w:val="outset" w:sz="6" w:space="0" w:color="auto"/>
              <w:right w:val="outset" w:sz="6" w:space="0" w:color="auto"/>
            </w:tcBorders>
            <w:vAlign w:val="center"/>
            <w:hideMark/>
          </w:tcPr>
          <w:p w14:paraId="33A437A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Bucaramanga  </w:t>
            </w:r>
          </w:p>
        </w:tc>
      </w:tr>
      <w:tr w:rsidR="00FC79C1" w:rsidRPr="009342F9" w14:paraId="634792C6" w14:textId="77777777" w:rsidTr="00FC79C1">
        <w:trPr>
          <w:trHeight w:val="360"/>
          <w:tblCellSpacing w:w="0" w:type="dxa"/>
          <w:jc w:val="center"/>
        </w:trPr>
        <w:tc>
          <w:tcPr>
            <w:tcW w:w="2160" w:type="dxa"/>
            <w:vMerge w:val="restart"/>
            <w:tcBorders>
              <w:top w:val="outset" w:sz="6" w:space="0" w:color="auto"/>
              <w:left w:val="outset" w:sz="6" w:space="0" w:color="auto"/>
              <w:bottom w:val="outset" w:sz="6" w:space="0" w:color="auto"/>
              <w:right w:val="outset" w:sz="6" w:space="0" w:color="auto"/>
            </w:tcBorders>
            <w:vAlign w:val="center"/>
            <w:hideMark/>
          </w:tcPr>
          <w:p w14:paraId="451A759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Cali  </w:t>
            </w:r>
          </w:p>
        </w:tc>
        <w:tc>
          <w:tcPr>
            <w:tcW w:w="4455" w:type="dxa"/>
            <w:tcBorders>
              <w:top w:val="outset" w:sz="6" w:space="0" w:color="auto"/>
              <w:left w:val="outset" w:sz="6" w:space="0" w:color="auto"/>
              <w:bottom w:val="outset" w:sz="6" w:space="0" w:color="auto"/>
              <w:right w:val="outset" w:sz="6" w:space="0" w:color="auto"/>
            </w:tcBorders>
            <w:vAlign w:val="center"/>
            <w:hideMark/>
          </w:tcPr>
          <w:p w14:paraId="231E7A5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Puerto Tejada  </w:t>
            </w:r>
          </w:p>
        </w:tc>
      </w:tr>
      <w:tr w:rsidR="00FC79C1" w:rsidRPr="009342F9" w14:paraId="1D212EA0" w14:textId="77777777" w:rsidTr="00FC79C1">
        <w:trPr>
          <w:trHeight w:val="120"/>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4BD6A0DA" w14:textId="77777777" w:rsidR="00FC79C1" w:rsidRPr="009342F9" w:rsidRDefault="00FC79C1" w:rsidP="00FC79C1">
            <w:pPr>
              <w:spacing w:after="0" w:line="240" w:lineRule="auto"/>
              <w:jc w:val="both"/>
              <w:rPr>
                <w:rFonts w:ascii="Arial" w:eastAsia="Times New Roman" w:hAnsi="Arial" w:cs="Arial"/>
                <w:color w:val="000000"/>
                <w:lang w:eastAsia="es-CO"/>
              </w:rPr>
            </w:pPr>
          </w:p>
        </w:tc>
        <w:tc>
          <w:tcPr>
            <w:tcW w:w="4455" w:type="dxa"/>
            <w:tcBorders>
              <w:top w:val="outset" w:sz="6" w:space="0" w:color="auto"/>
              <w:left w:val="outset" w:sz="6" w:space="0" w:color="auto"/>
              <w:bottom w:val="outset" w:sz="6" w:space="0" w:color="auto"/>
              <w:right w:val="outset" w:sz="6" w:space="0" w:color="auto"/>
            </w:tcBorders>
            <w:vAlign w:val="center"/>
            <w:hideMark/>
          </w:tcPr>
          <w:p w14:paraId="03E5ACC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Candelaria  </w:t>
            </w:r>
          </w:p>
        </w:tc>
      </w:tr>
      <w:tr w:rsidR="00FC79C1" w:rsidRPr="009342F9" w14:paraId="5C8D510D" w14:textId="77777777" w:rsidTr="00FC79C1">
        <w:trPr>
          <w:trHeight w:val="120"/>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1D0660AE" w14:textId="77777777" w:rsidR="00FC79C1" w:rsidRPr="009342F9" w:rsidRDefault="00FC79C1" w:rsidP="00FC79C1">
            <w:pPr>
              <w:spacing w:after="0" w:line="240" w:lineRule="auto"/>
              <w:jc w:val="both"/>
              <w:rPr>
                <w:rFonts w:ascii="Arial" w:eastAsia="Times New Roman" w:hAnsi="Arial" w:cs="Arial"/>
                <w:color w:val="000000"/>
                <w:lang w:eastAsia="es-CO"/>
              </w:rPr>
            </w:pPr>
          </w:p>
        </w:tc>
        <w:tc>
          <w:tcPr>
            <w:tcW w:w="4455" w:type="dxa"/>
            <w:tcBorders>
              <w:top w:val="outset" w:sz="6" w:space="0" w:color="auto"/>
              <w:left w:val="outset" w:sz="6" w:space="0" w:color="auto"/>
              <w:bottom w:val="outset" w:sz="6" w:space="0" w:color="auto"/>
              <w:right w:val="outset" w:sz="6" w:space="0" w:color="auto"/>
            </w:tcBorders>
            <w:vAlign w:val="center"/>
            <w:hideMark/>
          </w:tcPr>
          <w:p w14:paraId="18B7C1A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Yumbo  </w:t>
            </w:r>
          </w:p>
        </w:tc>
      </w:tr>
      <w:tr w:rsidR="00FC79C1" w:rsidRPr="009342F9" w14:paraId="3283113A" w14:textId="77777777" w:rsidTr="00FC79C1">
        <w:trPr>
          <w:trHeight w:val="120"/>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346B45B3" w14:textId="77777777" w:rsidR="00FC79C1" w:rsidRPr="009342F9" w:rsidRDefault="00FC79C1" w:rsidP="00FC79C1">
            <w:pPr>
              <w:spacing w:after="0" w:line="240" w:lineRule="auto"/>
              <w:jc w:val="both"/>
              <w:rPr>
                <w:rFonts w:ascii="Arial" w:eastAsia="Times New Roman" w:hAnsi="Arial" w:cs="Arial"/>
                <w:color w:val="000000"/>
                <w:lang w:eastAsia="es-CO"/>
              </w:rPr>
            </w:pPr>
          </w:p>
        </w:tc>
        <w:tc>
          <w:tcPr>
            <w:tcW w:w="4455" w:type="dxa"/>
            <w:tcBorders>
              <w:top w:val="outset" w:sz="6" w:space="0" w:color="auto"/>
              <w:left w:val="outset" w:sz="6" w:space="0" w:color="auto"/>
              <w:bottom w:val="outset" w:sz="6" w:space="0" w:color="auto"/>
              <w:right w:val="outset" w:sz="6" w:space="0" w:color="auto"/>
            </w:tcBorders>
            <w:vAlign w:val="center"/>
            <w:hideMark/>
          </w:tcPr>
          <w:p w14:paraId="125DC60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Jamundí  </w:t>
            </w:r>
          </w:p>
        </w:tc>
      </w:tr>
      <w:tr w:rsidR="00FC79C1" w:rsidRPr="009342F9" w14:paraId="237C562A" w14:textId="77777777" w:rsidTr="00FC79C1">
        <w:trPr>
          <w:trHeight w:val="120"/>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69389C42" w14:textId="77777777" w:rsidR="00FC79C1" w:rsidRPr="009342F9" w:rsidRDefault="00FC79C1" w:rsidP="00FC79C1">
            <w:pPr>
              <w:spacing w:after="0" w:line="240" w:lineRule="auto"/>
              <w:jc w:val="both"/>
              <w:rPr>
                <w:rFonts w:ascii="Arial" w:eastAsia="Times New Roman" w:hAnsi="Arial" w:cs="Arial"/>
                <w:color w:val="000000"/>
                <w:lang w:eastAsia="es-CO"/>
              </w:rPr>
            </w:pPr>
          </w:p>
        </w:tc>
        <w:tc>
          <w:tcPr>
            <w:tcW w:w="4455" w:type="dxa"/>
            <w:tcBorders>
              <w:top w:val="outset" w:sz="6" w:space="0" w:color="auto"/>
              <w:left w:val="outset" w:sz="6" w:space="0" w:color="auto"/>
              <w:bottom w:val="outset" w:sz="6" w:space="0" w:color="auto"/>
              <w:right w:val="outset" w:sz="6" w:space="0" w:color="auto"/>
            </w:tcBorders>
            <w:vAlign w:val="center"/>
            <w:hideMark/>
          </w:tcPr>
          <w:p w14:paraId="3BCF870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Cali  </w:t>
            </w:r>
          </w:p>
        </w:tc>
      </w:tr>
      <w:tr w:rsidR="00FC79C1" w:rsidRPr="009342F9" w14:paraId="3BE4E363" w14:textId="77777777" w:rsidTr="00FC79C1">
        <w:trPr>
          <w:trHeight w:val="240"/>
          <w:tblCellSpacing w:w="0" w:type="dxa"/>
          <w:jc w:val="center"/>
        </w:trPr>
        <w:tc>
          <w:tcPr>
            <w:tcW w:w="2160" w:type="dxa"/>
            <w:vMerge w:val="restart"/>
            <w:tcBorders>
              <w:top w:val="outset" w:sz="6" w:space="0" w:color="auto"/>
              <w:left w:val="outset" w:sz="6" w:space="0" w:color="auto"/>
              <w:bottom w:val="outset" w:sz="6" w:space="0" w:color="auto"/>
              <w:right w:val="outset" w:sz="6" w:space="0" w:color="auto"/>
            </w:tcBorders>
            <w:vAlign w:val="center"/>
            <w:hideMark/>
          </w:tcPr>
          <w:p w14:paraId="7402405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Cartagena  </w:t>
            </w:r>
          </w:p>
        </w:tc>
        <w:tc>
          <w:tcPr>
            <w:tcW w:w="4455" w:type="dxa"/>
            <w:tcBorders>
              <w:top w:val="outset" w:sz="6" w:space="0" w:color="auto"/>
              <w:left w:val="outset" w:sz="6" w:space="0" w:color="auto"/>
              <w:bottom w:val="outset" w:sz="6" w:space="0" w:color="auto"/>
              <w:right w:val="outset" w:sz="6" w:space="0" w:color="auto"/>
            </w:tcBorders>
            <w:vAlign w:val="center"/>
            <w:hideMark/>
          </w:tcPr>
          <w:p w14:paraId="156AC3C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Clemencia  </w:t>
            </w:r>
          </w:p>
        </w:tc>
      </w:tr>
      <w:tr w:rsidR="00FC79C1" w:rsidRPr="009342F9" w14:paraId="05956AF8" w14:textId="77777777" w:rsidTr="00FC79C1">
        <w:trPr>
          <w:trHeight w:val="120"/>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56F414BF" w14:textId="77777777" w:rsidR="00FC79C1" w:rsidRPr="009342F9" w:rsidRDefault="00FC79C1" w:rsidP="00FC79C1">
            <w:pPr>
              <w:spacing w:after="0" w:line="240" w:lineRule="auto"/>
              <w:jc w:val="both"/>
              <w:rPr>
                <w:rFonts w:ascii="Arial" w:eastAsia="Times New Roman" w:hAnsi="Arial" w:cs="Arial"/>
                <w:color w:val="000000"/>
                <w:lang w:eastAsia="es-CO"/>
              </w:rPr>
            </w:pPr>
          </w:p>
        </w:tc>
        <w:tc>
          <w:tcPr>
            <w:tcW w:w="4455" w:type="dxa"/>
            <w:tcBorders>
              <w:top w:val="outset" w:sz="6" w:space="0" w:color="auto"/>
              <w:left w:val="outset" w:sz="6" w:space="0" w:color="auto"/>
              <w:bottom w:val="outset" w:sz="6" w:space="0" w:color="auto"/>
              <w:right w:val="outset" w:sz="6" w:space="0" w:color="auto"/>
            </w:tcBorders>
            <w:vAlign w:val="center"/>
            <w:hideMark/>
          </w:tcPr>
          <w:p w14:paraId="6CCCBDA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Turbaco  </w:t>
            </w:r>
          </w:p>
        </w:tc>
      </w:tr>
      <w:tr w:rsidR="00FC79C1" w:rsidRPr="009342F9" w14:paraId="2FA22D44" w14:textId="77777777" w:rsidTr="00FC79C1">
        <w:trPr>
          <w:trHeight w:val="120"/>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50356CC2" w14:textId="77777777" w:rsidR="00FC79C1" w:rsidRPr="009342F9" w:rsidRDefault="00FC79C1" w:rsidP="00FC79C1">
            <w:pPr>
              <w:spacing w:after="0" w:line="240" w:lineRule="auto"/>
              <w:jc w:val="both"/>
              <w:rPr>
                <w:rFonts w:ascii="Arial" w:eastAsia="Times New Roman" w:hAnsi="Arial" w:cs="Arial"/>
                <w:color w:val="000000"/>
                <w:lang w:eastAsia="es-CO"/>
              </w:rPr>
            </w:pPr>
          </w:p>
        </w:tc>
        <w:tc>
          <w:tcPr>
            <w:tcW w:w="4455" w:type="dxa"/>
            <w:tcBorders>
              <w:top w:val="outset" w:sz="6" w:space="0" w:color="auto"/>
              <w:left w:val="outset" w:sz="6" w:space="0" w:color="auto"/>
              <w:bottom w:val="outset" w:sz="6" w:space="0" w:color="auto"/>
              <w:right w:val="outset" w:sz="6" w:space="0" w:color="auto"/>
            </w:tcBorders>
            <w:vAlign w:val="center"/>
            <w:hideMark/>
          </w:tcPr>
          <w:p w14:paraId="2C9A1EF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Cartagena  </w:t>
            </w:r>
          </w:p>
        </w:tc>
      </w:tr>
      <w:tr w:rsidR="00FC79C1" w:rsidRPr="009342F9" w14:paraId="1E7EA6C8" w14:textId="77777777" w:rsidTr="00FC79C1">
        <w:trPr>
          <w:trHeight w:val="120"/>
          <w:tblCellSpacing w:w="0" w:type="dxa"/>
          <w:jc w:val="center"/>
        </w:trPr>
        <w:tc>
          <w:tcPr>
            <w:tcW w:w="2160" w:type="dxa"/>
            <w:vMerge w:val="restart"/>
            <w:tcBorders>
              <w:top w:val="outset" w:sz="6" w:space="0" w:color="auto"/>
              <w:left w:val="outset" w:sz="6" w:space="0" w:color="auto"/>
              <w:bottom w:val="outset" w:sz="6" w:space="0" w:color="auto"/>
              <w:right w:val="outset" w:sz="6" w:space="0" w:color="auto"/>
            </w:tcBorders>
            <w:vAlign w:val="center"/>
            <w:hideMark/>
          </w:tcPr>
          <w:p w14:paraId="7BAF4D2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Medellín  </w:t>
            </w:r>
          </w:p>
        </w:tc>
        <w:tc>
          <w:tcPr>
            <w:tcW w:w="4455" w:type="dxa"/>
            <w:tcBorders>
              <w:top w:val="outset" w:sz="6" w:space="0" w:color="auto"/>
              <w:left w:val="outset" w:sz="6" w:space="0" w:color="auto"/>
              <w:bottom w:val="outset" w:sz="6" w:space="0" w:color="auto"/>
              <w:right w:val="outset" w:sz="6" w:space="0" w:color="auto"/>
            </w:tcBorders>
            <w:vAlign w:val="center"/>
            <w:hideMark/>
          </w:tcPr>
          <w:p w14:paraId="0F2F23D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Girardota  </w:t>
            </w:r>
          </w:p>
        </w:tc>
      </w:tr>
      <w:tr w:rsidR="00FC79C1" w:rsidRPr="009342F9" w14:paraId="132B5BF1" w14:textId="77777777" w:rsidTr="00FC79C1">
        <w:trPr>
          <w:trHeight w:val="120"/>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7BD0F88E" w14:textId="77777777" w:rsidR="00FC79C1" w:rsidRPr="009342F9" w:rsidRDefault="00FC79C1" w:rsidP="00FC79C1">
            <w:pPr>
              <w:spacing w:after="0" w:line="240" w:lineRule="auto"/>
              <w:jc w:val="both"/>
              <w:rPr>
                <w:rFonts w:ascii="Arial" w:eastAsia="Times New Roman" w:hAnsi="Arial" w:cs="Arial"/>
                <w:color w:val="000000"/>
                <w:lang w:eastAsia="es-CO"/>
              </w:rPr>
            </w:pPr>
          </w:p>
        </w:tc>
        <w:tc>
          <w:tcPr>
            <w:tcW w:w="4455" w:type="dxa"/>
            <w:tcBorders>
              <w:top w:val="outset" w:sz="6" w:space="0" w:color="auto"/>
              <w:left w:val="outset" w:sz="6" w:space="0" w:color="auto"/>
              <w:bottom w:val="outset" w:sz="6" w:space="0" w:color="auto"/>
              <w:right w:val="outset" w:sz="6" w:space="0" w:color="auto"/>
            </w:tcBorders>
            <w:vAlign w:val="center"/>
            <w:hideMark/>
          </w:tcPr>
          <w:p w14:paraId="1ADC5EB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Caldas  </w:t>
            </w:r>
          </w:p>
        </w:tc>
      </w:tr>
      <w:tr w:rsidR="00FC79C1" w:rsidRPr="009342F9" w14:paraId="2D8951A7" w14:textId="77777777" w:rsidTr="00FC79C1">
        <w:trPr>
          <w:trHeight w:val="120"/>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0172F9E2" w14:textId="77777777" w:rsidR="00FC79C1" w:rsidRPr="009342F9" w:rsidRDefault="00FC79C1" w:rsidP="00FC79C1">
            <w:pPr>
              <w:spacing w:after="0" w:line="240" w:lineRule="auto"/>
              <w:jc w:val="both"/>
              <w:rPr>
                <w:rFonts w:ascii="Arial" w:eastAsia="Times New Roman" w:hAnsi="Arial" w:cs="Arial"/>
                <w:color w:val="000000"/>
                <w:lang w:eastAsia="es-CO"/>
              </w:rPr>
            </w:pPr>
          </w:p>
        </w:tc>
        <w:tc>
          <w:tcPr>
            <w:tcW w:w="4455" w:type="dxa"/>
            <w:tcBorders>
              <w:top w:val="outset" w:sz="6" w:space="0" w:color="auto"/>
              <w:left w:val="outset" w:sz="6" w:space="0" w:color="auto"/>
              <w:bottom w:val="outset" w:sz="6" w:space="0" w:color="auto"/>
              <w:right w:val="outset" w:sz="6" w:space="0" w:color="auto"/>
            </w:tcBorders>
            <w:vAlign w:val="center"/>
            <w:hideMark/>
          </w:tcPr>
          <w:p w14:paraId="32E8F19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Itagüí  </w:t>
            </w:r>
          </w:p>
        </w:tc>
      </w:tr>
      <w:tr w:rsidR="00FC79C1" w:rsidRPr="009342F9" w14:paraId="4E05286C" w14:textId="77777777" w:rsidTr="00FC79C1">
        <w:trPr>
          <w:trHeight w:val="120"/>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080E3532" w14:textId="77777777" w:rsidR="00FC79C1" w:rsidRPr="009342F9" w:rsidRDefault="00FC79C1" w:rsidP="00FC79C1">
            <w:pPr>
              <w:spacing w:after="0" w:line="240" w:lineRule="auto"/>
              <w:jc w:val="both"/>
              <w:rPr>
                <w:rFonts w:ascii="Arial" w:eastAsia="Times New Roman" w:hAnsi="Arial" w:cs="Arial"/>
                <w:color w:val="000000"/>
                <w:lang w:eastAsia="es-CO"/>
              </w:rPr>
            </w:pPr>
          </w:p>
        </w:tc>
        <w:tc>
          <w:tcPr>
            <w:tcW w:w="4455" w:type="dxa"/>
            <w:tcBorders>
              <w:top w:val="outset" w:sz="6" w:space="0" w:color="auto"/>
              <w:left w:val="outset" w:sz="6" w:space="0" w:color="auto"/>
              <w:bottom w:val="outset" w:sz="6" w:space="0" w:color="auto"/>
              <w:right w:val="outset" w:sz="6" w:space="0" w:color="auto"/>
            </w:tcBorders>
            <w:vAlign w:val="center"/>
            <w:hideMark/>
          </w:tcPr>
          <w:p w14:paraId="241B7FD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Sabaneta  </w:t>
            </w:r>
          </w:p>
        </w:tc>
      </w:tr>
      <w:tr w:rsidR="00FC79C1" w:rsidRPr="009342F9" w14:paraId="3E3FEF48" w14:textId="77777777" w:rsidTr="00FC79C1">
        <w:trPr>
          <w:trHeight w:val="120"/>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36ECA558" w14:textId="77777777" w:rsidR="00FC79C1" w:rsidRPr="009342F9" w:rsidRDefault="00FC79C1" w:rsidP="00FC79C1">
            <w:pPr>
              <w:spacing w:after="0" w:line="240" w:lineRule="auto"/>
              <w:jc w:val="both"/>
              <w:rPr>
                <w:rFonts w:ascii="Arial" w:eastAsia="Times New Roman" w:hAnsi="Arial" w:cs="Arial"/>
                <w:color w:val="000000"/>
                <w:lang w:eastAsia="es-CO"/>
              </w:rPr>
            </w:pPr>
          </w:p>
        </w:tc>
        <w:tc>
          <w:tcPr>
            <w:tcW w:w="4455" w:type="dxa"/>
            <w:tcBorders>
              <w:top w:val="outset" w:sz="6" w:space="0" w:color="auto"/>
              <w:left w:val="outset" w:sz="6" w:space="0" w:color="auto"/>
              <w:bottom w:val="outset" w:sz="6" w:space="0" w:color="auto"/>
              <w:right w:val="outset" w:sz="6" w:space="0" w:color="auto"/>
            </w:tcBorders>
            <w:vAlign w:val="center"/>
            <w:hideMark/>
          </w:tcPr>
          <w:p w14:paraId="2F8FE48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 Estrella  </w:t>
            </w:r>
          </w:p>
        </w:tc>
      </w:tr>
      <w:tr w:rsidR="00FC79C1" w:rsidRPr="009342F9" w14:paraId="5B8F7E1A" w14:textId="77777777" w:rsidTr="00FC79C1">
        <w:trPr>
          <w:trHeight w:val="120"/>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35CB72E0" w14:textId="77777777" w:rsidR="00FC79C1" w:rsidRPr="009342F9" w:rsidRDefault="00FC79C1" w:rsidP="00FC79C1">
            <w:pPr>
              <w:spacing w:after="0" w:line="240" w:lineRule="auto"/>
              <w:jc w:val="both"/>
              <w:rPr>
                <w:rFonts w:ascii="Arial" w:eastAsia="Times New Roman" w:hAnsi="Arial" w:cs="Arial"/>
                <w:color w:val="000000"/>
                <w:lang w:eastAsia="es-CO"/>
              </w:rPr>
            </w:pPr>
          </w:p>
        </w:tc>
        <w:tc>
          <w:tcPr>
            <w:tcW w:w="4455" w:type="dxa"/>
            <w:tcBorders>
              <w:top w:val="outset" w:sz="6" w:space="0" w:color="auto"/>
              <w:left w:val="outset" w:sz="6" w:space="0" w:color="auto"/>
              <w:bottom w:val="outset" w:sz="6" w:space="0" w:color="auto"/>
              <w:right w:val="outset" w:sz="6" w:space="0" w:color="auto"/>
            </w:tcBorders>
            <w:vAlign w:val="center"/>
            <w:hideMark/>
          </w:tcPr>
          <w:p w14:paraId="5902CD6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Envigado  </w:t>
            </w:r>
          </w:p>
        </w:tc>
      </w:tr>
      <w:tr w:rsidR="00FC79C1" w:rsidRPr="009342F9" w14:paraId="2876033A" w14:textId="77777777" w:rsidTr="00FC79C1">
        <w:trPr>
          <w:trHeight w:val="120"/>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2AE58B6E" w14:textId="77777777" w:rsidR="00FC79C1" w:rsidRPr="009342F9" w:rsidRDefault="00FC79C1" w:rsidP="00FC79C1">
            <w:pPr>
              <w:spacing w:after="0" w:line="240" w:lineRule="auto"/>
              <w:jc w:val="both"/>
              <w:rPr>
                <w:rFonts w:ascii="Arial" w:eastAsia="Times New Roman" w:hAnsi="Arial" w:cs="Arial"/>
                <w:color w:val="000000"/>
                <w:lang w:eastAsia="es-CO"/>
              </w:rPr>
            </w:pPr>
          </w:p>
        </w:tc>
        <w:tc>
          <w:tcPr>
            <w:tcW w:w="4455" w:type="dxa"/>
            <w:tcBorders>
              <w:top w:val="outset" w:sz="6" w:space="0" w:color="auto"/>
              <w:left w:val="outset" w:sz="6" w:space="0" w:color="auto"/>
              <w:bottom w:val="outset" w:sz="6" w:space="0" w:color="auto"/>
              <w:right w:val="outset" w:sz="6" w:space="0" w:color="auto"/>
            </w:tcBorders>
            <w:vAlign w:val="center"/>
            <w:hideMark/>
          </w:tcPr>
          <w:p w14:paraId="4322C89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Copacabana  </w:t>
            </w:r>
          </w:p>
        </w:tc>
      </w:tr>
      <w:tr w:rsidR="00FC79C1" w:rsidRPr="009342F9" w14:paraId="731963E9" w14:textId="77777777" w:rsidTr="00FC79C1">
        <w:trPr>
          <w:trHeight w:val="120"/>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52668EA7" w14:textId="77777777" w:rsidR="00FC79C1" w:rsidRPr="009342F9" w:rsidRDefault="00FC79C1" w:rsidP="00FC79C1">
            <w:pPr>
              <w:spacing w:after="0" w:line="240" w:lineRule="auto"/>
              <w:jc w:val="both"/>
              <w:rPr>
                <w:rFonts w:ascii="Arial" w:eastAsia="Times New Roman" w:hAnsi="Arial" w:cs="Arial"/>
                <w:color w:val="000000"/>
                <w:lang w:eastAsia="es-CO"/>
              </w:rPr>
            </w:pPr>
          </w:p>
        </w:tc>
        <w:tc>
          <w:tcPr>
            <w:tcW w:w="4455" w:type="dxa"/>
            <w:tcBorders>
              <w:top w:val="outset" w:sz="6" w:space="0" w:color="auto"/>
              <w:left w:val="outset" w:sz="6" w:space="0" w:color="auto"/>
              <w:bottom w:val="outset" w:sz="6" w:space="0" w:color="auto"/>
              <w:right w:val="outset" w:sz="6" w:space="0" w:color="auto"/>
            </w:tcBorders>
            <w:vAlign w:val="center"/>
            <w:hideMark/>
          </w:tcPr>
          <w:p w14:paraId="437B7A8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Bello  </w:t>
            </w:r>
          </w:p>
        </w:tc>
      </w:tr>
      <w:tr w:rsidR="00FC79C1" w:rsidRPr="009342F9" w14:paraId="0BFEAAA1" w14:textId="77777777" w:rsidTr="00FC79C1">
        <w:trPr>
          <w:trHeight w:val="120"/>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301AE90B" w14:textId="77777777" w:rsidR="00FC79C1" w:rsidRPr="009342F9" w:rsidRDefault="00FC79C1" w:rsidP="00FC79C1">
            <w:pPr>
              <w:spacing w:after="0" w:line="240" w:lineRule="auto"/>
              <w:jc w:val="both"/>
              <w:rPr>
                <w:rFonts w:ascii="Arial" w:eastAsia="Times New Roman" w:hAnsi="Arial" w:cs="Arial"/>
                <w:color w:val="000000"/>
                <w:lang w:eastAsia="es-CO"/>
              </w:rPr>
            </w:pPr>
          </w:p>
        </w:tc>
        <w:tc>
          <w:tcPr>
            <w:tcW w:w="4455" w:type="dxa"/>
            <w:tcBorders>
              <w:top w:val="outset" w:sz="6" w:space="0" w:color="auto"/>
              <w:left w:val="outset" w:sz="6" w:space="0" w:color="auto"/>
              <w:bottom w:val="outset" w:sz="6" w:space="0" w:color="auto"/>
              <w:right w:val="outset" w:sz="6" w:space="0" w:color="auto"/>
            </w:tcBorders>
            <w:vAlign w:val="center"/>
            <w:hideMark/>
          </w:tcPr>
          <w:p w14:paraId="136B072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Medellín  </w:t>
            </w:r>
          </w:p>
        </w:tc>
      </w:tr>
    </w:tbl>
    <w:p w14:paraId="43E4AA3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662137C" w14:textId="77777777" w:rsidR="00FC79C1" w:rsidRPr="009342F9" w:rsidRDefault="00FC79C1" w:rsidP="00FC79C1">
      <w:pPr>
        <w:spacing w:after="0" w:line="240" w:lineRule="auto"/>
        <w:jc w:val="both"/>
        <w:rPr>
          <w:rFonts w:ascii="Arial" w:eastAsia="Times New Roman" w:hAnsi="Arial" w:cs="Arial"/>
          <w:color w:val="000000"/>
          <w:lang w:eastAsia="es-CO"/>
        </w:rPr>
      </w:pPr>
    </w:p>
    <w:p w14:paraId="67DEB82B" w14:textId="77777777" w:rsidR="00FC79C1" w:rsidRPr="009342F9" w:rsidRDefault="00FC79C1" w:rsidP="00683694">
      <w:pPr>
        <w:spacing w:after="0" w:line="240" w:lineRule="auto"/>
        <w:jc w:val="center"/>
        <w:rPr>
          <w:rFonts w:ascii="Arial" w:eastAsia="Times New Roman" w:hAnsi="Arial" w:cs="Arial"/>
          <w:b/>
          <w:bCs/>
          <w:color w:val="000000"/>
          <w:lang w:eastAsia="es-CO"/>
        </w:rPr>
      </w:pPr>
      <w:bookmarkStart w:id="844" w:name="ver_30072566"/>
      <w:bookmarkEnd w:id="844"/>
      <w:r w:rsidRPr="009342F9">
        <w:rPr>
          <w:rFonts w:ascii="Arial" w:eastAsia="Times New Roman" w:hAnsi="Arial" w:cs="Arial"/>
          <w:b/>
          <w:bCs/>
          <w:color w:val="000000"/>
          <w:lang w:eastAsia="es-CO"/>
        </w:rPr>
        <w:t>PARTE 2.</w:t>
      </w:r>
    </w:p>
    <w:p w14:paraId="664C4420" w14:textId="77777777" w:rsidR="00FC79C1" w:rsidRDefault="00FC79C1" w:rsidP="00683694">
      <w:pPr>
        <w:spacing w:after="0" w:line="240" w:lineRule="auto"/>
        <w:jc w:val="center"/>
        <w:rPr>
          <w:rFonts w:ascii="Arial" w:eastAsia="Times New Roman" w:hAnsi="Arial" w:cs="Arial"/>
          <w:b/>
          <w:bCs/>
          <w:color w:val="000000"/>
          <w:lang w:eastAsia="es-CO"/>
        </w:rPr>
      </w:pPr>
      <w:r w:rsidRPr="231E957E">
        <w:rPr>
          <w:rFonts w:ascii="Arial" w:eastAsia="Times New Roman" w:hAnsi="Arial" w:cs="Arial"/>
          <w:b/>
          <w:color w:val="000000" w:themeColor="text1"/>
          <w:lang w:eastAsia="es-CO"/>
        </w:rPr>
        <w:t>ESTRUCTURA DEL SECTOR DESARROLLO TERRITORIAL</w:t>
      </w:r>
    </w:p>
    <w:p w14:paraId="43F09B36" w14:textId="77777777" w:rsidR="007C7D44" w:rsidRPr="009342F9" w:rsidRDefault="007C7D44" w:rsidP="00683694">
      <w:pPr>
        <w:spacing w:after="0" w:line="240" w:lineRule="auto"/>
        <w:jc w:val="center"/>
        <w:rPr>
          <w:rFonts w:ascii="Arial" w:eastAsia="Times New Roman" w:hAnsi="Arial" w:cs="Arial"/>
          <w:b/>
          <w:bCs/>
          <w:color w:val="000000"/>
          <w:lang w:eastAsia="es-CO"/>
        </w:rPr>
      </w:pPr>
    </w:p>
    <w:p w14:paraId="16DE7F28" w14:textId="77777777" w:rsidR="00FC79C1" w:rsidRPr="009342F9" w:rsidRDefault="00FC79C1" w:rsidP="00683694">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TÍTULO 1</w:t>
      </w:r>
    </w:p>
    <w:p w14:paraId="70C0DAD9" w14:textId="77777777" w:rsidR="00FC79C1" w:rsidRPr="009342F9" w:rsidRDefault="00FC79C1" w:rsidP="00683694">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DISPOSICIONES GENERALES</w:t>
      </w:r>
    </w:p>
    <w:p w14:paraId="3198B550"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845" w:name="ver_30072567"/>
      <w:bookmarkEnd w:id="845"/>
    </w:p>
    <w:p w14:paraId="4A7088E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2.2.1.1. Definiciones. Para efecto de lo dispuesto en el presente decreto, se adoptan las siguientes definiciones: </w:t>
      </w:r>
    </w:p>
    <w:p w14:paraId="5A41647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9B7A21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Accesibilidad. Condición que permite, en cualquier espacio o ambiente ya sea interior o exterior, el fácil y seguro desplazamiento de la población en general y el uso en forma confiable, eficiente y autónoma de los servicios instalados en esos ambientes. </w:t>
      </w:r>
    </w:p>
    <w:p w14:paraId="4D43F49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30A6EE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Acera o Andén. Franja longitudinal de la vía urbana, destinada exclusivamente a la circulación de peatones, ubicada a los costados de esta. </w:t>
      </w:r>
    </w:p>
    <w:p w14:paraId="40BEE96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70C6B6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Actuación de urbanización. Comprende el conjunto de acciones encaminadas a adecuar un predio o conjunto de predios sin urbanizar para dotarlos de la infraestructura de servicios públicos domiciliarios, vías locales, equipamientos y espacios públicos propios de la urbanización que los hagan aptos para adelantar los procesos de construcción. Estas actuaciones podrán desarrollarse en los predios regulados por los tratamientos urbanísticos de desarrollo y de renovación urbana en la modalidad de redesarrollo. Las citadas actuaciones se autorizan mediante las licencias de urbanización, en las cuales se concretan el marco normativo sobre usos, edificabilidad, volumetría, accesibilidad y los demás aspectos técnicos con base en los cuales se expedirán las licencias de construcción. </w:t>
      </w:r>
    </w:p>
    <w:p w14:paraId="6A027E5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Aprovechamiento del suelo o aprovechamiento urbanístico. Es el número de metros cuadrados de edificación para un determinado uso que la norma urbanística autoriza en un predio. </w:t>
      </w:r>
    </w:p>
    <w:p w14:paraId="5D9CB328" w14:textId="2FFE84DB"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F91E0C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Aprovechamiento urbanístico básico. Es el beneficio urbanístico que indica la superficie máxima construible, según usos para suelo urbano y de expansión, a que tienen derecho los propietarios, en forma proporcional a su participación en las cargas locales. </w:t>
      </w:r>
    </w:p>
    <w:p w14:paraId="5C155EDE" w14:textId="77777777" w:rsidR="00AA5FD1" w:rsidRDefault="00AA5FD1" w:rsidP="00FC79C1">
      <w:pPr>
        <w:spacing w:after="0" w:line="240" w:lineRule="auto"/>
        <w:jc w:val="both"/>
        <w:rPr>
          <w:rFonts w:ascii="Arial" w:eastAsia="Times New Roman" w:hAnsi="Arial" w:cs="Arial"/>
          <w:color w:val="000000"/>
          <w:lang w:eastAsia="es-CO"/>
        </w:rPr>
      </w:pPr>
    </w:p>
    <w:p w14:paraId="589AE044" w14:textId="05B3C190"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Aprovechamiento urbanístico adicional. Es la superficie máxima construible por encima del aprovechamiento básico, según los usos establecidos, a que tienen derecho los propietarios cuando participen en las cargas generales. </w:t>
      </w:r>
    </w:p>
    <w:p w14:paraId="6018AD6F" w14:textId="77777777" w:rsidR="00AA5FD1" w:rsidRDefault="00AA5FD1" w:rsidP="00FC79C1">
      <w:pPr>
        <w:spacing w:after="0" w:line="240" w:lineRule="auto"/>
        <w:jc w:val="both"/>
        <w:rPr>
          <w:rFonts w:ascii="Arial" w:eastAsia="Times New Roman" w:hAnsi="Arial" w:cs="Arial"/>
          <w:color w:val="000000"/>
          <w:lang w:eastAsia="es-CO"/>
        </w:rPr>
      </w:pPr>
    </w:p>
    <w:p w14:paraId="1BC515BD" w14:textId="16F56B0E"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Área bruta. Es el área total del predio o predios objeto de la licencia de urbanización o delimitado(s) por un plan parcial. </w:t>
      </w:r>
    </w:p>
    <w:p w14:paraId="09D78292" w14:textId="300D11FB"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BB8DE5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Área de actividad. Partes del territorio de los municipios o distritos que deben ser delimitadas en la cartografía del Plan de Ordenamiento Territorial y para las cuales se establece el régimen de usos en función de la estructura urbana definida por el modelo de ocupación del territorio. Son áreas de actividad entre otras, la residencial, comercial, de servicios, industrial, institucional o dotacional y mixta. </w:t>
      </w:r>
    </w:p>
    <w:p w14:paraId="6E35F45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65D875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Áreas de actividad industrial. Zonas rurales suburbanas y rurales no suburbanas del territorio municipal o distrital en las cuales se permite la parcelación del suelo para la localización de establecimientos dedicados a la producción, elaboración, fabricación, preparación, recuperación, reproducción, ensamblaje, construcción, reparación, transformación, tratamiento, almacenamiento, bodegaje y manipulación de materias destinadas a producir bienes o productos materiales. Se excluye de esta definición las actividades relacionadas con la explotación de recursos naturales y el desarrollo aislado de usos agroindustriales, ecoturísticos, </w:t>
      </w:r>
      <w:proofErr w:type="spellStart"/>
      <w:r w:rsidRPr="009342F9">
        <w:rPr>
          <w:rFonts w:ascii="Arial" w:eastAsia="Times New Roman" w:hAnsi="Arial" w:cs="Arial"/>
          <w:color w:val="000000"/>
          <w:lang w:eastAsia="es-CO"/>
        </w:rPr>
        <w:t>etnoturísticos</w:t>
      </w:r>
      <w:proofErr w:type="spellEnd"/>
      <w:r w:rsidRPr="009342F9">
        <w:rPr>
          <w:rFonts w:ascii="Arial" w:eastAsia="Times New Roman" w:hAnsi="Arial" w:cs="Arial"/>
          <w:color w:val="000000"/>
          <w:lang w:eastAsia="es-CO"/>
        </w:rPr>
        <w:t xml:space="preserve">, agroturísticos, </w:t>
      </w:r>
      <w:proofErr w:type="spellStart"/>
      <w:r w:rsidRPr="009342F9">
        <w:rPr>
          <w:rFonts w:ascii="Arial" w:eastAsia="Times New Roman" w:hAnsi="Arial" w:cs="Arial"/>
          <w:color w:val="000000"/>
          <w:lang w:eastAsia="es-CO"/>
        </w:rPr>
        <w:t>acuaturísticos</w:t>
      </w:r>
      <w:proofErr w:type="spellEnd"/>
      <w:r w:rsidRPr="009342F9">
        <w:rPr>
          <w:rFonts w:ascii="Arial" w:eastAsia="Times New Roman" w:hAnsi="Arial" w:cs="Arial"/>
          <w:color w:val="000000"/>
          <w:lang w:eastAsia="es-CO"/>
        </w:rPr>
        <w:t xml:space="preserve"> y demás actividades análogas que sean compatibles con la vocación agrícola, pecuaria y forestal del suelo rural. </w:t>
      </w:r>
    </w:p>
    <w:p w14:paraId="57D441D9" w14:textId="77777777" w:rsidR="00AA5FD1" w:rsidRDefault="00AA5FD1" w:rsidP="00FC79C1">
      <w:pPr>
        <w:spacing w:after="0" w:line="240" w:lineRule="auto"/>
        <w:jc w:val="both"/>
        <w:rPr>
          <w:rFonts w:ascii="Arial" w:eastAsia="Times New Roman" w:hAnsi="Arial" w:cs="Arial"/>
          <w:color w:val="000000"/>
          <w:lang w:eastAsia="es-CO"/>
        </w:rPr>
      </w:pPr>
    </w:p>
    <w:p w14:paraId="37F96CC8" w14:textId="1A0BF575"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Áreas de cesión pública obligatoria en actuaciones de urbanización en suelo urbano y de expansión urbana. Son cargas locales de la urbanización y comprenden las áreas de terreno con destino a la construcción de redes secundarias y domiciliarias de servicios públicos, vías locales, equipamientos colectivos y espacio público para parques y zonas verdes que se deben transferir a los municipios y distritos para que se incorporen al espacio público, como contraprestación a los derechos de construcción y desarrollo que se otorgan en las licencias de urbanización. </w:t>
      </w:r>
    </w:p>
    <w:p w14:paraId="3602FE60" w14:textId="1931BA4C"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BE5697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Área neta urbanizable. Es el área resultante de descontar del área bruta, las áreas para la localización de la infraestructura para el sistema vial principal y de transporte, las redes primarias de servicios públicos domiciliarios y las áreas de conservación y protección de los recursos naturales y paisajísticos. </w:t>
      </w:r>
    </w:p>
    <w:p w14:paraId="613C761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78C12C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Área o predio urbanizable no urbanizado. Son las áreas o predios que no han sido desarrollados y en los cuales se permiten las actuaciones de urbanización, o que aun cuando contaron con licencia urbanística no ejecutaron las obras de urbanización aprobadas en la misma. </w:t>
      </w:r>
    </w:p>
    <w:p w14:paraId="315E93F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45F38E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Área o predio urbanizado. Se consideran urbanizados las áreas o predios en los que se culminaron las obras de infraestructura de redes, vías locales, parques y equipamientos definidas en las licencias urbanísticas y se hizo entrega de ellas a las autoridades competentes. Las áreas útiles de los terrenos urbanizados podrán estar construidas o no y, en este último caso, la expedición de las respectivas licencias de construcción se someterá a lo dispuesto en el parágrafo 4° del artículo de licencias de construcción y sus modalidades contenido en el presente decreto. </w:t>
      </w:r>
    </w:p>
    <w:p w14:paraId="2415FAE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A46A68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También se consideran urbanizados: (i) Los sectores antiguos de las ciudades </w:t>
      </w:r>
      <w:proofErr w:type="gramStart"/>
      <w:r w:rsidRPr="009342F9">
        <w:rPr>
          <w:rFonts w:ascii="Arial" w:eastAsia="Times New Roman" w:hAnsi="Arial" w:cs="Arial"/>
          <w:color w:val="000000"/>
          <w:lang w:eastAsia="es-CO"/>
        </w:rPr>
        <w:t>que</w:t>
      </w:r>
      <w:proofErr w:type="gramEnd"/>
      <w:r w:rsidRPr="009342F9">
        <w:rPr>
          <w:rFonts w:ascii="Arial" w:eastAsia="Times New Roman" w:hAnsi="Arial" w:cs="Arial"/>
          <w:color w:val="000000"/>
          <w:lang w:eastAsia="es-CO"/>
        </w:rPr>
        <w:t xml:space="preserve"> con fundamento en planos de loteo, urbanísticos, topográficos y/o de licencias de construcción expedidas o aprobados por las autoridades competentes deslindaron los espacios públicos y privados y actualmente cuentan con infraestructura vial y de prestación de servicios públicos que posibilita su desarrollo por construcción. (ii) Los terrenos objeto de desarrollo progresivo o </w:t>
      </w:r>
      <w:r w:rsidRPr="009342F9">
        <w:rPr>
          <w:rFonts w:ascii="Arial" w:eastAsia="Times New Roman" w:hAnsi="Arial" w:cs="Arial"/>
          <w:color w:val="000000"/>
          <w:lang w:eastAsia="es-CO"/>
        </w:rPr>
        <w:lastRenderedPageBreak/>
        <w:t>programas de mejoramiento integral de barrios que completaron su proceso de mejoramiento en los aspectos atinentes al desarrollo por urbanización, o que lo completen en el futuro. (iii) Los asentamientos, barrios, zonas o desarrollos que han sido objeto de legalización y que completen la construcción de infraestructuras y espacios públicos definidos en los actos de legalización y hagan la entrega de las cesiones exigidas, salvo que no se hubiere hecho tal previsión. </w:t>
      </w:r>
    </w:p>
    <w:p w14:paraId="3ED4E2C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80C426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Área útil. Es el área resultante de restarle al área neta urbanizable, el área correspondiente a las zonas de cesión obligatoria para vías locales, espacio público y equipamientos propios de la urbanización. </w:t>
      </w:r>
    </w:p>
    <w:p w14:paraId="595C7B6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732C3C3" w14:textId="522F2BFD"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Barreras arquitectónicas. Son los impedimentos al libre desplazamiento de las personas, que se presentan al interior de las edificaciones. </w:t>
      </w:r>
    </w:p>
    <w:p w14:paraId="017B6D6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71FFF3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Barreras físicas. Son todas aquellas trabas, irregularidades y obstáculos físicos que limitan o impiden la libertad o movimiento de las personas. </w:t>
      </w:r>
    </w:p>
    <w:p w14:paraId="218F178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91C2FB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Bordillo o Sardinel. Elemento a nivel superior de la calzada, que sirve para delimitarla. </w:t>
      </w:r>
    </w:p>
    <w:p w14:paraId="695E3CD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E86784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Calzada. Zona de la vía destinada a la circulación de vehículos. </w:t>
      </w:r>
    </w:p>
    <w:p w14:paraId="238F1686" w14:textId="0281A871"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35FD5E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Cambio de uso. Es la autorización específica para destinar los inmuebles de una zona a uno o varios usos diferentes a los permitidos bajo la norma anterior. </w:t>
      </w:r>
    </w:p>
    <w:p w14:paraId="4E9D630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32FD8D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Carril. Parte de la calzada destinada al tránsito de una sola fila de vehículos. </w:t>
      </w:r>
    </w:p>
    <w:p w14:paraId="7DCDA089" w14:textId="348BCC32"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494A52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Ciclorruta. Vía o sección de la calzada destinada al tránsito de bicicletas en forma exclusiva. </w:t>
      </w:r>
    </w:p>
    <w:p w14:paraId="658F921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852F82A" w14:textId="34E8FBFA"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Cesi</w:t>
      </w:r>
      <w:r w:rsidR="001B62FD">
        <w:rPr>
          <w:rFonts w:ascii="Arial" w:eastAsia="Times New Roman" w:hAnsi="Arial" w:cs="Arial"/>
          <w:color w:val="000000"/>
          <w:lang w:eastAsia="es-CO"/>
        </w:rPr>
        <w:t>ó</w:t>
      </w:r>
      <w:r w:rsidRPr="009342F9">
        <w:rPr>
          <w:rFonts w:ascii="Arial" w:eastAsia="Times New Roman" w:hAnsi="Arial" w:cs="Arial"/>
          <w:color w:val="000000"/>
          <w:lang w:eastAsia="es-CO"/>
        </w:rPr>
        <w:t xml:space="preserve">n obligatoria. Es la </w:t>
      </w:r>
      <w:r w:rsidR="001B62FD" w:rsidRPr="009342F9">
        <w:rPr>
          <w:rFonts w:ascii="Arial" w:eastAsia="Times New Roman" w:hAnsi="Arial" w:cs="Arial"/>
          <w:color w:val="000000"/>
          <w:lang w:eastAsia="es-CO"/>
        </w:rPr>
        <w:t>enajenación</w:t>
      </w:r>
      <w:r w:rsidRPr="009342F9">
        <w:rPr>
          <w:rFonts w:ascii="Arial" w:eastAsia="Times New Roman" w:hAnsi="Arial" w:cs="Arial"/>
          <w:color w:val="000000"/>
          <w:lang w:eastAsia="es-CO"/>
        </w:rPr>
        <w:t xml:space="preserve"> gratuita de tierras en favor de la entidad territorial correspondiente, que da en </w:t>
      </w:r>
      <w:r w:rsidR="001B62FD" w:rsidRPr="009342F9">
        <w:rPr>
          <w:rFonts w:ascii="Arial" w:eastAsia="Times New Roman" w:hAnsi="Arial" w:cs="Arial"/>
          <w:color w:val="000000"/>
          <w:lang w:eastAsia="es-CO"/>
        </w:rPr>
        <w:t>contraprestación</w:t>
      </w:r>
      <w:r w:rsidRPr="009342F9">
        <w:rPr>
          <w:rFonts w:ascii="Arial" w:eastAsia="Times New Roman" w:hAnsi="Arial" w:cs="Arial"/>
          <w:color w:val="000000"/>
          <w:lang w:eastAsia="es-CO"/>
        </w:rPr>
        <w:t xml:space="preserve"> a la </w:t>
      </w:r>
      <w:r w:rsidR="001B62FD" w:rsidRPr="009342F9">
        <w:rPr>
          <w:rFonts w:ascii="Arial" w:eastAsia="Times New Roman" w:hAnsi="Arial" w:cs="Arial"/>
          <w:color w:val="000000"/>
          <w:lang w:eastAsia="es-CO"/>
        </w:rPr>
        <w:t>autorización</w:t>
      </w:r>
      <w:r w:rsidRPr="009342F9">
        <w:rPr>
          <w:rFonts w:ascii="Arial" w:eastAsia="Times New Roman" w:hAnsi="Arial" w:cs="Arial"/>
          <w:color w:val="000000"/>
          <w:lang w:eastAsia="es-CO"/>
        </w:rPr>
        <w:t xml:space="preserve"> para urbanizar o parcelar. </w:t>
      </w:r>
    </w:p>
    <w:p w14:paraId="5E38E0E9" w14:textId="7263FE8A"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71927A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Cruces Peatonales a Desnivel. Son construcciones (puentes y túneles) que garantizan la integridad física y continuidad del flujo peatonal para atravesar una vía. </w:t>
      </w:r>
    </w:p>
    <w:p w14:paraId="4AE4FA8A" w14:textId="1BB08ADF"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D6C5194" w14:textId="45ABC684"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Delineaci</w:t>
      </w:r>
      <w:r w:rsidR="00AA5FD1">
        <w:rPr>
          <w:rFonts w:ascii="Arial" w:eastAsia="Times New Roman" w:hAnsi="Arial" w:cs="Arial"/>
          <w:color w:val="000000"/>
          <w:lang w:eastAsia="es-CO"/>
        </w:rPr>
        <w:t>ó</w:t>
      </w:r>
      <w:r w:rsidRPr="009342F9">
        <w:rPr>
          <w:rFonts w:ascii="Arial" w:eastAsia="Times New Roman" w:hAnsi="Arial" w:cs="Arial"/>
          <w:color w:val="000000"/>
          <w:lang w:eastAsia="es-CO"/>
        </w:rPr>
        <w:t>n Urbana. Es la informaci</w:t>
      </w:r>
      <w:r w:rsidR="00AA5FD1">
        <w:rPr>
          <w:rFonts w:ascii="Arial" w:eastAsia="Times New Roman" w:hAnsi="Arial" w:cs="Arial"/>
          <w:color w:val="000000"/>
          <w:lang w:eastAsia="es-CO"/>
        </w:rPr>
        <w:t>ó</w:t>
      </w:r>
      <w:r w:rsidRPr="009342F9">
        <w:rPr>
          <w:rFonts w:ascii="Arial" w:eastAsia="Times New Roman" w:hAnsi="Arial" w:cs="Arial"/>
          <w:color w:val="000000"/>
          <w:lang w:eastAsia="es-CO"/>
        </w:rPr>
        <w:t xml:space="preserve">n que la entidad competente suministra a solicitud de un interesado sobre las normas </w:t>
      </w:r>
      <w:r w:rsidR="001B62FD" w:rsidRPr="009342F9">
        <w:rPr>
          <w:rFonts w:ascii="Arial" w:eastAsia="Times New Roman" w:hAnsi="Arial" w:cs="Arial"/>
          <w:color w:val="000000"/>
          <w:lang w:eastAsia="es-CO"/>
        </w:rPr>
        <w:t>urbanísticas</w:t>
      </w:r>
      <w:r w:rsidRPr="009342F9">
        <w:rPr>
          <w:rFonts w:ascii="Arial" w:eastAsia="Times New Roman" w:hAnsi="Arial" w:cs="Arial"/>
          <w:color w:val="000000"/>
          <w:lang w:eastAsia="es-CO"/>
        </w:rPr>
        <w:t xml:space="preserve"> y/o arquitect</w:t>
      </w:r>
      <w:r w:rsidR="00AA5FD1">
        <w:rPr>
          <w:rFonts w:ascii="Arial" w:eastAsia="Times New Roman" w:hAnsi="Arial" w:cs="Arial"/>
          <w:color w:val="000000"/>
          <w:lang w:eastAsia="es-CO"/>
        </w:rPr>
        <w:t>ó</w:t>
      </w:r>
      <w:r w:rsidRPr="009342F9">
        <w:rPr>
          <w:rFonts w:ascii="Arial" w:eastAsia="Times New Roman" w:hAnsi="Arial" w:cs="Arial"/>
          <w:color w:val="000000"/>
          <w:lang w:eastAsia="es-CO"/>
        </w:rPr>
        <w:t>nicas y especificaciones t</w:t>
      </w:r>
      <w:r w:rsidR="00AA5FD1">
        <w:rPr>
          <w:rFonts w:ascii="Arial" w:eastAsia="Times New Roman" w:hAnsi="Arial" w:cs="Arial"/>
          <w:color w:val="000000"/>
          <w:lang w:eastAsia="es-CO"/>
        </w:rPr>
        <w:t>é</w:t>
      </w:r>
      <w:r w:rsidRPr="009342F9">
        <w:rPr>
          <w:rFonts w:ascii="Arial" w:eastAsia="Times New Roman" w:hAnsi="Arial" w:cs="Arial"/>
          <w:color w:val="000000"/>
          <w:lang w:eastAsia="es-CO"/>
        </w:rPr>
        <w:t>cnicas que afectan a un determinado predio. La vigencia de la delineaci</w:t>
      </w:r>
      <w:r w:rsidR="00AA5FD1">
        <w:rPr>
          <w:rFonts w:ascii="Arial" w:eastAsia="Times New Roman" w:hAnsi="Arial" w:cs="Arial"/>
          <w:color w:val="000000"/>
          <w:lang w:eastAsia="es-CO"/>
        </w:rPr>
        <w:t>ó</w:t>
      </w:r>
      <w:r w:rsidRPr="009342F9">
        <w:rPr>
          <w:rFonts w:ascii="Arial" w:eastAsia="Times New Roman" w:hAnsi="Arial" w:cs="Arial"/>
          <w:color w:val="000000"/>
          <w:lang w:eastAsia="es-CO"/>
        </w:rPr>
        <w:t>n urbana ser</w:t>
      </w:r>
      <w:r w:rsidR="00AA5FD1">
        <w:rPr>
          <w:rFonts w:ascii="Arial" w:eastAsia="Times New Roman" w:hAnsi="Arial" w:cs="Arial"/>
          <w:color w:val="000000"/>
          <w:lang w:eastAsia="es-CO"/>
        </w:rPr>
        <w:t>á d</w:t>
      </w:r>
      <w:r w:rsidRPr="009342F9">
        <w:rPr>
          <w:rFonts w:ascii="Arial" w:eastAsia="Times New Roman" w:hAnsi="Arial" w:cs="Arial"/>
          <w:color w:val="000000"/>
          <w:lang w:eastAsia="es-CO"/>
        </w:rPr>
        <w:t>eterminada por la entidad o autoridad competente, conforme a las normas urbanas vigentes. </w:t>
      </w:r>
    </w:p>
    <w:p w14:paraId="626D6EC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B3EB8A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Disponibilidad inmediata de servicios públicos domiciliarios. Es la viabilidad técnica de conectar el predio o predios objeto de la licencia de urbanización a las redes matrices de servicios públicos domiciliarios existentes. Los urbanizadores podrán asumir el costo de las conexiones a las redes matrices que sean necesarias para dotar al proyecto con servicios, de conformidad con lo previsto en la Ley 142 de 1994 y las normas que la adicionen, modifiquen o sustituyan. </w:t>
      </w:r>
    </w:p>
    <w:p w14:paraId="5105E8A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Edificio abierto al público. Inmueble de propiedad pública o privada de uso institucional, comercial o de servicios donde se brinda atención al público. </w:t>
      </w:r>
    </w:p>
    <w:p w14:paraId="121EFB83" w14:textId="77777777" w:rsidR="00AA5FD1" w:rsidRDefault="00AA5FD1" w:rsidP="00FC79C1">
      <w:pPr>
        <w:spacing w:after="0" w:line="240" w:lineRule="auto"/>
        <w:jc w:val="both"/>
        <w:rPr>
          <w:rFonts w:ascii="Arial" w:eastAsia="Times New Roman" w:hAnsi="Arial" w:cs="Arial"/>
          <w:color w:val="000000"/>
          <w:lang w:eastAsia="es-CO"/>
        </w:rPr>
      </w:pPr>
    </w:p>
    <w:p w14:paraId="32F159C6" w14:textId="1B93DA00"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Efecto de plusvalía. Es el incremento en el precio del suelo, resultado de las acciones urbanísticas de que tratan los artículos 74, 75, 76, 77 y 87 de la Ley 388 de 1997. </w:t>
      </w:r>
    </w:p>
    <w:p w14:paraId="5ED0BAF2" w14:textId="77777777" w:rsidR="00AA5FD1" w:rsidRDefault="00AA5FD1" w:rsidP="00FC79C1">
      <w:pPr>
        <w:spacing w:after="0" w:line="240" w:lineRule="auto"/>
        <w:jc w:val="both"/>
        <w:rPr>
          <w:rFonts w:ascii="Arial" w:eastAsia="Times New Roman" w:hAnsi="Arial" w:cs="Arial"/>
          <w:color w:val="000000"/>
          <w:lang w:eastAsia="es-CO"/>
        </w:rPr>
      </w:pPr>
    </w:p>
    <w:p w14:paraId="0F5DEC24" w14:textId="5AB7F8CD"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Equipamiento. Áreas, edificaciones e instalaciones de uso público o privado, destinadas a proveer a los ciudadanos de los servicios colectivos de carácter educativo, formativo, cultural, de salud, </w:t>
      </w:r>
      <w:r w:rsidRPr="009342F9">
        <w:rPr>
          <w:rFonts w:ascii="Arial" w:eastAsia="Times New Roman" w:hAnsi="Arial" w:cs="Arial"/>
          <w:color w:val="000000"/>
          <w:lang w:eastAsia="es-CO"/>
        </w:rPr>
        <w:lastRenderedPageBreak/>
        <w:t>deportivo recreativo, religioso y de bienestar social y a prestar apoyo funcional a la administración pública y a los servicios urbanos básicos del municipio. </w:t>
      </w:r>
    </w:p>
    <w:p w14:paraId="49A282D0" w14:textId="70234C58"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A81457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Estructura Ecológica Principal. Conjunto de elementos bióticos y abióticos que dan sustento a los procesos ecológicos esenciales del territorio, cuya finalidad principal es la preservación, conservación, restauración, uso y manejo sostenible de los recursos naturales renovables, los cuales brindan la capacidad de soporte para el desarrollo socioeconómico de las poblaciones. </w:t>
      </w:r>
    </w:p>
    <w:p w14:paraId="554930E8" w14:textId="758C8711"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3E6119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Franja de Amoblamiento. Zona que hace parte de la vía de circulación peatonal y que está destinada a la localización de los elementos de mobiliario urbano y la instalación de la infraestructura de los servicios públicos. </w:t>
      </w:r>
    </w:p>
    <w:p w14:paraId="03F72389" w14:textId="7C5CD362"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B1B01F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Franja de Circulación Peatonal. Zona o sendero de las vías de circulación peatonal, destinada exclusivamente al tránsito de las personas. </w:t>
      </w:r>
    </w:p>
    <w:p w14:paraId="5D7BF969" w14:textId="70B3173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81C189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Gálibo. Altura entre la superficie de rodadura de la calzada y el borde inferior de la superestructura de un puente. </w:t>
      </w:r>
    </w:p>
    <w:p w14:paraId="4D43576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B7DC79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Índice de construcción. Es el número máximo de veces que la superficie de un terreno puede convertirse por definición normativa en área construida, y se expresa por el cociente que resulta de dividir el área permitida de construcción por el área total de un predio. </w:t>
      </w:r>
    </w:p>
    <w:p w14:paraId="12C5C816" w14:textId="3D034B2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899AC1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Índice de ocupación. Es la proporción del área de suelo que puede ser ocupada por edificación en primer piso bajo cubierta, y se expresa por el cociente que resulta de dividir el área que puede ser ocupada por edificación en primer piso bajo cubierta por el área total del predio. </w:t>
      </w:r>
    </w:p>
    <w:p w14:paraId="4066AD84" w14:textId="0A66284B"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E1B788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Infraestructura o red vial local. Es la conformada por el conjunto de vías que permiten la comunicación entre las urbanizaciones y la red vial secundaria, garantizando la accesibilidad interna a cada una de las unidades prediales de la urbanización. </w:t>
      </w:r>
    </w:p>
    <w:p w14:paraId="5B04D37B" w14:textId="3A7B38C3"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331FE5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Infraestructura o red vial principal. Es la conformada por la malla vial principal, arterial y demás vías de mayor jerarquía que hacen parte de los sistemas generales o estructurantes del plan de ordenamiento territorial y que soportan los desplazamientos de larga distancia, permitiendo la movilidad dentro del respectivo municipio o distrito a escala regional, metropolitana y/o urbana. </w:t>
      </w:r>
    </w:p>
    <w:p w14:paraId="09BFA15E" w14:textId="1E8B0C4D"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79E582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Infraestructura o red vial secundaria. Es la conformada por el conjunto de vías que permiten la movilidad y articulación entre la malla vial arterial o principal y la red vial local. </w:t>
      </w:r>
    </w:p>
    <w:p w14:paraId="2D12EC2D" w14:textId="7694C42E"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9FB33A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Manzana. Es la superficie comprendida dentro del perímetro delimitado por las vías públicas peatonales o vehiculares. </w:t>
      </w:r>
    </w:p>
    <w:p w14:paraId="60F7EC42" w14:textId="77777777" w:rsidR="00AA5FD1" w:rsidRDefault="00AA5FD1" w:rsidP="00FC79C1">
      <w:pPr>
        <w:spacing w:after="0" w:line="240" w:lineRule="auto"/>
        <w:jc w:val="both"/>
        <w:rPr>
          <w:rFonts w:ascii="Arial" w:eastAsia="Times New Roman" w:hAnsi="Arial" w:cs="Arial"/>
          <w:color w:val="000000"/>
          <w:lang w:eastAsia="es-CO"/>
        </w:rPr>
      </w:pPr>
    </w:p>
    <w:p w14:paraId="06B63BBF" w14:textId="0B5BEF4C"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Mobiliario Urbano. Conjunto de elementos, objetos y construcciones dispuestos o ubicados en la franja de amoblamiento, destinados a la utilización, disfrute, seguridad y comodidad de las personas y al ornato del espacio público. </w:t>
      </w:r>
    </w:p>
    <w:p w14:paraId="01F5BCB8" w14:textId="17971D9B"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B55A28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Movilidad reducida. Es la restricción para desplazarse que presentan algunas personas debido a una discapacidad o que sin ser discapacitadas presentan algún tipo de limitación en su capacidad de relacionarse con el entorno al tener que acceder a un espacio o moverse dentro del mismo, salvar desniveles, alcanzar objetos situados en alturas normales. </w:t>
      </w:r>
    </w:p>
    <w:p w14:paraId="66954B4B" w14:textId="3B5B20CE" w:rsidR="00FC79C1" w:rsidRPr="009342F9" w:rsidRDefault="00FC79C1" w:rsidP="00AA5FD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87675D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Núcleo de población. Asentamiento humano agrupado en un conjunto de construcciones independientes, caracterizadas por su proximidad y por compartir circulaciones e infraestructura de servicios comunes. Se consideran como núcleos de población en suelo rural, entre otros, los centros poblados rurales y las parcelaciones destinadas a vivienda campestre. </w:t>
      </w:r>
    </w:p>
    <w:p w14:paraId="6644F000" w14:textId="37C6A20F"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DB8251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Paramento. Plano vertical que delimita el inicio de la construcción en un predio. Cuando no existe antejardín coincide con la línea de demarcación. </w:t>
      </w:r>
    </w:p>
    <w:p w14:paraId="73322E58" w14:textId="137EF969" w:rsidR="00FC79C1" w:rsidRPr="009342F9" w:rsidRDefault="00FC79C1" w:rsidP="00AA5FD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728E65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Parque, Agrupación o Conjunto Industrial. Conjunto de industrias afines o complementarias con condiciones comunes de ubicación, infraestructura, equipamiento y servicios, que cuenta con un sistema de zonificación interna de los usos permitidos en el predio o predios en que se localizan y que están sometidos al régimen de propiedad horizontal. </w:t>
      </w:r>
    </w:p>
    <w:p w14:paraId="08EF24C2" w14:textId="2A213DBE"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961EBA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Pasos Urbanos. Vía del orden nacional, departamental, municipal o distrital, comprendida dentro del perímetro de la zona urbana de cada municipio o distrito. </w:t>
      </w:r>
    </w:p>
    <w:p w14:paraId="25D30D38" w14:textId="3CB6766E"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CAEF5F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Perfil Vial. Representación gráfica de una vía que esquematiza, en el sentido </w:t>
      </w:r>
      <w:proofErr w:type="spellStart"/>
      <w:r w:rsidRPr="009342F9">
        <w:rPr>
          <w:rFonts w:ascii="Arial" w:eastAsia="Times New Roman" w:hAnsi="Arial" w:cs="Arial"/>
          <w:color w:val="000000"/>
          <w:lang w:eastAsia="es-CO"/>
        </w:rPr>
        <w:t>perperdincular</w:t>
      </w:r>
      <w:proofErr w:type="spellEnd"/>
      <w:r w:rsidRPr="009342F9">
        <w:rPr>
          <w:rFonts w:ascii="Arial" w:eastAsia="Times New Roman" w:hAnsi="Arial" w:cs="Arial"/>
          <w:color w:val="000000"/>
          <w:lang w:eastAsia="es-CO"/>
        </w:rPr>
        <w:t xml:space="preserve"> al eje, el conjunto de elementos urbanísticos que la comprenden entre los paramentos de los inmuebles. </w:t>
      </w:r>
    </w:p>
    <w:p w14:paraId="21ACC447" w14:textId="442DBEA0"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BF28F2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Plan para la adaptación de los espacios públicos, edificios, servicios e instalaciones dependientes. Es el conjunto de acciones, estrategias, metas, programas, y normas de los municipios o distritos, dirigidas a adecuar los espacios públicos y edificios abiertos al público en lo relacionado con la eliminación de barreras físicas y la accesibilidad dentro de los plazos dispuestos en la Ley 361 de 1997 y sus decretos reglamentarios. </w:t>
      </w:r>
    </w:p>
    <w:p w14:paraId="701CE63B" w14:textId="058A44E8"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FB9580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Plan parcial. Es el instrumento mediante el cual se desarrollan y complementan las disposiciones de los planes de ordenamiento territorial, para áreas determinadas del suelo urbano y para las áreas incluidas en el suelo de expansión urbana, además de las que deban desarrollarse mediante unidades de actuación urbanística, macroproyectos u otras operaciones urbanas especiales, de acuerdo con las autorizaciones emanadas de las normas urbanísticas generales, en los términos previstos en la Ley 388 de 1997. Mediante el plan parcial se establece el aprovechamiento de los espacios privados, con la asignación de sus usos específicos, intensidades de uso y edificabilidad, así como las obligaciones de cesión y construcción y dotación de equipamientos, espacios y servicios públicos, que permitirán la ejecución asociada de los proyectos específicos de urbanización y construcción de los terrenos incluidos en su ámbito de planificación. </w:t>
      </w:r>
    </w:p>
    <w:p w14:paraId="4B91F4C5" w14:textId="4AA432BE" w:rsidR="00FC79C1" w:rsidRPr="009342F9" w:rsidRDefault="00FC79C1" w:rsidP="00AA5FD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96810D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Plaza. Espacio libre, tratado como zona dura, que se destina al uso cotidiano al servir de soporte a eventos cívicos. Es lugar de encuentro y relaciones entre los ciudadanos, en este, predominan los elementos arquitectónicos sobre los paisajísticos naturales y el peatón tiene una condición prioritaria. </w:t>
      </w:r>
    </w:p>
    <w:p w14:paraId="5B1485A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Predio. Terreno o lote individualizado, de propiedad privada o bien fiscal, identificado con un folio de matrícula inmobiliaria. </w:t>
      </w:r>
    </w:p>
    <w:p w14:paraId="007B762D" w14:textId="0775D208"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B7156B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Programas de reordenamiento de los servicios de alto impacto referidos a la prostitución y actividades afines. Son los que establecen las actuaciones, las actividades y todos los demás aspectos necesarios para la relocalización en sitios permitidos, de los servicios de alto impacto referidos a la prostitución y actividades afines, que resulten incompatibles con los usos dotacionales educativos o de vivienda. </w:t>
      </w:r>
    </w:p>
    <w:p w14:paraId="45CFB190" w14:textId="527FAAAE"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BDBB30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Rampa. Superficie inclinada que supera desniveles entre pisos. </w:t>
      </w:r>
    </w:p>
    <w:p w14:paraId="2CA18577" w14:textId="7DF74C6E"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B89EEB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Red Vial Local. Es la conformada por el conjunto de vías que permiten la comunicación entre las urbanizaciones y la red vial secundaria, garantizando la accesibilidad interna a cada una de las unidades prediales de la urbanización. </w:t>
      </w:r>
    </w:p>
    <w:p w14:paraId="099A9CEA" w14:textId="6287DEC8" w:rsidR="00FC79C1" w:rsidRPr="009342F9" w:rsidRDefault="00FC79C1" w:rsidP="00AA5FD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B826DC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Separador. Es el elemento del perfil vial que divide las calzadas o ciclorrutas. </w:t>
      </w:r>
    </w:p>
    <w:p w14:paraId="071306BA" w14:textId="1646735E" w:rsidR="00FC79C1" w:rsidRPr="009342F9" w:rsidRDefault="00FC79C1" w:rsidP="00AA5FD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FF5BEA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Servicios de alto impacto referidos a la prostitución y actividades afines. Son aquellos que comprenden cualquier clase de actividad de explotación o comercio del sexo, realizados en casas de lenocinio, prostíbulos o establecimientos similares, independientemente de la denominación que adopten. </w:t>
      </w:r>
    </w:p>
    <w:p w14:paraId="48CF5576" w14:textId="587258E5"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50E781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Sistemas Generales o Estructurantes. Corresponden a las infraestructuras de la red vial principal y las redes matrices de servicios públicos domiciliarios, así como los equipamientos colectivos y espacios libres destinados para parques y zonas verdes públicas de escala urbana o metropolitana y que sirven a toda la población del municipio o distrito, según lo previsto por el plan de ordenamiento territorial. </w:t>
      </w:r>
    </w:p>
    <w:p w14:paraId="5775DB11" w14:textId="4B7206B1"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F61F55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Tratamiento de consolidación en baja densidad para usos industriales. Son las determinaciones del componente rural del plan de ordenamiento territorial o de los instrumentos que lo desarrollan y complementan para regular el desarrollo de usos industriales existentes en las áreas de actividad industrial, zonas múltiples con actividad industrial u otras destinadas a usos industriales, independientemente de la denominación que adopten en los suelos rurales no suburbanos de los municipios de la Sabana de Bogotá, de conformidad con lo previsto en el presente Decreto. Se aplica a este tipo de áreas, siempre y cuando se encuentren delimitadas en la cartografía oficial de los planes de ordenamiento territorial de los municipios de la Sabana de Bogotá antes del 20 de diciembre de 2007 y presenten un avanzado grado de desarrollo con usos industriales, con el fin de consolidar dichos usos con un patrón de baja ocupación y baja densidad que respete los valores ambientales o paisajísticos y que permita corregir los déficit de infraestructura, equipamientos y espacio público que presentan”. </w:t>
      </w:r>
    </w:p>
    <w:p w14:paraId="4C0CEB9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6B7889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Las determinaciones del tratamiento de consolidación en baja densidad deberán garantizar el equilibrio en la intensidad de los usos industriales frente a la disposición y dimensión del espacio público, la adecuada articulación y funcionamiento con la red vial proyectada y existente, la superación del déficit en infraestructura de servicios públicos del sector y el cumplimiento de la regulación vigente relacionada con la gestión integral de residuos y tratamiento de aguas. </w:t>
      </w:r>
    </w:p>
    <w:p w14:paraId="69FF657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5E5507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La consolidación implica, en todo caso, la aplicación de patrones de desarrollo de </w:t>
      </w:r>
      <w:proofErr w:type="gramStart"/>
      <w:r w:rsidRPr="009342F9">
        <w:rPr>
          <w:rFonts w:ascii="Arial" w:eastAsia="Times New Roman" w:hAnsi="Arial" w:cs="Arial"/>
          <w:color w:val="000000"/>
          <w:lang w:eastAsia="es-CO"/>
        </w:rPr>
        <w:t>baja ocupación y baja densidad</w:t>
      </w:r>
      <w:proofErr w:type="gramEnd"/>
      <w:r w:rsidRPr="009342F9">
        <w:rPr>
          <w:rFonts w:ascii="Arial" w:eastAsia="Times New Roman" w:hAnsi="Arial" w:cs="Arial"/>
          <w:color w:val="000000"/>
          <w:lang w:eastAsia="es-CO"/>
        </w:rPr>
        <w:t>, con regulaciones y normas específicas dirigidas específicamente a la recuperación y preservación de los valores ambientales y/o paisajísticos del sector y su entorno. </w:t>
      </w:r>
    </w:p>
    <w:p w14:paraId="494BC55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D38D32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Tratamiento de Renovación Urbana. Son las determinaciones del componente urbano del Plan de Ordenamiento Territorial, que están encaminadas a recuperar y/o transformar las áreas ya desarrolladas de las ciudades, entre otros fines, para, detener los procesos de deterioro físico y ambiental de los centros urbanos; promover el aprovechamiento intensivo de la infraestructura pública existente; impulsar la densificación racional de áreas para vivienda y otros usos, o garantizar la conveniente rehabilitación de los bienes históricos y culturales, todo con miras a una utilización más eficiente de los inmuebles urbanos y con mayor beneficio para la comunidad. Este tratamiento podrá desarrollarse mediante las modalidades de reactivación y redesarrollo. </w:t>
      </w:r>
    </w:p>
    <w:p w14:paraId="56C08E32" w14:textId="6E7B92BA" w:rsidR="00FC79C1" w:rsidRPr="009342F9" w:rsidRDefault="00FC79C1" w:rsidP="00AA5FD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41C072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Tratamiento de Renovación Urbana Modalidad de Reactivación. Corresponde a las zonas en las cuales se promueve el cambio de las estructuras construidas al interior de los predios con el fin de promover la redensificación de los sectores en que se ubican conservando la estructura o trazado de los bienes de uso público y estimulando la generación de nuevos elementos arquitectónicos y naturales de los bienes de propiedad privada tales como antejardines, fachadas, aislamientos, retrocesos y demás. Bajo esta modalidad se pueden cambiar, mantener, complementar y/o modificar los usos existentes con el fin de apoyar la redefinición del carácter del sector. Para esta modalidad, el Plan de Ordenamiento Territorial debe contener normas urbanísticas que permitan el desarrollo individual de los predios mediante licencias de construcción sin que se requiera adelantar el trámite de plan parcial. </w:t>
      </w:r>
    </w:p>
    <w:p w14:paraId="37A5EDC0" w14:textId="79513DD5" w:rsidR="00FC79C1" w:rsidRPr="009342F9" w:rsidRDefault="00FC79C1" w:rsidP="00AA5FD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39EB07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Tratamiento de Renovación Urbana Modalidad de Redesarrollo. Corresponde a las zonas en las que se requiere efectuar la sustitución de las estructuras urbanas y arquitectónicas mediante procesos de reurbanización que permitan generar nuevos espacios públicos y/o </w:t>
      </w:r>
      <w:proofErr w:type="gramStart"/>
      <w:r w:rsidRPr="009342F9">
        <w:rPr>
          <w:rFonts w:ascii="Arial" w:eastAsia="Times New Roman" w:hAnsi="Arial" w:cs="Arial"/>
          <w:color w:val="000000"/>
          <w:lang w:eastAsia="es-CO"/>
        </w:rPr>
        <w:t>privados</w:t>
      </w:r>
      <w:proofErr w:type="gramEnd"/>
      <w:r w:rsidRPr="009342F9">
        <w:rPr>
          <w:rFonts w:ascii="Arial" w:eastAsia="Times New Roman" w:hAnsi="Arial" w:cs="Arial"/>
          <w:color w:val="000000"/>
          <w:lang w:eastAsia="es-CO"/>
        </w:rPr>
        <w:t xml:space="preserve"> así como una nueva definición de la normatividad urbanística de usos y aprovechamientos. En esta modalidad, el Plan de Ordenamiento Territorial define las directrices generales y mediante los Planes Parciales se desarrollan y complementan las determinantes previstas en el Plan de Ordenamiento Territorial. En este tratamiento se permite adelantar las actuaciones de urbanización con el fin de urbanizar nuevamente los predios. </w:t>
      </w:r>
    </w:p>
    <w:p w14:paraId="29E5D87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1AF4A6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El tratamiento urbanístico de renovación urbana en la modalidad de redesarrollo está dirigido a promover la transformación de zonas desarrolladas de la ciudad que se encuentran en deterioro físico y social y que por ello presentan condiciones de subutilización de la infraestructura existente. </w:t>
      </w:r>
    </w:p>
    <w:p w14:paraId="6CC5B86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83FBB0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 aplicación de este tratamiento implica la sustitución y/o reconstrucción total o parcial de las edificaciones existentes, recuperación y el manejo ambiental sostenible del sistema de espacio público, redes de infraestructura y manejo ambiental, en consonancia con las necesidades derivadas de las nuevas condiciones de densidad habitacional y usos del suelo y las características ambientales de la zona. Implica además la formulación de estrategias sociales que permitan atender a las demandas de los grupos sociales actualmente localizados en el área. </w:t>
      </w:r>
    </w:p>
    <w:p w14:paraId="267D6714" w14:textId="07B52335"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3E83A5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Tratamientos urbanísticos. Son las determinaciones del plan de ordenamiento territorial, </w:t>
      </w:r>
      <w:proofErr w:type="gramStart"/>
      <w:r w:rsidRPr="009342F9">
        <w:rPr>
          <w:rFonts w:ascii="Arial" w:eastAsia="Times New Roman" w:hAnsi="Arial" w:cs="Arial"/>
          <w:color w:val="000000"/>
          <w:lang w:eastAsia="es-CO"/>
        </w:rPr>
        <w:t>que</w:t>
      </w:r>
      <w:proofErr w:type="gramEnd"/>
      <w:r w:rsidRPr="009342F9">
        <w:rPr>
          <w:rFonts w:ascii="Arial" w:eastAsia="Times New Roman" w:hAnsi="Arial" w:cs="Arial"/>
          <w:color w:val="000000"/>
          <w:lang w:eastAsia="es-CO"/>
        </w:rPr>
        <w:t xml:space="preserve"> atendiendo las características físicas de cada zona considerada, establecen en función de las mismas las normas urbanísticas que definen un manejo diferenciado del territorio para los distintos sectores del suelo urbano y de expansión urbana. Son tratamientos urbanísticos el de desarrollo, renovación urbana, consolidación, conservación y mejoramiento integral. </w:t>
      </w:r>
    </w:p>
    <w:p w14:paraId="086BEDD9" w14:textId="3175A068" w:rsidR="00FC79C1" w:rsidRPr="009342F9" w:rsidRDefault="00FC79C1" w:rsidP="00AA5FD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F9047A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Tratamiento Urbanístico de Desarrollo. Son las determinaciones del componente urbano del plan de ordenamiento territorial o de los instrumentos que lo desarrollen y complementen que regulan la urbanización de predios urbanizables no urbanizados en suelo urbano o de expansión urbana. </w:t>
      </w:r>
    </w:p>
    <w:p w14:paraId="4D19460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830F29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Umbral Máximo de Suburbanización. Porcentaje máximo de suelo que puede ser clasificado como rural suburbano en un municipio o distrito. </w:t>
      </w:r>
    </w:p>
    <w:p w14:paraId="457816CE" w14:textId="03A6F792"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B0FC33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Unidad Mínima de Actuación. Superficie mínima de terreno definida en el componente rural del plan de ordenamiento territorial que puede incluir una o varias unidades prediales para la ejecución de actuaciones urbanísticas de parcelación y edificación de inmuebles, de conformidad con los usos permitidos en el suelo rural suburbano. </w:t>
      </w:r>
    </w:p>
    <w:p w14:paraId="479246D7" w14:textId="6B3C2D4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1B48B8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Unidad de Planificación Rural. Instrumento de planificación de escala intermedia que desarrolla y complementa el plan de ordenamiento territorial para el suelo rural. </w:t>
      </w:r>
    </w:p>
    <w:p w14:paraId="3E535AC2" w14:textId="16E8C50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ECD877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Uso del suelo. Es la destinación asignada al suelo por el plan de ordenamiento territorial o los instrumentos que lo desarrollen o complementen, de conformidad con las actividades que se puedan desarrollar sobre el mismo. Los usos pueden ser principales, compatibles, complementarios, restringidos y prohibidos. Cuando un uso no haya sido clasificado como principal, compatible, complementario o restringido se entenderá prohibido. </w:t>
      </w:r>
    </w:p>
    <w:p w14:paraId="6EB80D56" w14:textId="62730779"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5E48E4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Uso Compatible o Complementario. Uso que no se opone al principal y concuerda con la potencialidad, productividad y protección del suelo y demás recursos naturales conexos. </w:t>
      </w:r>
    </w:p>
    <w:p w14:paraId="6508F749" w14:textId="75A2C96C"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403856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Uso Condicionado o Restringido. Uso que presenta algún grado de incompatibilidad urbanística y/o ambiental que se puede controlar de acuerdo con las condiciones que impongan las normas urbanísticas y ambientales correspondientes. </w:t>
      </w:r>
    </w:p>
    <w:p w14:paraId="088F069A" w14:textId="3A26CD74"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1FD0A4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Uso incompatible. Es aquel que por su impacto negativo no puede ser desarrollado ni coexistir con otros usos definidos como principales, complementarios, compatibles, restringidos o mezclados entre sí en las áreas, zonas o sectores donde estos últimos se permitan. </w:t>
      </w:r>
    </w:p>
    <w:p w14:paraId="1CBD7F15" w14:textId="24C05E88"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CC1007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Uso Principal. Uso deseable que coincide con la función específica de la zona y que ofrece las mayores ventajas para el desarrollo sostenible. </w:t>
      </w:r>
    </w:p>
    <w:p w14:paraId="48726BE4" w14:textId="0E2CD759"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8A1E02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Uso Prohibido. Uso incompatible con el uso principal de una zona, con los objetivos de conservación ambiental y de planificación ambiental y territorial, y por consiguiente implica graves riesgos de tipo ecológico y/o social. </w:t>
      </w:r>
    </w:p>
    <w:p w14:paraId="6A228C68" w14:textId="6ED1C1BF"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A71700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Usos dotacionales o institucionales educativos. Son los que se desarrollan en inmuebles destinados a la prestación de servicios de educación formal o no formal, de carácter público o privado y de cualquier clase o nivel. </w:t>
      </w:r>
    </w:p>
    <w:p w14:paraId="58653053" w14:textId="0D5C30C0" w:rsidR="00FC79C1" w:rsidRPr="009342F9" w:rsidRDefault="00FC79C1" w:rsidP="00AA5FD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CFBC1B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Vado. Rebaje que anula el desnivel entre la calzada y la acera manejando pendientes en las tres caras que lo conforman, a diferencia de la rampa que no presenta pendientes en sus planos laterales. </w:t>
      </w:r>
    </w:p>
    <w:p w14:paraId="38749272" w14:textId="3F9DB416" w:rsidR="00FC79C1" w:rsidRPr="009342F9" w:rsidRDefault="00FC79C1" w:rsidP="00AA5FD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B230012" w14:textId="3A808E6E"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Vecinos. Para todos los efectos previstos en el </w:t>
      </w:r>
      <w:r w:rsidR="001B62FD" w:rsidRPr="009342F9">
        <w:rPr>
          <w:rFonts w:ascii="Arial" w:eastAsia="Times New Roman" w:hAnsi="Arial" w:cs="Arial"/>
          <w:color w:val="000000"/>
          <w:lang w:eastAsia="es-CO"/>
        </w:rPr>
        <w:t>artículo</w:t>
      </w:r>
      <w:r w:rsidRPr="009342F9">
        <w:rPr>
          <w:rFonts w:ascii="Arial" w:eastAsia="Times New Roman" w:hAnsi="Arial" w:cs="Arial"/>
          <w:color w:val="000000"/>
          <w:lang w:eastAsia="es-CO"/>
        </w:rPr>
        <w:t xml:space="preserve"> 65 de la Ley 9a de 1989, se entiende por vecinos a los propietarios, a los poseedores y a los tenedores de todos los predios colindantes sin </w:t>
      </w:r>
      <w:r w:rsidR="001B62FD" w:rsidRPr="009342F9">
        <w:rPr>
          <w:rFonts w:ascii="Arial" w:eastAsia="Times New Roman" w:hAnsi="Arial" w:cs="Arial"/>
          <w:color w:val="000000"/>
          <w:lang w:eastAsia="es-CO"/>
        </w:rPr>
        <w:t>distinción</w:t>
      </w:r>
      <w:r w:rsidRPr="009342F9">
        <w:rPr>
          <w:rFonts w:ascii="Arial" w:eastAsia="Times New Roman" w:hAnsi="Arial" w:cs="Arial"/>
          <w:color w:val="000000"/>
          <w:lang w:eastAsia="es-CO"/>
        </w:rPr>
        <w:t xml:space="preserve"> alguna. </w:t>
      </w:r>
    </w:p>
    <w:p w14:paraId="694D4431" w14:textId="4A9DD19A"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43DEC3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Vías Arteriales o de Primer Orden. Vías constituidas por las troncales, transversales y accesos a capitales de departamento que cumplen con la función básica de integrar las principales zonas de producción y consumo del país y de este con los demás países. </w:t>
      </w:r>
    </w:p>
    <w:p w14:paraId="7C0BCE0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Vía de Circulación Peatonal. Zona destinada a la circulación peatonal, conformada por las franjas de amoblamiento y de circulación peatonal, tales como andenes, senderos y alamedas. </w:t>
      </w:r>
    </w:p>
    <w:p w14:paraId="1C5E3A44" w14:textId="77777777" w:rsidR="00AA5FD1" w:rsidRDefault="00AA5FD1" w:rsidP="00FC79C1">
      <w:pPr>
        <w:spacing w:after="0" w:line="240" w:lineRule="auto"/>
        <w:jc w:val="both"/>
        <w:rPr>
          <w:rFonts w:ascii="Arial" w:eastAsia="Times New Roman" w:hAnsi="Arial" w:cs="Arial"/>
          <w:color w:val="000000"/>
          <w:lang w:eastAsia="es-CO"/>
        </w:rPr>
      </w:pPr>
    </w:p>
    <w:p w14:paraId="264328D1" w14:textId="367E0A4F"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Vías Intermunicipales o de Segundo Orden. Vías que unen las cabeceras municipales entre sí y/o que provienen de una cabecera municipal y conectan con una vía arterial o de primer orden. </w:t>
      </w:r>
    </w:p>
    <w:p w14:paraId="23B80EAF" w14:textId="278805AE"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718101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Vías Veredales o de Tercer Orden. Vías de acceso que unen las cabeceras municipales con sus veredas o que unen veredas entre sí. </w:t>
      </w:r>
    </w:p>
    <w:p w14:paraId="799CF622" w14:textId="68BB0A4F"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59B69A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Zonas de reserva para sistemas estructurantes o generales. Son las áreas de suelo que de conformidad con el Plan de Ordenamiento Territorial o los instrumentos que lo desarrollen y complementen se requieren para la localización de la infraestructura del sistema vial principal y de transporte, las redes primarias de servicios públicos y las áreas de conservación y protección de los recursos naturales. Con base en estas zonas se definirán las afectaciones de que tratan los artículos 37 de la Ley 9a de 1989 y 122 de la Ley 388 de 1997. </w:t>
      </w:r>
    </w:p>
    <w:p w14:paraId="4CE00363" w14:textId="514EED58"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8EED75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Zona Verde. Espacio de carácter permanente, abierto y empradizado, de dominio o uso público, que hace parte del espacio público efectivo y destinado al uso recreativo. </w:t>
      </w:r>
    </w:p>
    <w:p w14:paraId="2AD34A70" w14:textId="08DA871B"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846" w:name="ver_30072575"/>
      <w:bookmarkEnd w:id="846"/>
    </w:p>
    <w:p w14:paraId="06DB6B8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2.2.1.2. Cuando en el presente decreto se hace referencia al plan o planes de ordenamiento territorial, se entenderá que comprende los planes básicos de ordenamiento territorial y los esquemas de ordenamiento territorial, de acuerdo con lo previsto en el artículo 9 de la Ley 388 de 1997. </w:t>
      </w:r>
    </w:p>
    <w:p w14:paraId="3E06EF20" w14:textId="73A19796" w:rsidR="00683694" w:rsidRDefault="00FC79C1" w:rsidP="00FC79C1">
      <w:pPr>
        <w:spacing w:after="0" w:line="240" w:lineRule="auto"/>
        <w:jc w:val="both"/>
        <w:rPr>
          <w:rFonts w:ascii="Arial" w:eastAsia="Times New Roman" w:hAnsi="Arial" w:cs="Arial"/>
          <w:color w:val="000000"/>
          <w:lang w:eastAsia="es-CO"/>
        </w:rPr>
      </w:pPr>
      <w:r w:rsidRPr="231E957E">
        <w:rPr>
          <w:rFonts w:ascii="Arial" w:eastAsia="Times New Roman" w:hAnsi="Arial" w:cs="Arial"/>
          <w:color w:val="000000" w:themeColor="text1"/>
          <w:lang w:eastAsia="es-CO"/>
        </w:rPr>
        <w:t>  </w:t>
      </w:r>
      <w:bookmarkStart w:id="847" w:name="ver_30072576"/>
      <w:bookmarkEnd w:id="847"/>
    </w:p>
    <w:p w14:paraId="39B4A683" w14:textId="13D719D6" w:rsidR="00FC79C1" w:rsidRPr="009342F9" w:rsidRDefault="00FC79C1" w:rsidP="00683694">
      <w:pPr>
        <w:spacing w:after="0" w:line="240" w:lineRule="auto"/>
        <w:jc w:val="center"/>
        <w:rPr>
          <w:rFonts w:ascii="Arial" w:eastAsia="Times New Roman" w:hAnsi="Arial" w:cs="Arial"/>
          <w:b/>
          <w:bCs/>
          <w:color w:val="000000"/>
          <w:lang w:eastAsia="es-CO"/>
        </w:rPr>
      </w:pPr>
      <w:r w:rsidRPr="231E957E">
        <w:rPr>
          <w:rFonts w:ascii="Arial" w:eastAsia="Times New Roman" w:hAnsi="Arial" w:cs="Arial"/>
          <w:b/>
          <w:color w:val="000000" w:themeColor="text1"/>
          <w:lang w:eastAsia="es-CO"/>
        </w:rPr>
        <w:t>TÍTULO 2.</w:t>
      </w:r>
    </w:p>
    <w:p w14:paraId="6264D4D1" w14:textId="77777777" w:rsidR="00FC79C1" w:rsidRDefault="00FC79C1" w:rsidP="00683694">
      <w:pPr>
        <w:spacing w:after="0" w:line="240" w:lineRule="auto"/>
        <w:jc w:val="center"/>
        <w:rPr>
          <w:rFonts w:ascii="Arial" w:eastAsia="Times New Roman" w:hAnsi="Arial" w:cs="Arial"/>
          <w:b/>
          <w:bCs/>
          <w:color w:val="000000"/>
          <w:lang w:eastAsia="es-CO"/>
        </w:rPr>
      </w:pPr>
      <w:r w:rsidRPr="231E957E">
        <w:rPr>
          <w:rFonts w:ascii="Arial" w:eastAsia="Times New Roman" w:hAnsi="Arial" w:cs="Arial"/>
          <w:b/>
          <w:color w:val="000000" w:themeColor="text1"/>
          <w:lang w:eastAsia="es-CO"/>
        </w:rPr>
        <w:t>PLANEACIÓN PARA EL ORDENAMIENTO TERRITORIAL</w:t>
      </w:r>
    </w:p>
    <w:p w14:paraId="624B4258" w14:textId="77777777" w:rsidR="007C7D44" w:rsidRPr="009342F9" w:rsidRDefault="007C7D44" w:rsidP="00683694">
      <w:pPr>
        <w:spacing w:after="0" w:line="240" w:lineRule="auto"/>
        <w:jc w:val="center"/>
        <w:rPr>
          <w:rFonts w:ascii="Arial" w:eastAsia="Times New Roman" w:hAnsi="Arial" w:cs="Arial"/>
          <w:b/>
          <w:bCs/>
          <w:color w:val="000000"/>
          <w:lang w:eastAsia="es-CO"/>
        </w:rPr>
      </w:pPr>
    </w:p>
    <w:p w14:paraId="51453EF9" w14:textId="77777777" w:rsidR="00FC79C1" w:rsidRPr="009342F9" w:rsidRDefault="00FC79C1" w:rsidP="00683694">
      <w:pPr>
        <w:spacing w:after="0" w:line="240" w:lineRule="auto"/>
        <w:jc w:val="center"/>
        <w:rPr>
          <w:rFonts w:ascii="Arial" w:eastAsia="Times New Roman" w:hAnsi="Arial" w:cs="Arial"/>
          <w:b/>
          <w:bCs/>
          <w:color w:val="000000"/>
          <w:lang w:eastAsia="es-CO"/>
        </w:rPr>
      </w:pPr>
      <w:r w:rsidRPr="231E957E">
        <w:rPr>
          <w:rFonts w:ascii="Arial" w:eastAsia="Times New Roman" w:hAnsi="Arial" w:cs="Arial"/>
          <w:b/>
          <w:color w:val="000000" w:themeColor="text1"/>
          <w:lang w:eastAsia="es-CO"/>
        </w:rPr>
        <w:t>CAPÍTULO 1</w:t>
      </w:r>
    </w:p>
    <w:p w14:paraId="688DC99F" w14:textId="77777777" w:rsidR="00FC79C1" w:rsidRDefault="00FC79C1" w:rsidP="00683694">
      <w:pPr>
        <w:spacing w:after="0" w:line="240" w:lineRule="auto"/>
        <w:jc w:val="center"/>
        <w:rPr>
          <w:rFonts w:ascii="Arial" w:eastAsia="Times New Roman" w:hAnsi="Arial" w:cs="Arial"/>
          <w:b/>
          <w:bCs/>
          <w:color w:val="000000"/>
          <w:lang w:eastAsia="es-CO"/>
        </w:rPr>
      </w:pPr>
      <w:r w:rsidRPr="231E957E">
        <w:rPr>
          <w:rFonts w:ascii="Arial" w:eastAsia="Times New Roman" w:hAnsi="Arial" w:cs="Arial"/>
          <w:b/>
          <w:color w:val="000000" w:themeColor="text1"/>
          <w:lang w:eastAsia="es-CO"/>
        </w:rPr>
        <w:t>INSTRUMENTOS DE ORDENAMIENTO TERRITORIAL</w:t>
      </w:r>
    </w:p>
    <w:p w14:paraId="4D926948" w14:textId="77777777" w:rsidR="007C7D44" w:rsidRPr="009342F9" w:rsidRDefault="007C7D44" w:rsidP="00683694">
      <w:pPr>
        <w:spacing w:after="0" w:line="240" w:lineRule="auto"/>
        <w:jc w:val="center"/>
        <w:rPr>
          <w:rFonts w:ascii="Arial" w:eastAsia="Times New Roman" w:hAnsi="Arial" w:cs="Arial"/>
          <w:b/>
          <w:bCs/>
          <w:color w:val="000000"/>
          <w:lang w:eastAsia="es-CO"/>
        </w:rPr>
      </w:pPr>
    </w:p>
    <w:p w14:paraId="227CB992" w14:textId="04DDC6E7" w:rsidR="00FC79C1" w:rsidRPr="009342F9" w:rsidRDefault="00FC79C1" w:rsidP="00683694">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SECCIÓN 1</w:t>
      </w:r>
    </w:p>
    <w:p w14:paraId="25E7E397" w14:textId="77777777" w:rsidR="00FC79C1" w:rsidRPr="009342F9" w:rsidRDefault="00FC79C1" w:rsidP="00683694">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ORDENAMIENTO DEL TERRITORIO</w:t>
      </w:r>
    </w:p>
    <w:p w14:paraId="4C12F19F"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848" w:name="ver_30072577"/>
      <w:bookmarkEnd w:id="848"/>
    </w:p>
    <w:p w14:paraId="0DCC2B7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2.2.2.1.1.1. Ordenamiento del territorio. De conformidad con los artículos 5 y 6 de la Ley 388 de 1997, el ordenamiento del territorio municipal o distrital comprende un conjunto de acciones político-administrativas y de planeación física concertadas y coherentes, emprendidas por los municipios o distritos y áreas metropolitanas para disponer de instrumentos eficaces de orientación del desarrollo del territorio bajo su jurisdicción y de regulación de la utilización, ocupación y transformación de su espacio físico. El ordenamiento territorial debe ser acorde con las estrategias de desarrollo económico del municipio y distrito y armónico con el mismo ambiente y sus tradiciones históricas y culturales. </w:t>
      </w:r>
    </w:p>
    <w:p w14:paraId="6CAC51B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9C8B3E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El ordenamiento del territorio tiene por objeto dar a la planeación económica y social su dimensión territorial, racionalizar la intervención sobre el territorio y propiciar su desarrollo y aprovechamiento sostenible. </w:t>
      </w:r>
    </w:p>
    <w:p w14:paraId="13A967B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4FD0BC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El ordenamiento del territorio tendrá en consideración las relaciones intermunicipales, metropolitanas y regionales; las condiciones de diversidad étnica y cultural; así como la utilización óptima de los recursos naturales, económicos y humanos para el logro de una mejor calidad de vida. </w:t>
      </w:r>
    </w:p>
    <w:p w14:paraId="0350924B" w14:textId="65B26BD9" w:rsidR="00FC79C1" w:rsidRPr="009342F9" w:rsidRDefault="00FC79C1" w:rsidP="00AA5FD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508E6F1"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849" w:name="ver_30072579"/>
      <w:bookmarkEnd w:id="849"/>
    </w:p>
    <w:p w14:paraId="01907F0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2.2.2.1.1.2. Prioridades del ordenamiento del territorio. En la definición del ordenamiento territorial, se tendrán en cuenta las prioridades del plan de desarrollo del municipio o distrito y los determinantes establecidos en normas de superior jerarquía que son: </w:t>
      </w:r>
    </w:p>
    <w:p w14:paraId="1F65E0F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2756BF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Las relacionadas con la conservación y protección del medio ambiente, los recursos naturales y la prevención de amenazas y riesgos naturales. </w:t>
      </w:r>
    </w:p>
    <w:p w14:paraId="0DBC5D4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E52596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2. Las políticas y normas sobre conservación y uso de las áreas e inmuebles que son patrimonio cultural. </w:t>
      </w:r>
    </w:p>
    <w:p w14:paraId="083B700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B45D54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El señalamiento y localización de las infraestructuras de la red vial nacional y regional, los puertos y aeropuertos y los sistemas de suministros de agua, energía y servicios de saneamiento básico. </w:t>
      </w:r>
    </w:p>
    <w:p w14:paraId="711422B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C84391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Los componentes de ordenamiento territorial de los planes integrales de desarrollo metropolitano en cuanto sean aplicables. </w:t>
      </w:r>
    </w:p>
    <w:p w14:paraId="678E2DB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DE13560" w14:textId="78395CE7" w:rsidR="00FC79C1" w:rsidRPr="009342F9" w:rsidRDefault="00FC79C1" w:rsidP="00FC79C1">
      <w:pPr>
        <w:spacing w:after="0" w:line="240" w:lineRule="auto"/>
        <w:jc w:val="both"/>
        <w:rPr>
          <w:rFonts w:ascii="Arial" w:eastAsia="Times New Roman" w:hAnsi="Arial" w:cs="Arial"/>
          <w:color w:val="000000"/>
          <w:lang w:eastAsia="es-CO"/>
        </w:rPr>
      </w:pPr>
      <w:bookmarkStart w:id="850" w:name="ver_30072580"/>
      <w:bookmarkEnd w:id="850"/>
      <w:r w:rsidRPr="009342F9">
        <w:rPr>
          <w:rFonts w:ascii="Arial" w:eastAsia="Times New Roman" w:hAnsi="Arial" w:cs="Arial"/>
          <w:color w:val="000000"/>
          <w:lang w:eastAsia="es-CO"/>
        </w:rPr>
        <w:t>Artículo 2.2.2.1.1.3. Participación democrática en el ordenamiento del territorio. En el proceso de formulación y ejecución del ordenamiento territorial las administraciones municipales, distritales y metropolitanas fomentarán la concertación entre los intereses sociales, económicos y urbanísticos mediante la participación de los ciudadanos y sus organizaciones. </w:t>
      </w:r>
    </w:p>
    <w:p w14:paraId="2C5CFE10" w14:textId="08A38A3E" w:rsidR="00FC79C1" w:rsidRPr="009342F9" w:rsidRDefault="00FC79C1" w:rsidP="00AA5FD1">
      <w:pPr>
        <w:spacing w:after="0" w:line="240" w:lineRule="auto"/>
        <w:jc w:val="both"/>
        <w:rPr>
          <w:rFonts w:ascii="Arial" w:eastAsia="Times New Roman" w:hAnsi="Arial" w:cs="Arial"/>
          <w:color w:val="000000"/>
          <w:lang w:eastAsia="es-CO"/>
        </w:rPr>
      </w:pPr>
      <w:r w:rsidRPr="231E957E">
        <w:rPr>
          <w:rFonts w:ascii="Arial" w:eastAsia="Times New Roman" w:hAnsi="Arial" w:cs="Arial"/>
          <w:color w:val="000000" w:themeColor="text1"/>
          <w:lang w:eastAsia="es-CO"/>
        </w:rPr>
        <w:t>  </w:t>
      </w:r>
    </w:p>
    <w:p w14:paraId="068B6609" w14:textId="755D9AE6" w:rsidR="00FC79C1" w:rsidRPr="009342F9" w:rsidRDefault="00FC79C1" w:rsidP="00683694">
      <w:pPr>
        <w:spacing w:after="0" w:line="240" w:lineRule="auto"/>
        <w:jc w:val="center"/>
        <w:rPr>
          <w:rFonts w:ascii="Arial" w:eastAsia="Times New Roman" w:hAnsi="Arial" w:cs="Arial"/>
          <w:b/>
          <w:bCs/>
          <w:color w:val="000000"/>
          <w:lang w:eastAsia="es-CO"/>
        </w:rPr>
      </w:pPr>
      <w:bookmarkStart w:id="851" w:name="ver_30072581"/>
      <w:bookmarkEnd w:id="851"/>
      <w:r w:rsidRPr="009342F9">
        <w:rPr>
          <w:rFonts w:ascii="Arial" w:eastAsia="Times New Roman" w:hAnsi="Arial" w:cs="Arial"/>
          <w:b/>
          <w:bCs/>
          <w:color w:val="000000"/>
          <w:lang w:eastAsia="es-CO"/>
        </w:rPr>
        <w:t>SECCIÓN 2</w:t>
      </w:r>
    </w:p>
    <w:p w14:paraId="2CD61FEB" w14:textId="77777777" w:rsidR="00FC79C1" w:rsidRPr="009342F9" w:rsidRDefault="00FC79C1" w:rsidP="00683694">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PLANES DE ORDENAMIENTO TERRITORIAL</w:t>
      </w:r>
    </w:p>
    <w:p w14:paraId="2D933A23"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852" w:name="ver_30072582"/>
      <w:bookmarkEnd w:id="852"/>
    </w:p>
    <w:p w14:paraId="042A1A4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2.2.2.1.2.1. El plan de ordenamiento territorial. El plan de ordenamiento territorial es un instrumento técnico y normativo para ordenar el territorio municipal o distrital. Comprende el conjunto de objetivos, directrices, políticas, estrategias, metas, programas, actuaciones y normas, destinadas a orientar y administrar el desarrollo físico del territorio y la utilización del suelo. </w:t>
      </w:r>
    </w:p>
    <w:p w14:paraId="5E3F975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89D0A1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Los planes de ordenamiento territorial deberán ser el producto de una efectiva participación de los diferentes actores sociales relacionados con la dinámica territorial. Para ello, la administración municipal o distrital deberá garantizar la participación y la concertación en la formación del plan. </w:t>
      </w:r>
    </w:p>
    <w:p w14:paraId="4B7AEBC4" w14:textId="5215DA9A"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853" w:name="ver_30072583"/>
      <w:bookmarkEnd w:id="853"/>
    </w:p>
    <w:p w14:paraId="45B3AE9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2.2.2.1.2.2. Componentes de los planes de ordenamiento territorial. Los planes de ordenamiento territorial deberán contemplar tres componentes: </w:t>
      </w:r>
    </w:p>
    <w:p w14:paraId="193DE8B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7168D9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El componente general, constituido por los objetivos, estrategias y contenidos estructurales de largo plazo. </w:t>
      </w:r>
    </w:p>
    <w:p w14:paraId="374318D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41D16D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El componente urbano, constituido por las políticas, acciones, programas y normas para encauzar y administrar el desarrollo físico urbano. </w:t>
      </w:r>
    </w:p>
    <w:p w14:paraId="0B0155E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D4929B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El componente rural, el cual estará constituido por las políticas, acciones, programas y normas para orientar y garantizar la adecuada interacción entre los asentamientos rurales y la cabecera municipal, así como la conveniente utilización del suelo. </w:t>
      </w:r>
    </w:p>
    <w:p w14:paraId="4EA4C80D" w14:textId="052AC70B"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854" w:name="ver_30072584"/>
      <w:bookmarkEnd w:id="854"/>
    </w:p>
    <w:p w14:paraId="229B7F5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2.2.2.1.2.3. Programa de ejecución. Los planes de ordenamiento territorial tendrán un programa de ejecución que define con carácter obligatorio las actuaciones sobre el territorio previstas en aquel durante el período de la correspondiente administración municipal o distrital, de acuerdo con lo definido en el plan de desarrollo, señalando los proyectos prioritarios, la programación de actividades, las entidades responsables y los recursos respectivos. El programa de ejecución se integrará al plan de inversiones del plan de desarrollo de tal manera que </w:t>
      </w:r>
      <w:proofErr w:type="gramStart"/>
      <w:r w:rsidRPr="009342F9">
        <w:rPr>
          <w:rFonts w:ascii="Arial" w:eastAsia="Times New Roman" w:hAnsi="Arial" w:cs="Arial"/>
          <w:color w:val="000000"/>
          <w:lang w:eastAsia="es-CO"/>
        </w:rPr>
        <w:t>conjuntamente con</w:t>
      </w:r>
      <w:proofErr w:type="gramEnd"/>
      <w:r w:rsidRPr="009342F9">
        <w:rPr>
          <w:rFonts w:ascii="Arial" w:eastAsia="Times New Roman" w:hAnsi="Arial" w:cs="Arial"/>
          <w:color w:val="000000"/>
          <w:lang w:eastAsia="es-CO"/>
        </w:rPr>
        <w:t xml:space="preserve"> éste sea puesto a consideración del concejo por el alcalde para su aprobación mediante acuerdo y su vigencia se ajustará a los períodos de las administraciones municipales y distritales. </w:t>
      </w:r>
    </w:p>
    <w:p w14:paraId="7FE77DC0" w14:textId="77777777" w:rsidR="00AA5FD1" w:rsidRDefault="00AA5FD1" w:rsidP="00FC79C1">
      <w:pPr>
        <w:spacing w:after="0" w:line="240" w:lineRule="auto"/>
        <w:jc w:val="both"/>
        <w:rPr>
          <w:rFonts w:ascii="Arial" w:eastAsia="Times New Roman" w:hAnsi="Arial" w:cs="Arial"/>
          <w:color w:val="000000"/>
          <w:lang w:eastAsia="es-CO"/>
        </w:rPr>
      </w:pPr>
      <w:bookmarkStart w:id="855" w:name="ver_30072585"/>
      <w:bookmarkEnd w:id="855"/>
    </w:p>
    <w:p w14:paraId="019D8D66" w14:textId="550A1C2B"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Artículo 2.2.2.1.2.4. Vigencia del plan de ordenamiento territorial, de los componentes y contenidos y del programa de ejecución. El plan de ordenamiento territorial tendrá una vigencia mínima equivalente a tres (3) períodos constitucionales de las administraciones municipales y distritales, contándose como la primera de éstas la que termina el treinta y uno (31) de diciembre del año dos mil (2000). En todo caso, el momento previsto para la revisión debe coincidir con el inicio de un nuevo período y de esas administraciones. Mientras se revisa el plan de ordenamiento o se adopta uno nuevo seguirá vigente el ya adoptado. </w:t>
      </w:r>
    </w:p>
    <w:p w14:paraId="144640D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632808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Los planes de ordenamiento señalarán la vigencia de sus componentes y contenidos distinguiendo los de largo plazo con una vigencia mínima equivalente a tres (3) períodos constitucionales de las administraciones municipales y distritales, los del mediano plazo con una vigencia mínima de dos (2) períodos constitucionales de las administraciones municipales y distritales y los de corto plazo, cuya vigencia mínima será de un (1) período constitucional de las administraciones municipales y distritales. Cuando en el curso de la vigencia de un Plan de Ordenamiento Territorial llegue a su término el período de vigencia de los componentes y contenidos de corto y mediano plazo, deberá procederse a su revisión. Mientras se hace esta revisión, seguirán vigentes los componentes y contenidos anteriores. </w:t>
      </w:r>
    </w:p>
    <w:p w14:paraId="3A7A7DA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83311F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Las vigencias mínimas de los planes básicos de ordenamiento territorial y de los esquemas de ordenamiento territorial, así como las de sus componentes y contenidos, serán idénticas a las de los planes de ordenamiento territorial. </w:t>
      </w:r>
    </w:p>
    <w:p w14:paraId="538BBCF6" w14:textId="3E58D1C1" w:rsidR="00FC79C1" w:rsidRPr="009342F9" w:rsidRDefault="00FC79C1" w:rsidP="00AA5FD1">
      <w:pPr>
        <w:spacing w:after="0" w:line="240" w:lineRule="auto"/>
        <w:jc w:val="both"/>
        <w:rPr>
          <w:rFonts w:ascii="Arial" w:eastAsia="Times New Roman" w:hAnsi="Arial" w:cs="Arial"/>
          <w:color w:val="000000"/>
          <w:lang w:eastAsia="es-CO"/>
        </w:rPr>
      </w:pPr>
      <w:r w:rsidRPr="231E957E">
        <w:rPr>
          <w:rFonts w:ascii="Arial" w:eastAsia="Times New Roman" w:hAnsi="Arial" w:cs="Arial"/>
          <w:color w:val="000000" w:themeColor="text1"/>
          <w:lang w:eastAsia="es-CO"/>
        </w:rPr>
        <w:t>  </w:t>
      </w:r>
    </w:p>
    <w:p w14:paraId="32DD14E4" w14:textId="230C718D" w:rsidR="00FC79C1" w:rsidRPr="009342F9" w:rsidRDefault="00FC79C1" w:rsidP="00683694">
      <w:pPr>
        <w:spacing w:after="0" w:line="240" w:lineRule="auto"/>
        <w:jc w:val="center"/>
        <w:rPr>
          <w:rFonts w:ascii="Arial" w:eastAsia="Times New Roman" w:hAnsi="Arial" w:cs="Arial"/>
          <w:b/>
          <w:bCs/>
          <w:color w:val="000000"/>
          <w:lang w:eastAsia="es-CO"/>
        </w:rPr>
      </w:pPr>
      <w:bookmarkStart w:id="856" w:name="ver_30072586"/>
      <w:bookmarkEnd w:id="856"/>
      <w:r w:rsidRPr="009342F9">
        <w:rPr>
          <w:rFonts w:ascii="Arial" w:eastAsia="Times New Roman" w:hAnsi="Arial" w:cs="Arial"/>
          <w:b/>
          <w:bCs/>
          <w:color w:val="000000"/>
          <w:lang w:eastAsia="es-CO"/>
        </w:rPr>
        <w:t>SUBSECCIÓN 1</w:t>
      </w:r>
    </w:p>
    <w:p w14:paraId="66773B67" w14:textId="77777777" w:rsidR="00FC79C1" w:rsidRPr="009342F9" w:rsidRDefault="00FC79C1" w:rsidP="00683694">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LOS COMPONENTES Y CONTENIDOS DE LOS PLANES DE ORDENAMIENTO TERRITORIAL</w:t>
      </w:r>
    </w:p>
    <w:p w14:paraId="072ED0B0"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857" w:name="ver_30072592"/>
      <w:bookmarkEnd w:id="857"/>
    </w:p>
    <w:p w14:paraId="2A08A37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2.2.2.1.2.1.1. El componente general. El componente general del plan comprende la totalidad del territorio del municipio o distrito y prevalece sobre los demás componentes. </w:t>
      </w:r>
    </w:p>
    <w:p w14:paraId="2874CB0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39E86F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El componente general deberá señalar en primera instancia los objetivos y estrategias territoriales de mediano y largo plazo, lo cual incluye, entre otros, las acciones necesarias para aprovechar las ventajas comparativas y mejorar la competitividad del municipio o distrito; la definición de acciones estrategias para alcanzar sus objetivos de desarrollo económico y social de conformidad con el plan de desarrollo, y las políticas de largo plazo para la ocupación y manejo del suelo y demás recursos naturales. </w:t>
      </w:r>
    </w:p>
    <w:p w14:paraId="13AD8CE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402359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Esta división se materializa en el contenido estructural, que define: </w:t>
      </w:r>
    </w:p>
    <w:p w14:paraId="63CF590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497DDC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Los sistemas de comunicación entre las áreas urbanas y rurales del municipio o distrito y de éste con los sistemas regionales y nacionales. </w:t>
      </w:r>
    </w:p>
    <w:p w14:paraId="7122F80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591DFE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2. Las medidas para la protección del medio como ambiente, conservación de los recursos naturales y defensa del </w:t>
      </w:r>
      <w:proofErr w:type="gramStart"/>
      <w:r w:rsidRPr="009342F9">
        <w:rPr>
          <w:rFonts w:ascii="Arial" w:eastAsia="Times New Roman" w:hAnsi="Arial" w:cs="Arial"/>
          <w:color w:val="000000"/>
          <w:lang w:eastAsia="es-CO"/>
        </w:rPr>
        <w:t>paisaje</w:t>
      </w:r>
      <w:proofErr w:type="gramEnd"/>
      <w:r w:rsidRPr="009342F9">
        <w:rPr>
          <w:rFonts w:ascii="Arial" w:eastAsia="Times New Roman" w:hAnsi="Arial" w:cs="Arial"/>
          <w:color w:val="000000"/>
          <w:lang w:eastAsia="es-CO"/>
        </w:rPr>
        <w:t xml:space="preserve"> así como el señalamiento de áreas de reserva y de conservación y de protección del patrimonio histórico, cultural y arquitectónico y ambiental. </w:t>
      </w:r>
    </w:p>
    <w:p w14:paraId="2846DBE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16F485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La determinación de zonas de alto riesgo para la localización de asentamientos humanos. </w:t>
      </w:r>
    </w:p>
    <w:p w14:paraId="653640F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D68038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La localización de actividades, infraestructuras y equipamientos básicos, expresados en los planes de ocupación del suelo, el plan vial y de transporte, el plan de vivienda social, los planes maestros de servicios públicos, el plan de determinación y manejo del espacio público. </w:t>
      </w:r>
    </w:p>
    <w:p w14:paraId="4A5C0EC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8B1010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5. La clasificación del territorio en suelo urbano, rural y de expansión urbana, con la correspondiente determinación del perímetro urbano que no podrá ser mayor que el perímetro de servicios públicos. </w:t>
      </w:r>
    </w:p>
    <w:p w14:paraId="49813D9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E25823A" w14:textId="29020591" w:rsidR="00FC79C1" w:rsidRPr="009342F9" w:rsidRDefault="00B3621E"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w:t>
      </w:r>
      <w:r w:rsidR="00FC79C1" w:rsidRPr="009342F9">
        <w:rPr>
          <w:rFonts w:ascii="Arial" w:eastAsia="Times New Roman" w:hAnsi="Arial" w:cs="Arial"/>
          <w:color w:val="000000"/>
          <w:lang w:eastAsia="es-CO"/>
        </w:rPr>
        <w:t>. Todas las decisiones y definiciones de política del contenido estructural del componente general se traducen en normas urbanísticas estructurales, que prevalecen sobre las demás normas urbanísticas y sólo pueden modificarse con motivo de la revisión general del plan o excepcionalmente a iniciativa del alcalde, cuando por medio de estudios técnicos se demuestre que debido a cambios en las circunstancias y evolución del municipio o distrito dicha modificación se hace necesaria. </w:t>
      </w:r>
    </w:p>
    <w:p w14:paraId="73D7F84B" w14:textId="6A433B6E"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858" w:name="ver_30072598"/>
      <w:bookmarkEnd w:id="858"/>
    </w:p>
    <w:p w14:paraId="3F5D3CC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2.2.2.1.2.1.2. El componente urbano. El componente urbano se refiere a la administración del suelo urbano y de expansión urbana, e integra políticas de mediano y corto plazo, procedimientos e instrumentos de gestión y está insertado y supeditado al componente general del plan. </w:t>
      </w:r>
    </w:p>
    <w:p w14:paraId="76F2392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58734E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lo que se refiere a suelo urbano y áreas de expansión urbana, este componente deberá contener por lo menos, los siguientes elementos: </w:t>
      </w:r>
    </w:p>
    <w:p w14:paraId="6F04801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AB1EE5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Las políticas a mediano y corto plazo sobre uso y ocupación, en armonía con el modelo estructural de largo plazo adoptado en el componente general. </w:t>
      </w:r>
    </w:p>
    <w:p w14:paraId="37110AE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3DCC39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La localización y dimensionamiento de la infraestructura para: el sistema vial y de transporte, previendo la adecuada intercomunicación del conjunto de las áreas urbanas y su ampliación a las zonas de expansión; las redes primarias y secundarias de servicios públicos en el corto y mediano plazo; los equipamientos colectivos y espacios libres para parques y zonas verdes públicas; y las cesiones urbanísticas gratuitas para todas las anteriores. </w:t>
      </w:r>
    </w:p>
    <w:p w14:paraId="674973F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7F2B65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La delimitación de las áreas de conservación y protección de recursos naturales y paisajísticos, de conjuntos urbanos históricos y culturales, y de áreas expuestas a amenazas y riesgos naturales. </w:t>
      </w:r>
    </w:p>
    <w:p w14:paraId="0549881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0F5959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La determinación de los tratamientos y actuaciones urbanísticas aplicables a cada área, así como las zonas receptoras y generadoras de los derechos transferibles de construcción y desarrollo previstos en el Decreto Ley 151 de 1998. </w:t>
      </w:r>
    </w:p>
    <w:p w14:paraId="1878C28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BCACA6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 La estrategia de mediano plazo para el desarrollo de programas de vivienda de interés social, incluyendo las de mejoramiento integral. La estrategia de vivienda incluirá directrices y parámetros para la localización de los terrenos necesarios para atender la demanda de vivienda de interés social, y los instrumentos de gestión correspondientes. También comprende mecanismos para la reubicación de los asentamientos en zonas de alto riesgo. </w:t>
      </w:r>
    </w:p>
    <w:p w14:paraId="5DC458D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092090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6. Las estrategias de crecimiento y reordenamiento de la ciudad, y los parámetros para la identificación y declaración de inmuebles y terrenos de desarrollo y construcción prioritaria. </w:t>
      </w:r>
    </w:p>
    <w:p w14:paraId="0D70225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1E309B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7. La determinación de las características de las unidades de actuación urbanística. </w:t>
      </w:r>
    </w:p>
    <w:p w14:paraId="1DF7EF8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BAD875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8. La determinación de las áreas morfológicas </w:t>
      </w:r>
      <w:proofErr w:type="spellStart"/>
      <w:r w:rsidRPr="009342F9">
        <w:rPr>
          <w:rFonts w:ascii="Arial" w:eastAsia="Times New Roman" w:hAnsi="Arial" w:cs="Arial"/>
          <w:color w:val="000000"/>
          <w:lang w:eastAsia="es-CO"/>
        </w:rPr>
        <w:t>homógeneas</w:t>
      </w:r>
      <w:proofErr w:type="spellEnd"/>
      <w:r w:rsidRPr="009342F9">
        <w:rPr>
          <w:rFonts w:ascii="Arial" w:eastAsia="Times New Roman" w:hAnsi="Arial" w:cs="Arial"/>
          <w:color w:val="000000"/>
          <w:lang w:eastAsia="es-CO"/>
        </w:rPr>
        <w:t xml:space="preserve"> entendidas como las zonas que tiene características análogas en cuanto a las tipologías de edificación, así como por los usos e índices derivados de su trama urbana original. </w:t>
      </w:r>
    </w:p>
    <w:p w14:paraId="5B2D879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CB6AEA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9. La especificación, si es el caso, de la naturaleza, alcance y área de operación de los macroproyectos urbanos cuya promoción y ejecución se contemple a corto y mediano plazo. Lo anterior comprende la definición de sus directrices generales de gestión o financiamiento y las autorizaciones indispensables para emprenderlos. </w:t>
      </w:r>
    </w:p>
    <w:p w14:paraId="0757028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007CD6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10. La adopción de directrices y parámetros para los planes parciales, incluyendo la definición de acciones urbanísticas, actuaciones, instrumentos de financiación y otros procedimientos aplicables. </w:t>
      </w:r>
    </w:p>
    <w:p w14:paraId="3660C22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904960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11. La definición de los procedimientos e instrumentos de gestión en actuaciones urbanísticas requeridos para la administración y ejecución de las políticas y disposiciones adoptadas. </w:t>
      </w:r>
    </w:p>
    <w:p w14:paraId="7FFB5D4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9377B5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12. La adopción de instrumentos para financiar el desarrollo urbano, tales como la participación municipal o distrital en la plusvalía y la emisión de títulos de derechos adicionales de construcción y desarrollo y los demás contemplados en la Ley, determinando las zonas o subzonas beneficiarias de una o varias de las acciones urbanísticas generadoras de la participación en plusvalía. </w:t>
      </w:r>
    </w:p>
    <w:p w14:paraId="1D625A0E" w14:textId="377AFE02"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859" w:name="ver_30072601"/>
      <w:bookmarkEnd w:id="859"/>
    </w:p>
    <w:p w14:paraId="61258F6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2.2.2.1.2.1.3. El componente rural. El componente rural del Plan es un instrumento para garantizar la adecuada interacción entre los asentamientos rurales y su cabecera municipal, y la conveniente utilización del suelo rural, y enmarcar las actuaciones públicas tendientes a suministrar infraestructura y equipamiento básico para el servicio de la población rural. </w:t>
      </w:r>
    </w:p>
    <w:p w14:paraId="78FBEEE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4084D5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Este componente está insertado y supeditado al componente general del Plan y deberá contener por lo menos, los siguientes elementos: </w:t>
      </w:r>
    </w:p>
    <w:p w14:paraId="7D8BB22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33F9C1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Las políticas de mediano y corto plazo sobre ocupación del suelo en relación con los asentamientos humanos localizados en estas áreas. </w:t>
      </w:r>
    </w:p>
    <w:p w14:paraId="6A5461F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240314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El señalamiento de las condiciones de protección, conservación y mejoramiento de las zonas de producción agropecuaria, forestal o minera. </w:t>
      </w:r>
    </w:p>
    <w:p w14:paraId="33B0439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C1EECC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La delimitación de las áreas de conservación y protección de los recursos naturales, paisajísticos, geográficos y ambientales, de las zonas de amenaza y riesgo de las que forman parte del sistema de provisión de servicios públicos domiciliarios o de disposición de desechos. </w:t>
      </w:r>
    </w:p>
    <w:p w14:paraId="196E42B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603528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4. La localización y dimensionamiento de zonas determinadas como suburbanos con precisión de índices máximos de ocupación y usos admitidos, teniendo en cuenta su carácter de desarrollo de </w:t>
      </w:r>
      <w:proofErr w:type="gramStart"/>
      <w:r w:rsidRPr="009342F9">
        <w:rPr>
          <w:rFonts w:ascii="Arial" w:eastAsia="Times New Roman" w:hAnsi="Arial" w:cs="Arial"/>
          <w:color w:val="000000"/>
          <w:lang w:eastAsia="es-CO"/>
        </w:rPr>
        <w:t>baja ocupación y baja densidad</w:t>
      </w:r>
      <w:proofErr w:type="gramEnd"/>
      <w:r w:rsidRPr="009342F9">
        <w:rPr>
          <w:rFonts w:ascii="Arial" w:eastAsia="Times New Roman" w:hAnsi="Arial" w:cs="Arial"/>
          <w:color w:val="000000"/>
          <w:lang w:eastAsia="es-CO"/>
        </w:rPr>
        <w:t>, las posibilidades de suministro de agua potable y saneamiento básico y las normas de conservación y protección del medio ambiente. </w:t>
      </w:r>
    </w:p>
    <w:p w14:paraId="3883022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4F57F1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 La identificación de los centros poblados rurales y la adopción de las previsiones necesarias para orientar la ocupación de sus suelos y la adecuada dotación de infraestructura de servicios básicos y de equipamiento social. </w:t>
      </w:r>
    </w:p>
    <w:p w14:paraId="2919335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6D2EA2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6. La determinación de los sistemas de aprovisionamiento de los servicios de agua potable y saneamiento básico de las zonas rurales a corto y mediano plazo y la localización prevista para los equipamientos de salud y educación. </w:t>
      </w:r>
    </w:p>
    <w:p w14:paraId="246E467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5932591" w14:textId="77777777" w:rsidR="00FC79C1" w:rsidRPr="009342F9" w:rsidRDefault="00FC79C1" w:rsidP="00FC79C1">
      <w:pPr>
        <w:spacing w:after="0" w:line="240" w:lineRule="auto"/>
        <w:jc w:val="both"/>
        <w:rPr>
          <w:rFonts w:ascii="Arial" w:eastAsia="Times New Roman" w:hAnsi="Arial" w:cs="Arial"/>
          <w:color w:val="000000"/>
          <w:lang w:eastAsia="es-CO"/>
        </w:rPr>
      </w:pPr>
      <w:r w:rsidRPr="231E957E">
        <w:rPr>
          <w:rFonts w:ascii="Arial" w:eastAsia="Times New Roman" w:hAnsi="Arial" w:cs="Arial"/>
          <w:color w:val="000000" w:themeColor="text1"/>
          <w:lang w:eastAsia="es-CO"/>
        </w:rPr>
        <w:t>7. La expedición de normas para la parcelación de predios rurales destinados a vivienda campestre, las cuales deberán tener en cuenta la legislación agraria y ambiental. </w:t>
      </w:r>
    </w:p>
    <w:p w14:paraId="50DDC8B7" w14:textId="397BB4EA" w:rsidR="00FC79C1" w:rsidRPr="009342F9" w:rsidRDefault="00FC79C1" w:rsidP="007C7D44">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lastRenderedPageBreak/>
        <w:t>SUBSECCIÓN 2</w:t>
      </w:r>
    </w:p>
    <w:p w14:paraId="676A04F2" w14:textId="77777777" w:rsidR="00FC79C1" w:rsidRPr="009342F9" w:rsidRDefault="00FC79C1" w:rsidP="00683694">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PLANES BÁSICOS DE ORDENAMIENTO TERRITORIAL Y ESQUEMAS DE ORDENAMIENTO TERRITORIAL</w:t>
      </w:r>
    </w:p>
    <w:p w14:paraId="694CAA67"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860" w:name="ver_30072604"/>
      <w:bookmarkEnd w:id="860"/>
    </w:p>
    <w:p w14:paraId="3D32203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2.2.2.1.2.2.1. Planes Básicos de Ordenamiento Territorial. Los municipios con población entre treinta mil (30.000) y cien mil (100.000) habitantes deberán adoptar Planes Básicos de Ordenamiento Territorial, en los términos del artículo 23 de la Ley 388 de 1997 y demás normas concordantes. </w:t>
      </w:r>
    </w:p>
    <w:p w14:paraId="470B907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1B0EF1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Los Planes Básicos de Ordenamiento Territorial contemplarán los componentes general, urbano y rural, señalados en el artículo 11 de la Ley 388 de 1997. </w:t>
      </w:r>
    </w:p>
    <w:p w14:paraId="5DAA06E8" w14:textId="57ABB2CF"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861" w:name="ver_30072606"/>
      <w:bookmarkEnd w:id="861"/>
    </w:p>
    <w:p w14:paraId="5ED7ECF0" w14:textId="3097C03D"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2.2.2.1.2.2.2. El componente general de los Planes Básicos de Ordenamiento Territorial. El componente general de los Planes Básicos de Ordenamiento Territorial señalará los objetivos estrategias territoriales de mediano y largo plazo que permitan localizar acciones necesarias para aprovechar las ventajas comparativas y mejorar la competitividad del territorio municipal, y desarrollar un modelo de ocupación del territorio que posibilite identificar, delimitar y definir la localización de los siguientes aspectos estructurantes: </w:t>
      </w:r>
    </w:p>
    <w:p w14:paraId="1CA99A4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190E05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Áreas de reserva para la conservación y protección del medio ambiente y los recursos naturales. </w:t>
      </w:r>
    </w:p>
    <w:p w14:paraId="1DFAA90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432E8A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2.Áreas de reserva para la conservación y protección del patrimonio histórico, cultural y arquitectónico. </w:t>
      </w:r>
    </w:p>
    <w:p w14:paraId="20132AB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A5AEAE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Áreas expuestas a amenazas y riesgos. </w:t>
      </w:r>
    </w:p>
    <w:p w14:paraId="2CF3594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EB4775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Sistemas de comunicación entre el área urbana y rural y de éstas con el contexto regional. </w:t>
      </w:r>
    </w:p>
    <w:p w14:paraId="3C54400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729B93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 Actividades, infraestructura y equipamientos. </w:t>
      </w:r>
    </w:p>
    <w:p w14:paraId="66B451C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EB2C385" w14:textId="48B6C245"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6. La clasificación del territorio en suelo urbano, de expansión urbana y rural y para el primero de éstos, así como para las </w:t>
      </w:r>
      <w:proofErr w:type="spellStart"/>
      <w:r w:rsidRPr="009342F9">
        <w:rPr>
          <w:rFonts w:ascii="Arial" w:eastAsia="Times New Roman" w:hAnsi="Arial" w:cs="Arial"/>
          <w:color w:val="000000"/>
          <w:lang w:eastAsia="es-CO"/>
        </w:rPr>
        <w:t>cabeceracorregimentales</w:t>
      </w:r>
      <w:proofErr w:type="spellEnd"/>
      <w:r w:rsidRPr="009342F9">
        <w:rPr>
          <w:rFonts w:ascii="Arial" w:eastAsia="Times New Roman" w:hAnsi="Arial" w:cs="Arial"/>
          <w:color w:val="000000"/>
          <w:lang w:eastAsia="es-CO"/>
        </w:rPr>
        <w:t>, la determinación del correspondiente perímetro urbano, el cual a su vez no podrá ser mayor que el perímetro de servicios o sanitario. </w:t>
      </w:r>
    </w:p>
    <w:p w14:paraId="1B0398F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40EFDE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Todas las decisiones de aspectos estructurales del componente general se traducen en normas urbanísticas estructurales. </w:t>
      </w:r>
    </w:p>
    <w:p w14:paraId="3632428B" w14:textId="6D458572"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862" w:name="ver_30072609"/>
      <w:bookmarkEnd w:id="862"/>
    </w:p>
    <w:p w14:paraId="412FAF7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2.2.2.1.2.2.3. El componente urbano de los Planes Básicos de Ordenamiento Territorial. El componente urbano de los Planes de Ordenamiento Territorial deberá identificar, señalar y delimitar en forma detallada por lo menos la localización de los siguientes aspectos: </w:t>
      </w:r>
    </w:p>
    <w:p w14:paraId="5D6AD0A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5D2820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Áreas de conservación y protección de los recursos naturales. </w:t>
      </w:r>
    </w:p>
    <w:p w14:paraId="57D2788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06742F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Conjuntos urbanos, históricos y culturales. </w:t>
      </w:r>
    </w:p>
    <w:p w14:paraId="5480C8B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BA1A75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Áreas expuestas a amenazas y riesgos. </w:t>
      </w:r>
    </w:p>
    <w:p w14:paraId="339CB22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D6B796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Infraestructura para vías y transporte. </w:t>
      </w:r>
    </w:p>
    <w:p w14:paraId="3F1C57B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D5D699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 Redes de servicios públicos. </w:t>
      </w:r>
    </w:p>
    <w:p w14:paraId="43A8672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w:t>
      </w:r>
    </w:p>
    <w:p w14:paraId="2E8902F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6. Equipamientos colectivos y espacios públicos libres para parques y zonas verdes y el señalamiento de las cesiones urbanísticas gratuitas correspondientes a dichas infraestructuras. </w:t>
      </w:r>
    </w:p>
    <w:p w14:paraId="59440E2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2E0E0F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7. La estrategia de mediano plazo para programas de vivienda de interés social. </w:t>
      </w:r>
    </w:p>
    <w:p w14:paraId="2824216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D23326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8. Planes Parciales y Unidades de Actuación Urbanística. </w:t>
      </w:r>
    </w:p>
    <w:p w14:paraId="7ABDAA01" w14:textId="70B7785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863" w:name="ver_30072610"/>
      <w:bookmarkEnd w:id="863"/>
    </w:p>
    <w:p w14:paraId="592FF3A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2.2.2.1.2.2.4. El componente rural de los Planes Básicos de Ordenamiento Territorial. El componente rural de los Planes Básicos de Ordenamiento Territorial deberá identificar, señalar y delimitar en forma detallada, por lo menos la localización de los siguientes aspectos: </w:t>
      </w:r>
    </w:p>
    <w:p w14:paraId="1FA3414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50C4B6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Áreas de conservación y protección de los recursos naturales </w:t>
      </w:r>
    </w:p>
    <w:p w14:paraId="53B5D65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1EC56E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Áreas expuestas a amenazas y riesgos. </w:t>
      </w:r>
    </w:p>
    <w:p w14:paraId="62CE44C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E30E82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Áreas que forman parte de los sistemas de aprovisionamiento de los servicios públicos y para la disposición final de residuos sólidos y líquidos. </w:t>
      </w:r>
    </w:p>
    <w:p w14:paraId="5547D01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F065EE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Áreas de producción agropecuaria, forestal y minera. </w:t>
      </w:r>
    </w:p>
    <w:p w14:paraId="7274141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A32C0F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 Centros poblados y áreas suburbanas. </w:t>
      </w:r>
    </w:p>
    <w:p w14:paraId="3820C5A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C4A706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6. Equipamiento de salud y educación. </w:t>
      </w:r>
    </w:p>
    <w:p w14:paraId="2EC7F59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826771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7. Expedición de normas para la parcelación de predios rurales destinados a vivienda campestre, las cuales deben tener en cuenta la legislación agraria y ambiental. </w:t>
      </w:r>
    </w:p>
    <w:p w14:paraId="0C60CE5D" w14:textId="790F8404"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864" w:name="ver_30072616"/>
      <w:bookmarkEnd w:id="864"/>
    </w:p>
    <w:p w14:paraId="78D96BFF" w14:textId="27434EA5"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2.2.2.1.2.2.5. Esquemas de Ordenamiento Territorial. Los municipios con población inferior a los treinta mil (30.000) habitantes deberán adoptar Esquemas de Ordenamiento Territorial en los términos del artículo 23 de la Ley 388 de 1997 y demás normas concordantes. No obstante, los municipios con estas características que presenten dinámicas importantes de crecimiento </w:t>
      </w:r>
      <w:r w:rsidR="005565AB" w:rsidRPr="009342F9">
        <w:rPr>
          <w:rFonts w:ascii="Arial" w:eastAsia="Times New Roman" w:hAnsi="Arial" w:cs="Arial"/>
          <w:color w:val="000000"/>
          <w:lang w:eastAsia="es-CO"/>
        </w:rPr>
        <w:t>urbano</w:t>
      </w:r>
      <w:r w:rsidRPr="009342F9">
        <w:rPr>
          <w:rFonts w:ascii="Arial" w:eastAsia="Times New Roman" w:hAnsi="Arial" w:cs="Arial"/>
          <w:color w:val="000000"/>
          <w:lang w:eastAsia="es-CO"/>
        </w:rPr>
        <w:t xml:space="preserve"> podrán adoptar Planes Básicos de Ordenamiento Territorial. </w:t>
      </w:r>
    </w:p>
    <w:p w14:paraId="481107E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06902E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Los esquemas de Ordenamiento Territorial deberán contemplar los componentes general, urbano y rural. </w:t>
      </w:r>
    </w:p>
    <w:p w14:paraId="67A15DE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49BC4F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El componente general de los esquemas de ordenamiento territorial señalará como mínimo los siguientes aspectos: </w:t>
      </w:r>
    </w:p>
    <w:p w14:paraId="56E079C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CAD4BD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Los objetivos, estrategias y políticas territoriales de largo plazo, para la ocupación y el aprovechamiento del suelo municipal. </w:t>
      </w:r>
    </w:p>
    <w:p w14:paraId="1F42806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5456D8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La clasificación del territorio municipal en suelo urbano y suelo rural. Esta definición incluye la determinación del perímetro urbano para las cabeceras de los corregimientos. </w:t>
      </w:r>
    </w:p>
    <w:p w14:paraId="63869F2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E94FC0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La delimitación de las áreas de reserva para la conservación y protección del medio ambiente y los recursos naturales. </w:t>
      </w:r>
    </w:p>
    <w:p w14:paraId="7495765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4EA446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La determinación de las áreas expuestas a amenazas y riesgos. </w:t>
      </w:r>
    </w:p>
    <w:p w14:paraId="4A4FA21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C0A822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El componente urbano de los esquemas de ordenamiento territorial deberá identificar y definir la estructura general del suelo urbano, en especial, los siguientes aspectos: </w:t>
      </w:r>
    </w:p>
    <w:p w14:paraId="6A2F1F2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CCAFC0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El Plan de vías. </w:t>
      </w:r>
    </w:p>
    <w:p w14:paraId="0234533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C6A472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El plan de servicios públicos domiciliarios. </w:t>
      </w:r>
    </w:p>
    <w:p w14:paraId="043907B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AE94F0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La expedición de normas urbanísticas para las actuaciones de parcelación, urbanización y construcción. </w:t>
      </w:r>
    </w:p>
    <w:p w14:paraId="0389495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4D0206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El componente rural de los esquemas de ordenamiento territorial deberá identificar, señalar y delimitar en forma detallada, por lo menos la localización de los siguientes aspectos: </w:t>
      </w:r>
    </w:p>
    <w:p w14:paraId="7F77919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91931F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Áreas de conservación y protección de los recursos naturales. </w:t>
      </w:r>
    </w:p>
    <w:p w14:paraId="469E779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85FCCA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Áreas expuestas a amenazas y riesgos. </w:t>
      </w:r>
    </w:p>
    <w:p w14:paraId="1E3AFDD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829969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Áreas que forman parte de los sistemas de aprovisionamiento de los servicios públicos y para la disposición final de residuos sólidos y líquidos. </w:t>
      </w:r>
    </w:p>
    <w:p w14:paraId="4E823AF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51D5DC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Áreas de producción agropecuaria, forestal y minera. </w:t>
      </w:r>
    </w:p>
    <w:p w14:paraId="02A3E77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4F3E5BF" w14:textId="77777777" w:rsidR="00FC79C1" w:rsidRPr="009342F9" w:rsidRDefault="00FC79C1" w:rsidP="00FC79C1">
      <w:pPr>
        <w:spacing w:after="0" w:line="240" w:lineRule="auto"/>
        <w:jc w:val="both"/>
        <w:rPr>
          <w:rFonts w:ascii="Arial" w:eastAsia="Times New Roman" w:hAnsi="Arial" w:cs="Arial"/>
          <w:color w:val="000000"/>
          <w:lang w:eastAsia="es-CO"/>
        </w:rPr>
      </w:pPr>
      <w:r w:rsidRPr="231E957E">
        <w:rPr>
          <w:rFonts w:ascii="Arial" w:eastAsia="Times New Roman" w:hAnsi="Arial" w:cs="Arial"/>
          <w:color w:val="000000" w:themeColor="text1"/>
          <w:lang w:eastAsia="es-CO"/>
        </w:rPr>
        <w:t>5. Equipamiento de salud y educación. </w:t>
      </w:r>
    </w:p>
    <w:p w14:paraId="71C853B7" w14:textId="79FD005A" w:rsidR="00683694"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865" w:name="ver_30072621"/>
      <w:bookmarkEnd w:id="865"/>
    </w:p>
    <w:p w14:paraId="7AAA3330" w14:textId="7A038702" w:rsidR="00FC79C1" w:rsidRPr="009342F9" w:rsidRDefault="00FC79C1" w:rsidP="00683694">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SUBSECCIÓN 3</w:t>
      </w:r>
    </w:p>
    <w:p w14:paraId="6E7AC440" w14:textId="77777777" w:rsidR="00FC79C1" w:rsidRPr="009342F9" w:rsidRDefault="00FC79C1" w:rsidP="00683694">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PRESENTACIÓN DE LOS PLANES ORDENAMIENTO TERRITORIAL</w:t>
      </w:r>
    </w:p>
    <w:p w14:paraId="76C7C95A"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866" w:name="ver_30072622"/>
      <w:bookmarkEnd w:id="866"/>
    </w:p>
    <w:p w14:paraId="6984768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2.2.2.1.2.3.1. Proceso de planificación. Los resultados del proceso de planificación del ordenamiento territorial se consignarán en los siguientes documentos, que formarán parte integrante del Plan: </w:t>
      </w:r>
    </w:p>
    <w:p w14:paraId="19C339F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19358F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Documento técnico de soporte. </w:t>
      </w:r>
    </w:p>
    <w:p w14:paraId="3CC8402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95255A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Documento resumen, y </w:t>
      </w:r>
    </w:p>
    <w:p w14:paraId="16AD1C6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A272D0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Acuerdo que adopta el Plan. </w:t>
      </w:r>
    </w:p>
    <w:p w14:paraId="4E4D97DE"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867" w:name="ver_30072640"/>
      <w:bookmarkEnd w:id="867"/>
      <w:r w:rsidRPr="009342F9">
        <w:rPr>
          <w:rFonts w:ascii="Arial" w:eastAsia="Times New Roman" w:hAnsi="Arial" w:cs="Arial"/>
          <w:color w:val="000000"/>
          <w:lang w:eastAsia="es-CO"/>
        </w:rPr>
        <w:t>Artículo 2.2.2.1.2.3.2. Documento técnico de soporte. El documento técnico de soporte contiene el desarrollo, la descripción y la aplicación de los distintos procesos técnicos empleados para la formulación del Plan. Este documento incluirá como mínimo las siguientes partes: </w:t>
      </w:r>
    </w:p>
    <w:p w14:paraId="11C8094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21986C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La planificación, referida a la planificación territorial del municipio o distrito en los tres (3) componentes, general urbano y rural, sobre las cuales se soportan las definiciones y decisiones de ordenamiento que incorpora el Plan. </w:t>
      </w:r>
    </w:p>
    <w:p w14:paraId="6854FFF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FEBDDD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Los planos generales, que corresponden a los documentos gráficos del Plan de Ordenamiento Territorial e incorporan e ilustran todos los temas que componen el análisis espacial del territorio y el modelo de ocupación adoptado. </w:t>
      </w:r>
    </w:p>
    <w:p w14:paraId="36A9CB9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AF4DEF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La gestión y financiación, que contiene la formulación y adopción de los instrumentos, y procesos de implementación del Plan. </w:t>
      </w:r>
    </w:p>
    <w:p w14:paraId="0F1B560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6C0BE7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4. El programa de ejecución, que define con carácter obligatorio las actuaciones que se realizarán en el corto plazo por parte de la administración municipal o distrital y expone las prioridades, la programación de actividades, las entidades responsables, los recursos respectivos y el esquema de gestión, financiación, ejecución y seguimiento de esas iniciativas en concordancia con el plan de inversiones del municipio o distrito. </w:t>
      </w:r>
    </w:p>
    <w:p w14:paraId="4604A267"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868" w:name="ver_30072643"/>
      <w:bookmarkEnd w:id="868"/>
    </w:p>
    <w:p w14:paraId="3AD71F5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2.2.2.1.2.3.3. Documento resumen. El Plan de Ordenamiento Territorial deberá tener un documento de resumen o memoria explicativa como medio de divulgación y socialización para que la ciudadanía conozca la síntesis y conclusiones generales del mismo. La memoria debe contener una explicación didáctica de los objetivos, estrategias y políticas del Plan y de las principales líneas de acción emanadas de sus diagnósticos, de forma tal que se presenten sintéticamente los problemas a resolver y las propuestas para la organización del territorio urbano y rural. </w:t>
      </w:r>
    </w:p>
    <w:p w14:paraId="0BD23159"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869" w:name="ver_30072645"/>
      <w:bookmarkEnd w:id="869"/>
    </w:p>
    <w:p w14:paraId="19BBE66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2.2.2.1.2.3.4. Acuerdo que adopta el Plan. El acuerdo que adopta el Plan aprobará en toda su extensión el documento técnico de soporte y los planos generales. También incluirá en su articulado sus componentes y contenidos de acuerdo con la siguiente clasificación: </w:t>
      </w:r>
    </w:p>
    <w:p w14:paraId="588279F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08E11A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Una primera parte que contienen los objetivos, estrategias y políticas de largo y mediano plazo para el manejo de la totalidad del territorio. </w:t>
      </w:r>
    </w:p>
    <w:p w14:paraId="05484FD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22AF37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Una segunda parte que adopta la clasificación del suelo de acuerdo con lo establecido en la ley en urbano, de expansión urbana, suburbano, rural y de protección, así como la definición de cada uno de los respectivos perímetros. Como suelo urbano también deberán definirse las áreas de las cabeceras corregimentales. </w:t>
      </w:r>
    </w:p>
    <w:p w14:paraId="04CA332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C1A529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Una tercera parte donde se determine los usos generales del suelo y los parámetros o rangos para la determinación posterior de las áreas de cesión. </w:t>
      </w:r>
    </w:p>
    <w:p w14:paraId="78DF2D6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4DD3A8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Una cuarta parte que determinan las características básicas, dimensiones y localización de los sistemas estructurantes del territorio municipal, tanto en su parte urbana como rural y describe sus respectivos planes, programas y proyectos para su desarrollo: el plan vial y de transporte, los planes para cada uno de los servicios públicos domiciliarios el plan del espacio público y su articulación con el sistema de soporte ambiental municipal, la estructura y la localización de equipamientos colectivos y los programas de vivienda necesarios para atender la demanda municipal. </w:t>
      </w:r>
    </w:p>
    <w:p w14:paraId="561C42B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53813E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 Una quinta parte que define tanto para los suelos urbanos, como de expansión y suburbanos los distintos tratamientos o potencialidades de utilización a partir de la siguiente categorización: desarrollo, consolidación, renovación urbana, conservación y mejoramiento integral, estableciendo para cada uno de ellos, sus particularidades en cuanto a localización, usos principales, complementarios y compatibles, densidades, índices básicos de edificabilidad y demás contenidos técnicos de planificación y gestión que permitan su aplicación real. </w:t>
      </w:r>
    </w:p>
    <w:p w14:paraId="235FC82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C8E4E1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6. Una sexta parte que establece los planes parciales prioritarios, su delimitación, objetivos y estrategias básicas de diseño e instrumentos para su implementación y la delimitación de las unidades de actuación urbanística a través de las cuales se desarrollarán los planes parciales. </w:t>
      </w:r>
    </w:p>
    <w:p w14:paraId="6A56C4F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DCEEDD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7. Una séptima parte que adoptará el programa de ejecución correspondiente a la vigencia del período de la administración municipal. </w:t>
      </w:r>
    </w:p>
    <w:p w14:paraId="2686BD6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A1CD4A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Parágrafo. Los planos generales que se deben adoptar como mínimo, son los siguientes: </w:t>
      </w:r>
    </w:p>
    <w:p w14:paraId="5F1732B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80219E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El plano que define la estructura general del territorio a largo plazo que contiene los elementos estructurantes del municipio, es decir: los sistemas de comunicación entre las áreas urbanas y rurales del municipio y de éste con los sistemas regionales y nacionales, el señalamiento de áreas de reserva, de conservación y de protección ambiental; la determinación de zonas de alto riesgo para la localización de asentamientos urbanos; la localización de infraestructura y equipamientos básicos; la clasificación del territorio en suelo urbano, rural y de expansión urbana, con la correspondiente determinación de los perímetros. </w:t>
      </w:r>
    </w:p>
    <w:p w14:paraId="23A7C6C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68255D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Los planos de detalle del suelo urbano, que deberán contener como mínimo los usos y tratamientos del suelo, los sistemas estructurantes del territorio, el señalamiento de áreas de reserva, de conservación y de protección del patrimonio histórico, cultural y arquitectónico, y ambiental, las zonas de amenaza y riesgo, la localización de actividades, infraestructuras y equipamientos básicos; el sistema de espacio público y la determinación de planes parciales, la determinación de las áreas morfológicas homogéneas y, la determinación de las zonas o subzonas beneficiarias de las acciones urbanísticas generadoras de la participación en plusvalía. </w:t>
      </w:r>
    </w:p>
    <w:p w14:paraId="0123781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8C1D3C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Los planos de detalle del suelo rural, que deberán contener como mínimo la determinación de los usos, el señalamiento de las áreas de reserva, de conservación y de protección del patrimonio histórico, cultural y arquitectónico, y ambiental, la localización de actividades, infraestructura y equipamientos básicos; y las zonas de amenaza y riesgo. </w:t>
      </w:r>
    </w:p>
    <w:p w14:paraId="4EE57A1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488B32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El plano que refleje el programa de ejecución, que deberá contener como mínimo los programas y proyectos de infraestructura de transporte y servicios públicos domiciliarios que se ejecutarán en el período correspondiente; la localización de los terrenos necesarios para atender la demanda de vivienda de interés social y las zonas de mejoramiento integral; así como los inmuebles y terrenos cuyo desarrollo o construcción se consideren prioritarios. </w:t>
      </w:r>
    </w:p>
    <w:p w14:paraId="1FDEE43A" w14:textId="77777777" w:rsidR="00683694" w:rsidRPr="009342F9" w:rsidRDefault="00683694" w:rsidP="00FC79C1">
      <w:pPr>
        <w:spacing w:after="0" w:line="240" w:lineRule="auto"/>
        <w:jc w:val="both"/>
        <w:rPr>
          <w:rFonts w:ascii="Arial" w:eastAsia="Times New Roman" w:hAnsi="Arial" w:cs="Arial"/>
          <w:color w:val="000000"/>
          <w:lang w:eastAsia="es-CO"/>
        </w:rPr>
      </w:pPr>
    </w:p>
    <w:p w14:paraId="5187967F" w14:textId="745F63EA" w:rsidR="00FC79C1" w:rsidRPr="009342F9" w:rsidRDefault="00FC79C1" w:rsidP="00683694">
      <w:pPr>
        <w:spacing w:after="0" w:line="240" w:lineRule="auto"/>
        <w:jc w:val="center"/>
        <w:rPr>
          <w:rFonts w:ascii="Arial" w:eastAsia="Times New Roman" w:hAnsi="Arial" w:cs="Arial"/>
          <w:b/>
          <w:bCs/>
          <w:color w:val="000000"/>
          <w:lang w:eastAsia="es-CO"/>
        </w:rPr>
      </w:pPr>
      <w:bookmarkStart w:id="870" w:name="ver_30072647"/>
      <w:bookmarkEnd w:id="870"/>
      <w:r w:rsidRPr="009342F9">
        <w:rPr>
          <w:rFonts w:ascii="Arial" w:eastAsia="Times New Roman" w:hAnsi="Arial" w:cs="Arial"/>
          <w:b/>
          <w:bCs/>
          <w:color w:val="000000"/>
          <w:lang w:eastAsia="es-CO"/>
        </w:rPr>
        <w:t>SUBSECCIÓN 4</w:t>
      </w:r>
    </w:p>
    <w:p w14:paraId="59A576FA" w14:textId="77777777" w:rsidR="00FC79C1" w:rsidRPr="009342F9" w:rsidRDefault="00FC79C1" w:rsidP="00683694">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FORMULACIÓN DE LOS PLANES ORDENAMIENTO TERRITORIAL</w:t>
      </w:r>
    </w:p>
    <w:p w14:paraId="3BD243CA"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871" w:name="ver_30072654"/>
      <w:bookmarkEnd w:id="871"/>
    </w:p>
    <w:p w14:paraId="0C7F769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2.2.2.1.2.4.1. Formulación de los planes de ordenamiento territorial. Los municipios o distritos deberán formular el Plan de Ordenamiento Territorial obedeciendo una secuencia de cinco (5) etapas, alrededor de las cuales se articulen los desarrollos temáticos y los procesos del plan: </w:t>
      </w:r>
    </w:p>
    <w:p w14:paraId="10F599B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917861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Etapa preliminar. </w:t>
      </w:r>
    </w:p>
    <w:p w14:paraId="567FA3B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9B8F71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Diagnóstico. </w:t>
      </w:r>
    </w:p>
    <w:p w14:paraId="47EB924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358A4A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Formulación. </w:t>
      </w:r>
    </w:p>
    <w:p w14:paraId="6AB1B79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EDC1D2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Instrumentos de implementación. </w:t>
      </w:r>
    </w:p>
    <w:p w14:paraId="1D57351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59C779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 Seguimiento. </w:t>
      </w:r>
    </w:p>
    <w:p w14:paraId="32E6D32E"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872" w:name="ver_30072656"/>
      <w:bookmarkEnd w:id="872"/>
    </w:p>
    <w:p w14:paraId="5C40683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2.2.2.1.2.4.2. Etapa preliminar. Esta etapa comprende: Un análisis de la factibilidad técnica, institucional y financiera y de los procesos participativos requeridos para la elaboración del plan; la identificación de los recursos y actividades necesarias para la elaboración del plan; la definición de los temas estratégicos y prioritarios de la proyección espacial de actividades en el </w:t>
      </w:r>
      <w:r w:rsidRPr="009342F9">
        <w:rPr>
          <w:rFonts w:ascii="Arial" w:eastAsia="Times New Roman" w:hAnsi="Arial" w:cs="Arial"/>
          <w:color w:val="000000"/>
          <w:lang w:eastAsia="es-CO"/>
        </w:rPr>
        <w:lastRenderedPageBreak/>
        <w:t>territorio en función de la vocación del municipio o distrito acorde con las políticas sociales y económicas definidas en el Plan de Desarrollo y; y; la formulación de la estrategia de articulación con el Plan de Desarrollo y otros planes sectoriales. </w:t>
      </w:r>
    </w:p>
    <w:p w14:paraId="2DEC1F3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67745A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Como resultado de esta etapa debe obtenerse: </w:t>
      </w:r>
    </w:p>
    <w:p w14:paraId="38B7A6A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8813B1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La cartografía que contenga la especialización de la información de fuentes secundarias, como Plan de Desarrollo, proyectos de inversión, dimensiones y atributos y la visión urbano-regional. </w:t>
      </w:r>
    </w:p>
    <w:p w14:paraId="10C4ED2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DCB88B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Escenarios de ordenamiento del territorio para el futuro desarrollo del municipio o distrito. </w:t>
      </w:r>
    </w:p>
    <w:p w14:paraId="344915F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2DBBEC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Documento síntesis de la primera valoración sobre información secundaria, la cual contendrá: el estado general de la información existente, los vacíos y entidades responsables, y las conclusiones que permitan una aproximación a los problemas y conflictos del municipio o distrito. </w:t>
      </w:r>
    </w:p>
    <w:p w14:paraId="06977D31"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873" w:name="ver_30072658"/>
      <w:bookmarkEnd w:id="873"/>
    </w:p>
    <w:p w14:paraId="7CAA64E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2.2.2.1.2.4.3. Diagnóstico. El diagnóstico deberá permitir consolidar la imagen actual del territorio para confrontarlo con la imagen deseada de tal manera que permita formular adecuadamente el propósito general de desarrollo del municipio o distrito en términos espaciales. Dicho diagnóstico deberá incluir el análisis de la visión urbano-regional del municipio o distrito. También incorporará las dimensiones del desarrollo territorial en lo urbano o rural, en lo ambiental, lo económico y social, así como lo cultural y lo institucional. Igualmente, incorporará los atributos o elementos estructurantes del territorio. </w:t>
      </w:r>
    </w:p>
    <w:p w14:paraId="2FEE53F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518781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Como resultado de esta etapa debe obtenerse: </w:t>
      </w:r>
    </w:p>
    <w:p w14:paraId="76C49F4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01FC0E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La presentación del diagnóstico por cada uno de los temas. </w:t>
      </w:r>
    </w:p>
    <w:p w14:paraId="0D387B3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ADAEAD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Los planos técnicos y de percepción social de la visión urbano-regional, las dimensiones y los atributos. </w:t>
      </w:r>
    </w:p>
    <w:p w14:paraId="4B6FB3A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74C42C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Un documento síntesis. </w:t>
      </w:r>
    </w:p>
    <w:p w14:paraId="30C1E81C"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874" w:name="ver_30072661"/>
      <w:bookmarkEnd w:id="874"/>
    </w:p>
    <w:p w14:paraId="19F24D4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2.2.2.1.2.4.4. Formulación. La formulación del plan comprende el proceso de la toma de las decisiones fundamentales acerca del ordenamiento del territorio, las cuales se traducen en los componentes generales y su contenido estructural, urbano y rural. Igualmente deberá incluir las acciones y actuaciones que serán incorporadas en el programa de ejecución. El resultado de esta etapa son los documentos enunciados en la sección anterior, los cuales serán sometidos a la aprobación de las instancias competentes. </w:t>
      </w:r>
    </w:p>
    <w:p w14:paraId="6330057C" w14:textId="5A0C5742"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875" w:name="ver_30072663"/>
      <w:bookmarkEnd w:id="875"/>
    </w:p>
    <w:p w14:paraId="444F42C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2.2.2.1.2.4.5. Implementación. La etapa de implementación comprende las acciones necesarias para hacer realidad los propósitos del Plan de Ordenamiento en aspectos tales como los financieros, de capacidad institucional, de desarrollo técnico y de capacidad de convocatoria y de concertación. </w:t>
      </w:r>
    </w:p>
    <w:p w14:paraId="625C0AF1" w14:textId="24D6C0AC"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876" w:name="ver_30072666"/>
      <w:bookmarkEnd w:id="876"/>
    </w:p>
    <w:p w14:paraId="001C9B6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2.2.2.1.2.4.6. Evaluación y seguimiento. La etapa de evaluación y seguimiento se desarrollará de manera permanente a lo largo de la vigencia del Plan de Ordenamiento con la participación de todas las partes interesadas y en especial del Consejo Consultivo de Ordenamiento Territorial. </w:t>
      </w:r>
    </w:p>
    <w:p w14:paraId="4E9E49D5" w14:textId="53F76CE6" w:rsidR="00683694"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877" w:name="ver_30072668"/>
      <w:bookmarkEnd w:id="877"/>
    </w:p>
    <w:p w14:paraId="250ADE6B" w14:textId="0A890285" w:rsidR="00FC79C1" w:rsidRPr="009342F9" w:rsidRDefault="00FC79C1" w:rsidP="00683694">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SUBSECCIÓN 5</w:t>
      </w:r>
    </w:p>
    <w:p w14:paraId="2D036379" w14:textId="77777777" w:rsidR="00FC79C1" w:rsidRPr="009342F9" w:rsidRDefault="00FC79C1" w:rsidP="00683694">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PROCEDIMIENTO DE ADOPCIÓN DE LOS PLANES</w:t>
      </w:r>
    </w:p>
    <w:p w14:paraId="760BE010"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878" w:name="ver_30072670"/>
      <w:bookmarkEnd w:id="878"/>
    </w:p>
    <w:p w14:paraId="409FAE1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2.2.2.1.2.5.1. Procedimientos. Para asegurar la participación comunal en el ordenamiento territorial, para la concertación y consulta del Plan y para la aprobación del Plan de Ordenamiento Territorial, se seguirá lo dispuesto por los artículos 22, 24 y 25 de la Ley 388 de 1997. </w:t>
      </w:r>
    </w:p>
    <w:p w14:paraId="353348FF" w14:textId="4A2771B5"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879" w:name="ver_30072672"/>
      <w:bookmarkEnd w:id="879"/>
    </w:p>
    <w:p w14:paraId="0B84355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2.2.2.1.2.5.2. Adopción del plan de Ordenamiento Territorial. De conformidad con el artículo 26 de la Ley 388 de 1997, transcurridos sesenta (60) días desde la presentación del proyecto del Plan de Ordenamiento Territorial sin que el Concejo Municipal o Distrital adopte el plan, el alcalde podrá adoptarlo mediante decreto. </w:t>
      </w:r>
    </w:p>
    <w:p w14:paraId="15EA7D78" w14:textId="7E9ED598"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880" w:name="ver_30072674"/>
      <w:bookmarkEnd w:id="880"/>
    </w:p>
    <w:p w14:paraId="5FDC2AF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2.2.2.1.2.5.3. Regulación de aprovechamientos, cesiones y volumetrías. En desarrollo de lo dispuesto en el numeral 2 del artículo 15 de la Ley 388 de 1997, los municipios y distritos deberán adoptar una norma urbanística general, donde se desarrolle la regulación referente a los aprovechamientos, cesiones específicas y volumetrías básicas para la totalidad del suelo urbano, de expansión urbana y suburbano. Esta norma será parte integrante del Plan y su revisión sólo podrá hacerse con ocasión de la revisión del componente urbano del plan, salvo en el caso de la formulación de planes parciales y unidades de actuación urbanística. </w:t>
      </w:r>
    </w:p>
    <w:p w14:paraId="163CB70D" w14:textId="2A47E7E1"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881" w:name="ver_30072677"/>
      <w:bookmarkEnd w:id="881"/>
    </w:p>
    <w:p w14:paraId="3247346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2.2.2.1.2.5.4. Consejo consultivo de ordenamiento. El Consejo Consultivo de Ordenamiento será una instancia asesora de la administración municipal o distrital en materia de ordenamiento territorial, que deberán conformar los alcaldes de municipios con población superior a los treinta mil (30.000) habitantes. Estará integrado por funcionarios de la administración y por representantes de las organizaciones gremiales, profesionales, ecológicas, cívicas y comunitarias vinculadas con el desarrollo urbano. Así mismo los curadores urbanos forman parte de este consejo en las ciudades donde exista esta institución. </w:t>
      </w:r>
    </w:p>
    <w:p w14:paraId="70B1521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DA728E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Serán funciones de este Consejo, además de las previstas en la Ley y este Decreto, el seguimiento del Plan de Ordenamiento y proponer sus ajustes y revisiones cuando sea del caso. </w:t>
      </w:r>
    </w:p>
    <w:p w14:paraId="70D9ED9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37C2CA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Los miembros de este Consejo podrán ser escogidos entre los integrantes del Consejo Territorial de Planeación. </w:t>
      </w:r>
    </w:p>
    <w:p w14:paraId="47D54738" w14:textId="005F290E"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882" w:name="ver_30072682"/>
      <w:bookmarkEnd w:id="882"/>
    </w:p>
    <w:p w14:paraId="5C1A066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2.2.2.1.2.5.5. Aprobación y adopción de POT. Cuando los municipios o distritos no hayan aprobado y adoptado los Planes de Ordenamiento Territorial o se encuentren en proceso de formulación conforme a lo dispuesto en las Leyes 388 de 1997, 507 y 546 de 1999, los gobernadores darán instrucciones a las oficinas de planeación de los departamentos respectivos para que, en coordinación con los municipios o distritos correspondientes, acometan su elaboración, siguiendo los procedimientos de concertación y aprobación, establecidos en las Leyes 388 de 1997 y 507 de 1999, así como en sus decretos reglamentarios. </w:t>
      </w:r>
    </w:p>
    <w:p w14:paraId="7C74B8D6" w14:textId="77777777" w:rsidR="00AA5FD1"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883" w:name="ver_30072685"/>
      <w:bookmarkEnd w:id="883"/>
    </w:p>
    <w:p w14:paraId="7B68966A" w14:textId="0D226B22" w:rsidR="00FC79C1" w:rsidRPr="009342F9" w:rsidRDefault="00FC79C1" w:rsidP="00FC79C1">
      <w:pPr>
        <w:spacing w:after="0" w:line="240" w:lineRule="auto"/>
        <w:jc w:val="both"/>
        <w:rPr>
          <w:rFonts w:ascii="Arial" w:eastAsia="Times New Roman" w:hAnsi="Arial" w:cs="Arial"/>
          <w:color w:val="000000"/>
          <w:lang w:eastAsia="es-CO"/>
        </w:rPr>
      </w:pPr>
      <w:r w:rsidRPr="231E957E">
        <w:rPr>
          <w:rFonts w:ascii="Arial" w:eastAsia="Times New Roman" w:hAnsi="Arial" w:cs="Arial"/>
          <w:color w:val="000000" w:themeColor="text1"/>
          <w:lang w:eastAsia="es-CO"/>
        </w:rPr>
        <w:t>Artículo 2.2.2.1.2.5.6. Régimen de transición para expedición de licencias urbanísticas. Mientras se expiden los planes de ordenamiento territorial de los municipios y distritos, las licencias urbanísticas continuarán expidiéndose de conformidad con los planes de desarrollo, los planes maestros de infraestructura, los códigos de urbanismo y normas urbanísticas vigentes en las materias correspondientes. </w:t>
      </w:r>
    </w:p>
    <w:p w14:paraId="2F04DE06" w14:textId="59652F22" w:rsidR="00683694"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884" w:name="ver_30072688"/>
      <w:bookmarkEnd w:id="884"/>
    </w:p>
    <w:p w14:paraId="3627510E" w14:textId="19CE1CF2" w:rsidR="00FC79C1" w:rsidRPr="009342F9" w:rsidRDefault="00FC79C1" w:rsidP="00683694">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SUBSECCIÓN 6</w:t>
      </w:r>
    </w:p>
    <w:p w14:paraId="1D5D463A" w14:textId="77777777" w:rsidR="00FC79C1" w:rsidRPr="009342F9" w:rsidRDefault="00FC79C1" w:rsidP="00683694">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REVISIÓN Y AJUSTE DE LOS POT</w:t>
      </w:r>
    </w:p>
    <w:p w14:paraId="1E5BE521"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885" w:name="ver_30072689"/>
      <w:bookmarkEnd w:id="885"/>
    </w:p>
    <w:p w14:paraId="4671F67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Artículo 2.2.2.1.2.6.1. Revisión de los planes de ordenamiento territorial. Los Concejos municipales o distritales, por iniciativa del alcalde y en el comienzo del período constitucional de éste, podrán revisar y ajustar los contenidos de largo, mediano o corto plazo de los Planes de Ordenamiento Territorial, siempre y cuando haya vencido el término de vigencia de cada uno de ellos, según lo establecido en dichos planes. </w:t>
      </w:r>
    </w:p>
    <w:p w14:paraId="1D08CDA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5C76A9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Tales revisiones se harán por los motivos y condiciones contemplados en los mismos Planes de Ordenamiento Territorial para su revisión, según los criterios que establece el artículo 28 de la Ley 388 de 1997. </w:t>
      </w:r>
    </w:p>
    <w:p w14:paraId="7E522A8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135817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Por razones de excepcional interés público, o de fuerza mayor o caso fortuito, el alcalde municipal o distrital podrá iniciar en cualquier momento el proceso de revisión del Plan o de alguno de sus contenidos. Serán circunstancias de excepcional interés público, o de fuerza mayor o caso fortuito, que justifiquen la revisión del Plan de Ordenamiento las siguientes: </w:t>
      </w:r>
    </w:p>
    <w:p w14:paraId="6CB55E2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4EA759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La declaratoria de desastre o calamidad pública de que tratan los artículos 18 y 48 del Decreto Ley 919 de 1989, por la ocurrencia súbita de desastres de origen natural o antrópico. </w:t>
      </w:r>
    </w:p>
    <w:p w14:paraId="31ADA69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DDC403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Los resultados de estudios técnicos detallados sobre amenazas, riesgos y vulnerabilidad que justifiquen la recalificación de áreas de riesgo no mitigable y otras condiciones de restricción diferentes de las originalmente adoptadas en el Plan de Ordenamiento Territorial vigente. </w:t>
      </w:r>
    </w:p>
    <w:p w14:paraId="452A95B6" w14:textId="5F3DA804"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886" w:name="ver_30072693"/>
      <w:bookmarkEnd w:id="886"/>
    </w:p>
    <w:p w14:paraId="0DBE34F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2.2.2.1.2.6.2. Modificación excepcional de normas urbanísticas. De conformidad con lo establecido en el artículo 15 de la Ley 388 de 1997, adicionado por el artículo 1° de la Ley 902 de 2004, la modificación excepcional de alguna o algunas de las normas urbanísticas de carácter estructural o general del Plan de Ordenamiento Territorial, que tengan por objeto asegurar la consecución de los objetivos y estrategias territoriales de largo y mediano plazo definidas en los componentes General y Urbano del Plan de Ordenamiento Territorial, podrá emprenderse en cualquier momento, a iniciativa del Alcalde municipal o distrital, siempre y cuando se demuestren y soporten técnicamente los motivos que dan lugar a su modificación. </w:t>
      </w:r>
    </w:p>
    <w:p w14:paraId="5502DD5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9F33FB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 modificación excepcional de estas normas se sujetará en todo a las previsiones vigentes en el Plan de Ordenamiento Territorial, de acuerdo con la jerarquía de prevalencia de los componentes, contenidos y demás normas urbanísticas que lo integran. </w:t>
      </w:r>
    </w:p>
    <w:p w14:paraId="69CE32CA" w14:textId="42212D35"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887" w:name="ver_30072695"/>
      <w:bookmarkEnd w:id="887"/>
    </w:p>
    <w:p w14:paraId="267F577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2.2.2.1.2.6.3. Procedimiento para aprobar y adoptar las revisiones. Todo proyecto de revisión y modificación del Plan de Ordenamiento Territorial o de alguno de sus contenidos se someterá a los mismos trámites de concertación, consulta y aprobación previstos en los artículos 24 y 25 de la Ley 388 de 1997. </w:t>
      </w:r>
    </w:p>
    <w:p w14:paraId="7E4B08C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F9DB6D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Ante la declaratoria de desastre o calamidad pública, los trámites de concertación interinstitucional y consulta ciudadana del proyecto de revisión podrán ser adelantados paralelamente ante las instancias y autoridades competentes. </w:t>
      </w:r>
    </w:p>
    <w:p w14:paraId="62E2ACE3" w14:textId="6B0FF268"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D0F77D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En todo caso, la revisión y ajuste de los Planes de Ordenamiento o de alguno de sus contenidos procederá cuando se cumplan las condiciones y requisitos que para tal efecto se determinan en la Ley 388 de 1997 y en sus decretos reglamentarios. </w:t>
      </w:r>
    </w:p>
    <w:p w14:paraId="5FC45F03" w14:textId="2A81628F"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888" w:name="ver_30072697"/>
      <w:bookmarkEnd w:id="888"/>
    </w:p>
    <w:p w14:paraId="0B7DE1C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2.2.2.1.2.6.4. Adopción por decreto. Transcurridos noventa (90) días desde la presentación del proyecto de revisión del Plan de Ordenamiento Territorial o de alguno de sus </w:t>
      </w:r>
      <w:r w:rsidRPr="009342F9">
        <w:rPr>
          <w:rFonts w:ascii="Arial" w:eastAsia="Times New Roman" w:hAnsi="Arial" w:cs="Arial"/>
          <w:color w:val="000000"/>
          <w:lang w:eastAsia="es-CO"/>
        </w:rPr>
        <w:lastRenderedPageBreak/>
        <w:t xml:space="preserve">contenidos al Concejo Municipal o Distrital sin que este la adopte, el </w:t>
      </w:r>
      <w:proofErr w:type="gramStart"/>
      <w:r w:rsidRPr="009342F9">
        <w:rPr>
          <w:rFonts w:ascii="Arial" w:eastAsia="Times New Roman" w:hAnsi="Arial" w:cs="Arial"/>
          <w:color w:val="000000"/>
          <w:lang w:eastAsia="es-CO"/>
        </w:rPr>
        <w:t>Alcalde</w:t>
      </w:r>
      <w:proofErr w:type="gramEnd"/>
      <w:r w:rsidRPr="009342F9">
        <w:rPr>
          <w:rFonts w:ascii="Arial" w:eastAsia="Times New Roman" w:hAnsi="Arial" w:cs="Arial"/>
          <w:color w:val="000000"/>
          <w:lang w:eastAsia="es-CO"/>
        </w:rPr>
        <w:t xml:space="preserve"> podrá adoptarlo por decreto. </w:t>
      </w:r>
    </w:p>
    <w:p w14:paraId="7430CB94" w14:textId="461A588F"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889" w:name="ver_30072699"/>
      <w:bookmarkEnd w:id="889"/>
    </w:p>
    <w:p w14:paraId="0EFEEBB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2.2.2.1.2.6.5. Documentos. El proyecto de revisión del Plan de Ordenamiento Territorial o de alguno de sus contenidos deberá acompañarse, por lo menos, de los siguientes documentos y estudios técnicos, sin perjuicio de aquellos que sean necesarios para la correcta sustentación </w:t>
      </w:r>
      <w:proofErr w:type="gramStart"/>
      <w:r w:rsidRPr="009342F9">
        <w:rPr>
          <w:rFonts w:ascii="Arial" w:eastAsia="Times New Roman" w:hAnsi="Arial" w:cs="Arial"/>
          <w:color w:val="000000"/>
          <w:lang w:eastAsia="es-CO"/>
        </w:rPr>
        <w:t>del mismo</w:t>
      </w:r>
      <w:proofErr w:type="gramEnd"/>
      <w:r w:rsidRPr="009342F9">
        <w:rPr>
          <w:rFonts w:ascii="Arial" w:eastAsia="Times New Roman" w:hAnsi="Arial" w:cs="Arial"/>
          <w:color w:val="000000"/>
          <w:lang w:eastAsia="es-CO"/>
        </w:rPr>
        <w:t xml:space="preserve"> a juicio de las distintas instancias y autoridades de consulta, concertación y aprobación: </w:t>
      </w:r>
    </w:p>
    <w:p w14:paraId="64A4DA1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3506B3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Memoria justificativa indicando con precisión la necesidad, la conveniencia y el propósito de las modificaciones que se pretenden efectuar. Adicionalmente, se anexará la descripción técnica y la evaluación de sus impactos sobre el Plan de Ordenamiento vigente. </w:t>
      </w:r>
    </w:p>
    <w:p w14:paraId="5F2D1CC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0B5E04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Proyecto de Acuerdo con los anexos, planos y demás documentación requerida para la aprobación de la revisión. </w:t>
      </w:r>
    </w:p>
    <w:p w14:paraId="3C6AB3E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4856FA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Documento de seguimiento y evaluación de los resultados obtenidos respecto de los objetivos planteados en el Plan de Ordenamiento Territorial vigente. </w:t>
      </w:r>
    </w:p>
    <w:p w14:paraId="1ACC6774" w14:textId="76915649" w:rsidR="00683694"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890" w:name="ver_30072709"/>
      <w:bookmarkEnd w:id="890"/>
    </w:p>
    <w:p w14:paraId="4D148148" w14:textId="1339317B" w:rsidR="00FC79C1" w:rsidRPr="009342F9" w:rsidRDefault="00FC79C1" w:rsidP="00683694">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SUBSECCIÓN 7</w:t>
      </w:r>
    </w:p>
    <w:p w14:paraId="26B09467" w14:textId="77777777" w:rsidR="00FC79C1" w:rsidRPr="009342F9" w:rsidRDefault="00FC79C1" w:rsidP="00683694">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SERVICIOS DE ALTO IMPACTO REFERIDOS A LA PROSTITUCIÓN Y ACTIVIDADES AFINES</w:t>
      </w:r>
    </w:p>
    <w:p w14:paraId="5F3A06D0"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891" w:name="ver_30072710"/>
      <w:bookmarkEnd w:id="891"/>
    </w:p>
    <w:p w14:paraId="502439C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2.2.2.1.2.7.1. Incompatibilidad y localización. En los Planes de Ordenamiento Territorial o en los instrumentos que los desarrollen o complementen no se podrán establecer como permitidos, los usos que comprendan servicios de alto impacto referidos a la prostitución y actividades afines, en las áreas, zonas o sectores en donde se prevea el desenvolvimiento del uso residencial o cualquier tipo de uso dotacional educativo, independientemente de que alguno de estos últimos se contemple con carácter de principal, complementario, compatible o restringido, o mezclado con otros usos. </w:t>
      </w:r>
    </w:p>
    <w:p w14:paraId="18C91D1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66E1C7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El desarrollo de los servicios de alto impacto referidos a la prostitución y actividades </w:t>
      </w:r>
      <w:proofErr w:type="gramStart"/>
      <w:r w:rsidRPr="009342F9">
        <w:rPr>
          <w:rFonts w:ascii="Arial" w:eastAsia="Times New Roman" w:hAnsi="Arial" w:cs="Arial"/>
          <w:color w:val="000000"/>
          <w:lang w:eastAsia="es-CO"/>
        </w:rPr>
        <w:t>afines,</w:t>
      </w:r>
      <w:proofErr w:type="gramEnd"/>
      <w:r w:rsidRPr="009342F9">
        <w:rPr>
          <w:rFonts w:ascii="Arial" w:eastAsia="Times New Roman" w:hAnsi="Arial" w:cs="Arial"/>
          <w:color w:val="000000"/>
          <w:lang w:eastAsia="es-CO"/>
        </w:rPr>
        <w:t xml:space="preserve"> deberá regularse de manera especial en los Planes de Ordenamiento Territorial o en los instrumentos que los desarrollen o reglamenten, los cuales precisarán los sitios específicos para su localización, las condiciones y restricciones a las que deben sujetarse. </w:t>
      </w:r>
    </w:p>
    <w:p w14:paraId="794655D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A58393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caso de presentarse colindancia entre las áreas, zonas o sectores donde se permitan los usos residencial e institucional educativo con aquellas áreas, zonas o sectores donde se prevea la ubicación de los usos de alto impacto referidos a la prostitución y actividades afines, los Planes de Ordenamiento o los instrumentos que los desarrollen o complementen, deberán prever las situaciones en las que priman los usos residencial e institucional educativo sobre los usos incompatibles enunciados en el presente artículo. </w:t>
      </w:r>
    </w:p>
    <w:p w14:paraId="4598465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DCFD43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Para la delimitación de las áreas, las zonas o los sectores en los que se permitan los servicios de alto impacto referidos a la prostitución y actividades afines se tendrán en cuenta las características y las formas de convivencia de cada municipio o distrito. </w:t>
      </w:r>
    </w:p>
    <w:p w14:paraId="37027487" w14:textId="74E1F5F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892" w:name="ver_30072711"/>
      <w:bookmarkEnd w:id="892"/>
    </w:p>
    <w:p w14:paraId="743D1F8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2.2.2.1.2.7.2. Condiciones para el desarrollo de servicios de alto impacto referidos a la prostitución. Además de la normatividad especial que regule la materia, los inmuebles en los que se presten servicios de alto impacto referidos a la prostitución y actividades afines, deberán cumplir con las siguientes condiciones: </w:t>
      </w:r>
    </w:p>
    <w:p w14:paraId="67F0737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w:t>
      </w:r>
    </w:p>
    <w:p w14:paraId="0E8B414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Contar con la respectiva licencia de construcción autorizando el uso en el inmueble. </w:t>
      </w:r>
    </w:p>
    <w:p w14:paraId="0F54037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516527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Desarrollar y localizar la actividad y sus servicios complementarios, incluidos los estacionamientos que exigieran las normas urbanísticas, exclusivamente al interior del predio. </w:t>
      </w:r>
    </w:p>
    <w:p w14:paraId="64673FD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809821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Las demás que determinen las autoridades locales. </w:t>
      </w:r>
    </w:p>
    <w:p w14:paraId="5ECB5256" w14:textId="6665305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893" w:name="ver_30072712"/>
      <w:bookmarkEnd w:id="893"/>
    </w:p>
    <w:p w14:paraId="3922A17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2.2.2.1.2.7.3. Programas de reordenamiento. En los actos modificatorios de los Planes de Ordenamiento Territorial, que resulten de los procesos de revisión de </w:t>
      </w:r>
      <w:proofErr w:type="gramStart"/>
      <w:r w:rsidRPr="009342F9">
        <w:rPr>
          <w:rFonts w:ascii="Arial" w:eastAsia="Times New Roman" w:hAnsi="Arial" w:cs="Arial"/>
          <w:color w:val="000000"/>
          <w:lang w:eastAsia="es-CO"/>
        </w:rPr>
        <w:t>los mismos</w:t>
      </w:r>
      <w:proofErr w:type="gramEnd"/>
      <w:r w:rsidRPr="009342F9">
        <w:rPr>
          <w:rFonts w:ascii="Arial" w:eastAsia="Times New Roman" w:hAnsi="Arial" w:cs="Arial"/>
          <w:color w:val="000000"/>
          <w:lang w:eastAsia="es-CO"/>
        </w:rPr>
        <w:t>, se contemplarán las condiciones para la relocalización de los usos incompatibles mencionados en este decreto. Dicha relocalización se sujetará, como mínimo, a las siguientes reglas: </w:t>
      </w:r>
    </w:p>
    <w:p w14:paraId="0098D4C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227B6E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Los municipios y distritos fijarán términos máximos improrrogables, que no podrán ser inferiores a uno (1) ni superiores a dos (2) períodos constitucionales del alcalde, para la relocalización de los establecimientos existentes permitidos por las normas anteriores al respectivo acto de revisión de sus Planes de Ordenamiento Territorial, en los que se desenvuelvan los usos incompatibles mencionados en el presente capítulo. </w:t>
      </w:r>
    </w:p>
    <w:p w14:paraId="489F8E6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C26373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Podrán establecerse beneficios para fomentar la relocalización concertada, sin perjuicio del término máximo señalado en el numeral anterior. </w:t>
      </w:r>
    </w:p>
    <w:p w14:paraId="512193B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02BF58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Vencido el término máximo de relocalización previsto en el presente artículo, el desarrollo de los usos incompatibles de alto impacto referidos a la prostitución y actividades afines acarreará las sanciones previstas en el artículo 104, numeral 4, de la Ley 388 de 1997, modificado por el artículo 2° de la Ley 810 de 2003. </w:t>
      </w:r>
    </w:p>
    <w:p w14:paraId="0176D1B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657867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Los alcaldes municipales o distritales adoptarán mecanismos ágiles para informar a los propietarios o administradores de los establecimientos objeto de relocalización, sobre los sitios exactos en donde pueden ubicarlos, los plazos y las condiciones para ello, de acuerdo con las normas del respectivo Plan de Ordenamiento Territorial, o los instrumentos que lo desarrollen y reglamenten. </w:t>
      </w:r>
    </w:p>
    <w:p w14:paraId="26CE2CD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E9A2BF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En los programas de reordenamiento se debe garantizar, por lo menos, la participación de las autoridades competentes en el municipio o distrito en materia de bienestar social, salubridad, seguridad y medio ambiente. </w:t>
      </w:r>
    </w:p>
    <w:p w14:paraId="38C3530B" w14:textId="5579D7F9" w:rsidR="00683694"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894" w:name="ver_30072713"/>
      <w:bookmarkEnd w:id="894"/>
    </w:p>
    <w:p w14:paraId="7D7EADC8" w14:textId="142BECB1" w:rsidR="00FC79C1" w:rsidRPr="009342F9" w:rsidRDefault="00FC79C1" w:rsidP="00683694">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SUBSECCIÓN 8</w:t>
      </w:r>
    </w:p>
    <w:p w14:paraId="7FDDBE60" w14:textId="77777777" w:rsidR="00FC79C1" w:rsidRPr="009342F9" w:rsidRDefault="00FC79C1" w:rsidP="00683694">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ARMONIZACIÓN DE USOS DEL SUELO EN LOS POT Y EL DESARROLLO DE PROYECTOS, OBRAS O ACTIVIDADES DE UTILIDAD PÚBLICA Y DE INTERÉS SOCIAL</w:t>
      </w:r>
    </w:p>
    <w:p w14:paraId="78DD584A"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895" w:name="ver_30072714"/>
      <w:bookmarkEnd w:id="895"/>
    </w:p>
    <w:p w14:paraId="5E9112F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2.2.2.1.2.8.1. Requisito previo para los proyectos, obras o actividades de utilidad pública. Los proyectos, obras o actividades considerados por el legislador de utilidad pública e interés social cuya ejecución corresponda a la Nación, podrán ser adelantados por esta en todo el territorio nacional, de manera directa o indirecta a través de cualquier modalidad contractual, previa la expedición de la respectiva licencia o del correspondiente instrumento administrativo de manejo y control ambiental por parte de la autoridad ambiental correspondiente. </w:t>
      </w:r>
    </w:p>
    <w:p w14:paraId="7E920A0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397055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De igual manera, se podrán ejecutar los proyectos, obras o actividades que sean considerados de utilidad pública e interés social que no requieran de la obtención previa de licencias o demás instrumentos administrativos de manejo y control ambiental. </w:t>
      </w:r>
    </w:p>
    <w:p w14:paraId="5FA256A8" w14:textId="71FE802E"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w:t>
      </w:r>
      <w:bookmarkStart w:id="896" w:name="ver_30072715"/>
      <w:bookmarkEnd w:id="896"/>
    </w:p>
    <w:p w14:paraId="71E34CB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2.2.2.1.2.8.2. Oponibilidad de los planes de ordenamiento territorial. Los planes, planes básicos o esquemas de ordenamiento territorial de los municipios y distritos en ningún caso serán oponibles a la ejecución de proyectos, obras o actividades a los que se refiere la presente subsección. </w:t>
      </w:r>
    </w:p>
    <w:p w14:paraId="2F88911E" w14:textId="0296C81E"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897" w:name="ver_30072716"/>
      <w:bookmarkEnd w:id="897"/>
    </w:p>
    <w:p w14:paraId="2534016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2.2.2.1.2.8.3. Información de los proyectos, obras o actividades de utilidad pública. La decisión sobre la ejecución de los proyectos, obras o actividades a que se refiere la presente subsección, deberán ser informados por la autoridad correspondiente al municipio o distrito en cuya jurisdicción se pretenda realizar. </w:t>
      </w:r>
    </w:p>
    <w:p w14:paraId="57263CD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0F8999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Los interesados en los proyectos, obras o actividades deberán entregar a los municipios y distritos la información pertinente sobre tales actividades, con el fin de que sea incorporados en el proceso de formulación, concertación, adopción, revisión y ajuste de los planes, planes básicos o esquemas de ordenamiento territorial de los municipios y distritos. </w:t>
      </w:r>
    </w:p>
    <w:p w14:paraId="48EB518B" w14:textId="16B3F996" w:rsidR="00683694"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898" w:name="ver_30072717"/>
      <w:bookmarkEnd w:id="898"/>
    </w:p>
    <w:p w14:paraId="7F0CA824" w14:textId="7423EDD5" w:rsidR="00FC79C1" w:rsidRPr="009342F9" w:rsidRDefault="00FC79C1" w:rsidP="00683694">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SECCIÓN 3</w:t>
      </w:r>
    </w:p>
    <w:p w14:paraId="239B7287" w14:textId="77777777" w:rsidR="00FC79C1" w:rsidRDefault="00FC79C1" w:rsidP="00683694">
      <w:pPr>
        <w:spacing w:after="0" w:line="240" w:lineRule="auto"/>
        <w:jc w:val="center"/>
        <w:rPr>
          <w:rFonts w:ascii="Arial" w:eastAsia="Times New Roman" w:hAnsi="Arial" w:cs="Arial"/>
          <w:b/>
          <w:bCs/>
          <w:color w:val="000000"/>
          <w:lang w:eastAsia="es-CO"/>
        </w:rPr>
      </w:pPr>
      <w:r w:rsidRPr="231E957E">
        <w:rPr>
          <w:rFonts w:ascii="Arial" w:eastAsia="Times New Roman" w:hAnsi="Arial" w:cs="Arial"/>
          <w:b/>
          <w:color w:val="000000" w:themeColor="text1"/>
          <w:lang w:eastAsia="es-CO"/>
        </w:rPr>
        <w:t>INCORPORACIÓN DE LA GESTIÓN DEL RIESGO EN LOS PLANES DE ORDENAMIENTO TERRITORIAL</w:t>
      </w:r>
    </w:p>
    <w:p w14:paraId="2BD598B6" w14:textId="77777777" w:rsidR="007C7D44" w:rsidRPr="009342F9" w:rsidRDefault="007C7D44" w:rsidP="00683694">
      <w:pPr>
        <w:spacing w:after="0" w:line="240" w:lineRule="auto"/>
        <w:jc w:val="center"/>
        <w:rPr>
          <w:rFonts w:ascii="Arial" w:eastAsia="Times New Roman" w:hAnsi="Arial" w:cs="Arial"/>
          <w:b/>
          <w:bCs/>
          <w:color w:val="000000"/>
          <w:lang w:eastAsia="es-CO"/>
        </w:rPr>
      </w:pPr>
    </w:p>
    <w:p w14:paraId="1D856BDA" w14:textId="3C504AFF" w:rsidR="00FC79C1" w:rsidRPr="009342F9" w:rsidRDefault="00FC79C1" w:rsidP="00683694">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SUBSECCIÓN 1</w:t>
      </w:r>
    </w:p>
    <w:p w14:paraId="228756A0" w14:textId="77777777" w:rsidR="00FC79C1" w:rsidRPr="009342F9" w:rsidRDefault="00FC79C1" w:rsidP="00683694">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DISPOSICIONES GENERALES</w:t>
      </w:r>
    </w:p>
    <w:p w14:paraId="3D12F617"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899" w:name="ver_30072718"/>
      <w:bookmarkEnd w:id="899"/>
    </w:p>
    <w:p w14:paraId="1B77B28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2.2.2.1.3.1.1. Objeto y ámbito de aplicación. Las disposiciones contenidas en el presente capítulo establecen las condiciones y escalas de detalle para incorporar de manera gradual la gestión del riesgo en la revisión de los contenidos de mediano y largo plazo de los planes de ordenamiento territorial municipal y distrital o en la expedición de un nuevo plan. </w:t>
      </w:r>
    </w:p>
    <w:p w14:paraId="5A08237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0600A30" w14:textId="77777777" w:rsidR="005565AB"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Parágrafo. De conformidad con lo previsto por la Ley 388 de 1997 y el artículo 189 del Decreto-ley 019 de 2012, los estudios básicos de que trata en el artículo denominado Estudios básicos para la revisión o expedición de Planes de Ordenamiento Territorial (POT) contenido en la presente subsección, deben hacer parte de los proyectos de revisión de los contenidos de mediano y largo plazo de los planes de ordenamiento territorial o la expedición de un nuevo plan. </w:t>
      </w:r>
    </w:p>
    <w:p w14:paraId="42781DBA" w14:textId="77777777" w:rsidR="005565AB" w:rsidRDefault="005565AB" w:rsidP="00FC79C1">
      <w:pPr>
        <w:spacing w:after="0" w:line="240" w:lineRule="auto"/>
        <w:jc w:val="both"/>
        <w:rPr>
          <w:rFonts w:ascii="Arial" w:eastAsia="Times New Roman" w:hAnsi="Arial" w:cs="Arial"/>
          <w:color w:val="000000"/>
          <w:lang w:eastAsia="es-CO"/>
        </w:rPr>
      </w:pPr>
    </w:p>
    <w:p w14:paraId="05460200" w14:textId="6F73A46F"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El </w:t>
      </w:r>
      <w:proofErr w:type="gramStart"/>
      <w:r w:rsidRPr="009342F9">
        <w:rPr>
          <w:rFonts w:ascii="Arial" w:eastAsia="Times New Roman" w:hAnsi="Arial" w:cs="Arial"/>
          <w:color w:val="000000"/>
          <w:lang w:eastAsia="es-CO"/>
        </w:rPr>
        <w:t>Alcalde</w:t>
      </w:r>
      <w:proofErr w:type="gramEnd"/>
      <w:r w:rsidRPr="009342F9">
        <w:rPr>
          <w:rFonts w:ascii="Arial" w:eastAsia="Times New Roman" w:hAnsi="Arial" w:cs="Arial"/>
          <w:color w:val="000000"/>
          <w:lang w:eastAsia="es-CO"/>
        </w:rPr>
        <w:t xml:space="preserve"> municipal o Distrital no podrá someter a consideración de la Corporación Autónoma Regional o autoridad ambiental correspondiente, los proyectos de revisión referidos sin el cumplimiento de este requisito. </w:t>
      </w:r>
    </w:p>
    <w:p w14:paraId="69C7651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17DC17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En ningún caso los concejos municipales o distritales podrán conferir autorizaciones con el fin de que los </w:t>
      </w:r>
      <w:proofErr w:type="gramStart"/>
      <w:r w:rsidRPr="009342F9">
        <w:rPr>
          <w:rFonts w:ascii="Arial" w:eastAsia="Times New Roman" w:hAnsi="Arial" w:cs="Arial"/>
          <w:color w:val="000000"/>
          <w:lang w:eastAsia="es-CO"/>
        </w:rPr>
        <w:t>Alcaldes</w:t>
      </w:r>
      <w:proofErr w:type="gramEnd"/>
      <w:r w:rsidRPr="009342F9">
        <w:rPr>
          <w:rFonts w:ascii="Arial" w:eastAsia="Times New Roman" w:hAnsi="Arial" w:cs="Arial"/>
          <w:color w:val="000000"/>
          <w:lang w:eastAsia="es-CO"/>
        </w:rPr>
        <w:t xml:space="preserve"> condicionen la realización de los estudios de que trata el artículo denominado Estudios básicos para la revisión o expedición de Planes de Ordenamiento Territorial (POT) contenido en la presente subsección, con posterioridad a la revisión del Plan, ni sujetos a autorizaciones posteriores del alcalde municipal o distrital. </w:t>
      </w:r>
    </w:p>
    <w:p w14:paraId="2F128BF9" w14:textId="14089CD3"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900" w:name="ver_30072719"/>
      <w:bookmarkEnd w:id="900"/>
    </w:p>
    <w:p w14:paraId="7590A16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2.2.2.1.3.1.2. Estudios técnicos para la incorporación de la gestión del riesgo en la planificación territorial. Teniendo en cuenta el principio de gradualidad de que trata la Ley 1523 de 2012, se deben realizar los estudios básicos para la revisión de los contenidos de mediano y largo plazo de los planes de ordenamiento territorial o la expedición de nuevos planes y en su ejecución se deben realizar los estudios detallados. </w:t>
      </w:r>
    </w:p>
    <w:p w14:paraId="659DE4AA" w14:textId="02FF237B"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901" w:name="ver_30072720"/>
      <w:bookmarkEnd w:id="901"/>
    </w:p>
    <w:p w14:paraId="755A2DE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Artículo 2.2.2.1.3.1.3. Estudios básicos para la revisión o expedición de Planes de Ordenamiento Territorial (POT). De conformidad con lo dispuesto en el artículo anterior para la revisión de los contenidos de mediano y largo plazo de los planes de ordenamiento territorial o la expedición de nuevos planes, se deben elaborar estudios en los suelos urbanos, de expansión urbana y rural para los fenómenos de inundación, avenidas torrenciales y movimientos en masa, que contienen: </w:t>
      </w:r>
    </w:p>
    <w:p w14:paraId="1F9F766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38DD03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La delimitación y zonificación de las áreas de amenaza. </w:t>
      </w:r>
    </w:p>
    <w:p w14:paraId="3278B6E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C0E74B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La delimitación y zonificación de las áreas con condición de amenaza en las que se requiere adelantar los estudios detallados a que se refiere el siguiente artículo. </w:t>
      </w:r>
    </w:p>
    <w:p w14:paraId="31A1844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C5C56C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La delimitación y zonificación de las áreas con condición de riesgo en las que se requiere adelantar los estudios detallados a que se refiere el siguiente artículo. </w:t>
      </w:r>
    </w:p>
    <w:p w14:paraId="1D7B13D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5B44A3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La determinación de las medidas de intervención, orientadas a establecer restricciones y condicionamientos mediante la determinación de normas urbanísticas. </w:t>
      </w:r>
    </w:p>
    <w:p w14:paraId="408FDB2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9D813D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1°. Para efectos de la aplicación de lo dispuesto en la presente sección, se adoptan las siguientes definiciones: </w:t>
      </w:r>
    </w:p>
    <w:p w14:paraId="217E8F7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F5309C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Áreas con condición de amenaza, son las zonas o áreas del territorio municipal zonificadas como de amenaza alta y media en las que se establezca en la revisión o expedición de un nuevo POT la necesidad de clasificarlas como suelo urbano, de expansión urbana, rural suburbano o centros poblados rurales para permitir su desarrollo. </w:t>
      </w:r>
    </w:p>
    <w:p w14:paraId="7FAAAB3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1778FA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Áreas con condición de riesgo, corresponden a las zonas o áreas del territorio municipal clasificadas como de amenaza alta que estén urbanizadas, ocupadas o </w:t>
      </w:r>
      <w:proofErr w:type="gramStart"/>
      <w:r w:rsidRPr="009342F9">
        <w:rPr>
          <w:rFonts w:ascii="Arial" w:eastAsia="Times New Roman" w:hAnsi="Arial" w:cs="Arial"/>
          <w:color w:val="000000"/>
          <w:lang w:eastAsia="es-CO"/>
        </w:rPr>
        <w:t>edificadas</w:t>
      </w:r>
      <w:proofErr w:type="gramEnd"/>
      <w:r w:rsidRPr="009342F9">
        <w:rPr>
          <w:rFonts w:ascii="Arial" w:eastAsia="Times New Roman" w:hAnsi="Arial" w:cs="Arial"/>
          <w:color w:val="000000"/>
          <w:lang w:eastAsia="es-CO"/>
        </w:rPr>
        <w:t xml:space="preserve"> así como en las que se encuentren elementos del sistema vial, equipamientos (salud, educación, otros) e infraestructura de servicios públicos. </w:t>
      </w:r>
    </w:p>
    <w:p w14:paraId="72D00EA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2CF13F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Delimitación, consiste en la identificación del límite de un área determinada, mediante un polígono. Debe realizarse bajo el sistema de coordenadas oficial definido por la autoridad cartográfica nacional y su precisión estará dada en función de la escala de trabajo. </w:t>
      </w:r>
    </w:p>
    <w:p w14:paraId="4D3D581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568A1F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Zonificación, es la representación cartográfica de áreas con características homogéneas. Debe realizarse bajo el sistema de coordenadas oficial definido por la autoridad cartográfica nacional y su precisión estará dada en función de la escala de trabajo. </w:t>
      </w:r>
    </w:p>
    <w:p w14:paraId="5A1ABBD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EA47CD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2°. Aquellos municipios o distritos que se encuentren expuestos a amenazas por otros fenómenos naturales (sísmicos, volcánicos, tsunami, entre otros) o de origen tecnológico, deben evaluarlas con base en la información disponible generada por las autoridades y sectores competentes y de acuerdo con la situación de cada municipio o distrito. </w:t>
      </w:r>
    </w:p>
    <w:p w14:paraId="1756599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6B7B7A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3°. En los casos en que un municipio o distrito esté expuesto a más de un tipo de fenómeno amenazante y que éstos se superpongan o que tengan incidencia uno en otro, se deberá contemplar su efecto en los estudios y zonificaciones respectivas. </w:t>
      </w:r>
    </w:p>
    <w:p w14:paraId="310CFAD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A0042B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4°. Si al momento de la revisión de los contenidos de mediano y largo plazo de los planes de ordenamiento territorial o la expedición de un nuevo POT, se cuenta con un Plan de Ordenación y Manejo de Cuencas Hidrográficas aprobado y el mismo incluye los análisis de amenazas, éstos sirven de insumo para la elaboración de los estudios básicos en suelo rural. </w:t>
      </w:r>
    </w:p>
    <w:p w14:paraId="06D00FD4" w14:textId="4616163F"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w:t>
      </w:r>
      <w:bookmarkStart w:id="902" w:name="ver_30072722"/>
      <w:bookmarkEnd w:id="902"/>
    </w:p>
    <w:p w14:paraId="76FBFF0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2.2.2.1.3.1.4. Estudios detallados. Los estudios detallados están orientados a determinar la categorización del riesgo y establecer las medidas de mitigación correspondientes. </w:t>
      </w:r>
    </w:p>
    <w:p w14:paraId="3C7450B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5486E5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la revisión de los contenidos de mediano y largo plazo de los planes de ordenamiento territorial o en la expedición de un nuevo POT, se debe establecer la priorización de los estudios detallados identificados en los estudios básicos y en el programa de ejecución se debe definir la programación de actividades, las entidades responsables y los recursos respectivos de los estudios que se ejecutarán en el período del alcalde que adelanta la revisión del plan o la expedición de uno nuevo. </w:t>
      </w:r>
    </w:p>
    <w:p w14:paraId="66B8076F" w14:textId="626AC1A3"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903" w:name="ver_30072723"/>
      <w:bookmarkEnd w:id="903"/>
    </w:p>
    <w:p w14:paraId="3D02273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2.2.2.1.3.1.5. Escala de trabajo. De conformidad con las clases de suelo establecidas en la Ley 388 de 1997, los estudios se elaboran, como mínimo, en las siguientes escalas: </w:t>
      </w:r>
    </w:p>
    <w:p w14:paraId="16A7F09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3C5380E" w14:textId="0848E219" w:rsidR="00FC79C1" w:rsidRPr="009342F9" w:rsidRDefault="48ABE02E" w:rsidP="00FC79C1">
      <w:pPr>
        <w:spacing w:after="0" w:line="240" w:lineRule="auto"/>
        <w:jc w:val="both"/>
        <w:rPr>
          <w:rFonts w:ascii="Arial" w:eastAsia="Times New Roman" w:hAnsi="Arial" w:cs="Arial"/>
          <w:color w:val="000000"/>
          <w:lang w:eastAsia="es-CO"/>
        </w:rPr>
      </w:pPr>
      <w:r>
        <w:rPr>
          <w:noProof/>
        </w:rPr>
        <w:drawing>
          <wp:inline distT="0" distB="0" distL="0" distR="0" wp14:anchorId="0139BEAD" wp14:editId="7F76F8AC">
            <wp:extent cx="5581013" cy="1362710"/>
            <wp:effectExtent l="0" t="0" r="635" b="889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15">
                      <a:extLst>
                        <a:ext uri="{28A0092B-C50C-407E-A947-70E740481C1C}">
                          <a14:useLocalDpi xmlns:a14="http://schemas.microsoft.com/office/drawing/2010/main" val="0"/>
                        </a:ext>
                      </a:extLst>
                    </a:blip>
                    <a:stretch>
                      <a:fillRect/>
                    </a:stretch>
                  </pic:blipFill>
                  <pic:spPr>
                    <a:xfrm>
                      <a:off x="0" y="0"/>
                      <a:ext cx="5581013" cy="1362710"/>
                    </a:xfrm>
                    <a:prstGeom prst="rect">
                      <a:avLst/>
                    </a:prstGeom>
                  </pic:spPr>
                </pic:pic>
              </a:graphicData>
            </a:graphic>
          </wp:inline>
        </w:drawing>
      </w:r>
      <w:r w:rsidR="00FC79C1" w:rsidRPr="3DD719FF">
        <w:rPr>
          <w:rFonts w:ascii="Arial" w:eastAsia="Times New Roman" w:hAnsi="Arial" w:cs="Arial"/>
          <w:color w:val="000000" w:themeColor="text1"/>
          <w:lang w:eastAsia="es-CO"/>
        </w:rPr>
        <w:t> </w:t>
      </w:r>
    </w:p>
    <w:p w14:paraId="0004463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F061FE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1°. Los municipios o distritos que cuenten con información a una escala de mayor detalle deben emplearla para el desarrollo de los respectivos estudios. </w:t>
      </w:r>
    </w:p>
    <w:p w14:paraId="69034AD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E5B2B5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2°. Aquellos municipios o distritos con centros poblados rurales que por su alto grado de exposición a la ocurrencia de fenómenos naturales han sido afectados o tienen la posibilidad de ser afectados, deben adelantar los estudios básicos como mínimo a escala 1:5.000. </w:t>
      </w:r>
    </w:p>
    <w:p w14:paraId="61465D93" w14:textId="38C4DAE3" w:rsidR="00683694"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904" w:name="ver_30072725"/>
      <w:bookmarkEnd w:id="904"/>
    </w:p>
    <w:p w14:paraId="0A4A952D" w14:textId="6F59DA0C" w:rsidR="00FC79C1" w:rsidRPr="009342F9" w:rsidRDefault="00FC79C1" w:rsidP="00683694">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SUBSECCIÓN 2</w:t>
      </w:r>
    </w:p>
    <w:p w14:paraId="6A498AF5" w14:textId="77777777" w:rsidR="00FC79C1" w:rsidRPr="009342F9" w:rsidRDefault="00FC79C1" w:rsidP="00683694">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CONDICIONES TÉCNICAS PARA LA ELABORACIÓN DE ESTUDIOS BÁSICOS Y DETALLADOS</w:t>
      </w:r>
    </w:p>
    <w:p w14:paraId="2264BEE6"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905" w:name="ver_30072726"/>
      <w:bookmarkEnd w:id="905"/>
    </w:p>
    <w:p w14:paraId="0DFC495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2.2.2.1.3.2.1. Análisis de la información disponible. Para la elaboración de los estudios básicos y detallados se deben realizar los análisis de la información técnica disponible, considerando entre otros, los siguientes aspectos: </w:t>
      </w:r>
    </w:p>
    <w:p w14:paraId="229527A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F1FF8B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Recopilar y analizar la información contenida en el plan de ordenamiento territorial, estudios regionales, técnicos o informes técnicos, cartografía base, la información de las bases de datos institucionales y la información de redes de monitoreo de amenazas existentes. </w:t>
      </w:r>
    </w:p>
    <w:p w14:paraId="1895F27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B8321C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Verificar si se cuenta con la delimitación y zonificación de amenaza y/o riesgo para el municipio o distrito (suelo urbano, expansión urbana y suelo rural) y que la misma cumpla como mínimo con los siguientes aspectos: </w:t>
      </w:r>
    </w:p>
    <w:p w14:paraId="00B3E71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0B5841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2.1 Que corresponda al análisis del área urbana, expansión urbana y rural del municipio o distrito, se ajuste a las condiciones técnicas establecidas en el presente capítulo y esté acorde con su situación actual. La información se podrá emplear siempre y cuando se verifique su pertinencia y se actualice cuando se requiera. </w:t>
      </w:r>
    </w:p>
    <w:p w14:paraId="1E98862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w:t>
      </w:r>
    </w:p>
    <w:p w14:paraId="5C5F3C7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2.2 Que la información técnica disponible corresponda al análisis de las áreas en las que se hayan evidenciado afectaciones en el municipio o distrito. </w:t>
      </w:r>
    </w:p>
    <w:p w14:paraId="4C9F0BC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C93234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3. </w:t>
      </w:r>
      <w:proofErr w:type="gramStart"/>
      <w:r w:rsidRPr="009342F9">
        <w:rPr>
          <w:rFonts w:ascii="Arial" w:eastAsia="Times New Roman" w:hAnsi="Arial" w:cs="Arial"/>
          <w:color w:val="000000"/>
          <w:lang w:eastAsia="es-CO"/>
        </w:rPr>
        <w:t>En caso que</w:t>
      </w:r>
      <w:proofErr w:type="gramEnd"/>
      <w:r w:rsidRPr="009342F9">
        <w:rPr>
          <w:rFonts w:ascii="Arial" w:eastAsia="Times New Roman" w:hAnsi="Arial" w:cs="Arial"/>
          <w:color w:val="000000"/>
          <w:lang w:eastAsia="es-CO"/>
        </w:rPr>
        <w:t xml:space="preserve"> se cuente con estudios detallados que permitan establecer el nivel de riesgo, se deberá verificar que los mismos cumplan con las condiciones técnicas establecidas en el presente decreto. </w:t>
      </w:r>
    </w:p>
    <w:p w14:paraId="03BD937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AD018C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Con base en este análisis se deberá establecer la información técnica disponible correspondiente a la delimitación y zonificación de las áreas de amenaza y de las áreas con condiciones de riesgo. En los casos de ausencia total o parcial de la información, se deben establecer las acciones técnicas, institucionales y financieras necesarias para elaborar esta información. </w:t>
      </w:r>
    </w:p>
    <w:p w14:paraId="2AA2861B" w14:textId="7E851316"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906" w:name="ver_30072728"/>
      <w:bookmarkEnd w:id="906"/>
    </w:p>
    <w:p w14:paraId="37FF868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2.2.2.1.3.2.2. Asesoría para el análisis de los estudios. Los alcaldes municipales podrán solicitar al departamento asesoría sobre los análisis que se deben adelantar para el estudio de los eventos que se presentan en su territorio según lo dispuesto en la presente sección. </w:t>
      </w:r>
    </w:p>
    <w:p w14:paraId="5E3A4E37" w14:textId="25AAB842" w:rsidR="00683694"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907" w:name="ver_30072729"/>
      <w:bookmarkEnd w:id="907"/>
    </w:p>
    <w:p w14:paraId="109CF6CC" w14:textId="650EEE27" w:rsidR="00FC79C1" w:rsidRPr="009342F9" w:rsidRDefault="00FC79C1" w:rsidP="00683694">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SUBSUBSECCIÓN 1</w:t>
      </w:r>
    </w:p>
    <w:p w14:paraId="70B497E5" w14:textId="77777777" w:rsidR="00FC79C1" w:rsidRPr="009342F9" w:rsidRDefault="00FC79C1" w:rsidP="00683694">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CONDICIONES TÉCNICAS PARA LA ELABORACIÓN DE ESTUDIOS BÁSICOS</w:t>
      </w:r>
    </w:p>
    <w:p w14:paraId="5B341756"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908" w:name="ver_30072731"/>
      <w:bookmarkEnd w:id="908"/>
    </w:p>
    <w:p w14:paraId="787034D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2.2.2.1.3.2.1.1. Estudios básicos de amenaza por movimientos en masa. Para determinar las condiciones de amenaza por movimientos en masa en suelos urbanos, de expansión urbana y rural, los estudios básicos tienen las siguientes especificaciones mínimas: </w:t>
      </w:r>
    </w:p>
    <w:p w14:paraId="03A87DA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1E8CC8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1. Área de estudio: Se adelantará </w:t>
      </w:r>
      <w:proofErr w:type="gramStart"/>
      <w:r w:rsidRPr="009342F9">
        <w:rPr>
          <w:rFonts w:ascii="Arial" w:eastAsia="Times New Roman" w:hAnsi="Arial" w:cs="Arial"/>
          <w:color w:val="000000"/>
          <w:lang w:eastAsia="es-CO"/>
        </w:rPr>
        <w:t>éste</w:t>
      </w:r>
      <w:proofErr w:type="gramEnd"/>
      <w:r w:rsidRPr="009342F9">
        <w:rPr>
          <w:rFonts w:ascii="Arial" w:eastAsia="Times New Roman" w:hAnsi="Arial" w:cs="Arial"/>
          <w:color w:val="000000"/>
          <w:lang w:eastAsia="es-CO"/>
        </w:rPr>
        <w:t xml:space="preserve"> tipo de estudios en todas las zonas de relieve escarpado, montañoso y ondulado, con pendientes iguales o superiores a 5 grados más los taludes marginales de cauces, así como las zonas planas que puedan recibir los efectos de los movimientos en masa. </w:t>
      </w:r>
    </w:p>
    <w:p w14:paraId="0AFB299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0784C7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Adicionalmente, se consideran aquellas áreas urbanas y de expansión urbana que teniendo una pendiente menor a 5 grados hayan presentado problemas de inestabilidad y subsidencia debido a problemas </w:t>
      </w:r>
      <w:proofErr w:type="spellStart"/>
      <w:r w:rsidRPr="009342F9">
        <w:rPr>
          <w:rFonts w:ascii="Arial" w:eastAsia="Times New Roman" w:hAnsi="Arial" w:cs="Arial"/>
          <w:color w:val="000000"/>
          <w:lang w:eastAsia="es-CO"/>
        </w:rPr>
        <w:t>geoténicos</w:t>
      </w:r>
      <w:proofErr w:type="spellEnd"/>
      <w:r w:rsidRPr="009342F9">
        <w:rPr>
          <w:rFonts w:ascii="Arial" w:eastAsia="Times New Roman" w:hAnsi="Arial" w:cs="Arial"/>
          <w:color w:val="000000"/>
          <w:lang w:eastAsia="es-CO"/>
        </w:rPr>
        <w:t xml:space="preserve"> o al desarrollo de actividades antrópicas. </w:t>
      </w:r>
    </w:p>
    <w:p w14:paraId="021A68A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A2E302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Insumos: Para suelos urbanos, de expansión urbana y rural, se deben utilizar como mínimo los siguientes insumos que son elaborados o ajustados y evaluados a la escala de trabajo correspondiente: </w:t>
      </w:r>
    </w:p>
    <w:p w14:paraId="68F92AD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9EC9A0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2.1 Cartografía base que contenga entre otros: coordenadas, curvas de nivel, drenajes, red vial, infraestructura y equipamientos, asentamientos humanos. </w:t>
      </w:r>
    </w:p>
    <w:p w14:paraId="44DE9D7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B4AE52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2.2 Inventario de procesos morfodinámicos. </w:t>
      </w:r>
    </w:p>
    <w:p w14:paraId="7345A84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254FAC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la elaboración de los estudios para suelos urbanos y de expansión urbana, adicionalmente se elabora: la geología para ingeniería y la geomorfología aplicada a movimientos en masa a nivel de elementos geomorfológicos. </w:t>
      </w:r>
    </w:p>
    <w:p w14:paraId="2125F95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8DA5B6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la elaboración de los estudios para suelos rurales, adicionalmente se realiza: la geología, unidades geológicas superficiales, la geomorfología aplicada a movimientos en masa a nivel de subunidades geomorfológicas y cobertura y uso del suelo. </w:t>
      </w:r>
    </w:p>
    <w:p w14:paraId="7BF1B3D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28C4F9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3. Alcance: La determinación de las condiciones de amenaza por movimientos en masa deberá integrar las diferentes variables que inciden en la ocurrencia tanto actual como futura de estos fenómenos. Se deben considerar dentro de los agentes detonantes los siguientes factores: agua, sismo y procesos antrópicos (cortes, excavaciones, rellenos y construcciones en general). </w:t>
      </w:r>
    </w:p>
    <w:p w14:paraId="5BD7091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3845CA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Para el suelo urbano y de expansión urbana se utilizará, como mínimo, alguno de los siguientes análisis: estadísticos, determinísticos o probabilísticos. </w:t>
      </w:r>
    </w:p>
    <w:p w14:paraId="67E40E7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30CFA1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Para los suelos rurales se utilizará, como mínimo, alguno de los siguientes análisis: de inventarios, heurísticos o estadísticos. </w:t>
      </w:r>
    </w:p>
    <w:p w14:paraId="13E27FE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350671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todo caso, los análisis se realizarán en función de la magnitud de la amenaza, su intensidad, consecuencias y la disponibilidad de información. </w:t>
      </w:r>
    </w:p>
    <w:p w14:paraId="6E90292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B87E62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Zonificación: Para la zonificación de la amenaza, ésta se categorizará en alta, media y baja, que se establece según el método empleado. En todo caso las áreas con procesos activos se consideran en la categoría alta. </w:t>
      </w:r>
    </w:p>
    <w:p w14:paraId="179470E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4BC43D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 Productos: Como resultado de los estudios, se elaboran los mapas de zonificación de amenaza por movimientos en masa, según lo dispuesto en el presente artículo. La leyenda deberá incluir la descripción de las características físicas de las unidades según la categoría establecida, los tipos de procesos predominantes y los posibles daños que se pueden generar. </w:t>
      </w:r>
    </w:p>
    <w:p w14:paraId="3583FEA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3CD1B3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Se deberá elaborar un documento técnico que contenga la metodología empleada y los resultados obtenidos. </w:t>
      </w:r>
    </w:p>
    <w:p w14:paraId="32673D86" w14:textId="481D2A90"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909" w:name="ver_30072733"/>
      <w:bookmarkEnd w:id="909"/>
    </w:p>
    <w:p w14:paraId="3DB0041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2.2.2.1.3.2.1.2. Estudios básicos de amenaza de inundación. Para determinar las condiciones de amenaza por inundación en suelos urbanos, de expansión urbana y rural, los estudios básicos tienen las siguientes especificaciones mínimas: </w:t>
      </w:r>
    </w:p>
    <w:p w14:paraId="249A9C7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A72139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Área de estudio: Las zonas en las cuales exista la posibilidad de presentarse una inundación sean aledañas o no a ríos, caños, quebradas, humedales y otros cuerpos de agua o aquellas que hagan parte de su área de influencia. </w:t>
      </w:r>
    </w:p>
    <w:p w14:paraId="656774A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CF420B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el análisis se deben considerar los casos en los que existan precedentes de mecanismos generadores de inundaciones tales como encharcamiento por lluvias intensas sobre áreas planas, encharcamiento por deficiencia de drenaje, inundaciones costeras entre otros. </w:t>
      </w:r>
    </w:p>
    <w:p w14:paraId="4C97B65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33BFC3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Los municipios o distritos con un suelo rural superior a 1.500 km2, para los cuales no exista base cartográfica e insumos a 1:25.000, podrán realizar los estudios para esta clase de suelo a escala 1:100.000 o 1:50.000. En aquellas áreas rurales donde se presenten inundaciones recurrentes, con presencia de elementos expuestos, deben realizar los estudios básicos a 1:25.000. </w:t>
      </w:r>
    </w:p>
    <w:p w14:paraId="5F48333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FE2498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Insumos: Se debe utilizar como mínimo los siguientes insumos: </w:t>
      </w:r>
    </w:p>
    <w:p w14:paraId="572AC95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F7B8CB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2.1 Geomorfología. Identificación de las diferentes subunidades geomorfológicas asociadas a los paisajes aluviales, con especial énfasis en las geoformas correspondientes a la llanura de inundación. </w:t>
      </w:r>
    </w:p>
    <w:p w14:paraId="61D1139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CE9E8B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2.2 Modelo de elevación digital del terreno. </w:t>
      </w:r>
    </w:p>
    <w:p w14:paraId="2491924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FA60A9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2.3 Identificación de las zonas inundables e inundadas (registro de eventos). A partir de información de las diferentes entidades a nivel nacional, regional o local, interrelacionada con la información de la comunidad identificar cuales áreas han sufrido afectaciones por inundación y en qué fecha. </w:t>
      </w:r>
    </w:p>
    <w:p w14:paraId="1FF1C17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897AE1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2.4 Hidrología. Caracterización del comportamiento del régimen hidrológico en la región a la cual pertenece el municipio mediante un análisis de los eventos </w:t>
      </w:r>
      <w:proofErr w:type="spellStart"/>
      <w:r w:rsidRPr="009342F9">
        <w:rPr>
          <w:rFonts w:ascii="Arial" w:eastAsia="Times New Roman" w:hAnsi="Arial" w:cs="Arial"/>
          <w:color w:val="000000"/>
          <w:lang w:eastAsia="es-CO"/>
        </w:rPr>
        <w:t>hidroclimáticos</w:t>
      </w:r>
      <w:proofErr w:type="spellEnd"/>
      <w:r w:rsidRPr="009342F9">
        <w:rPr>
          <w:rFonts w:ascii="Arial" w:eastAsia="Times New Roman" w:hAnsi="Arial" w:cs="Arial"/>
          <w:color w:val="000000"/>
          <w:lang w:eastAsia="es-CO"/>
        </w:rPr>
        <w:t xml:space="preserve"> máximos identificando para cuales períodos de retorno se están presentando las afectaciones y las áreas afectadas para los mismos. </w:t>
      </w:r>
    </w:p>
    <w:p w14:paraId="0DFED3F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4159CB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3. Alcance: Para la zonificación de la amenaza se emplean tres categorías: alta, media y baja, teniendo en cuenta el registro de eventos, la recurrencia de </w:t>
      </w:r>
      <w:proofErr w:type="gramStart"/>
      <w:r w:rsidRPr="009342F9">
        <w:rPr>
          <w:rFonts w:ascii="Arial" w:eastAsia="Times New Roman" w:hAnsi="Arial" w:cs="Arial"/>
          <w:color w:val="000000"/>
          <w:lang w:eastAsia="es-CO"/>
        </w:rPr>
        <w:t>los mismos</w:t>
      </w:r>
      <w:proofErr w:type="gramEnd"/>
      <w:r w:rsidRPr="009342F9">
        <w:rPr>
          <w:rFonts w:ascii="Arial" w:eastAsia="Times New Roman" w:hAnsi="Arial" w:cs="Arial"/>
          <w:color w:val="000000"/>
          <w:lang w:eastAsia="es-CO"/>
        </w:rPr>
        <w:t xml:space="preserve"> y la intensidad (niveles alcanzados) de la inundación. </w:t>
      </w:r>
    </w:p>
    <w:p w14:paraId="4C2AF6D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74CA3C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Para el suelo urbano, de expansión urbana y rural se utilizará, como mínimo, análisis de tipo histórico y geomorfológico. De acuerdo con la información disponible se podrán complementar con análisis hidrológico-hidráulicos y métodos asistidos por sensores remotos y sistemas de información geográfica. </w:t>
      </w:r>
    </w:p>
    <w:p w14:paraId="42348F1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562583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todo caso, los análisis se realizan en función de la magnitud de la amenaza, su intensidad, consecuencias y la disponibilidad de información. </w:t>
      </w:r>
    </w:p>
    <w:p w14:paraId="58DF47A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8CC3C9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Productos: Como resultado de los estudios, se elaboran mapas de zonificación de amenaza por inundaciones, según lo dispuesto en el presente artículo. </w:t>
      </w:r>
    </w:p>
    <w:p w14:paraId="1E3E2B4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21001C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Se debe elaborar un documento técnico que contenga la metodología empleada y los resultados obtenidos. </w:t>
      </w:r>
    </w:p>
    <w:p w14:paraId="55F366D3" w14:textId="778E815E"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910" w:name="ver_30072734"/>
      <w:bookmarkEnd w:id="910"/>
    </w:p>
    <w:p w14:paraId="75BC835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2.2.2.1.3.2.1.3. Estudios básicos de amenaza por avenidas torrenciales. Para determinar las condiciones de amenaza por avenida torrencial en suelos urbanos, de expansión urbana y rural, los estudios básicos tienen las siguientes especificaciones mínimas: </w:t>
      </w:r>
    </w:p>
    <w:p w14:paraId="5C07A6E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C99CC6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Área de estudio: Todos los cauces presentes o con influencia en el municipio o distrito, que por sus condiciones topográficas puedan tener un comportamiento torrencial. </w:t>
      </w:r>
    </w:p>
    <w:p w14:paraId="2343238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1B7781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Insumos: Se debe utilizar como mínimo los siguientes insumos: </w:t>
      </w:r>
    </w:p>
    <w:p w14:paraId="5686059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E91040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2.1 Geomorfología. </w:t>
      </w:r>
    </w:p>
    <w:p w14:paraId="4C55B8F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FA5F65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2.2 Estudio hidrológico de la cuenca, orientado al flujo torrencial, considerando el ciclo de sedimentos. </w:t>
      </w:r>
    </w:p>
    <w:p w14:paraId="6CE703F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590480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2.3 Análisis hidráulico del área a zonificar, teniendo en cuenta factores detonantes como precipitación o movimientos en masa. </w:t>
      </w:r>
    </w:p>
    <w:p w14:paraId="3B2886B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CC507A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2.4 La base cartográfica que se emplee en la zonificación corresponderá a una escala 1:2.000. </w:t>
      </w:r>
    </w:p>
    <w:p w14:paraId="4DC35E1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AFDA30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Alcance: Para la zonificación de la amenaza, ésta se categorizará en alta, media y baja, dependiendo de la frecuencia de presentación de los eventos y sus características: la profundidad de la lámina de agua, los materiales de arrastre y la velocidad del flujo. </w:t>
      </w:r>
    </w:p>
    <w:p w14:paraId="4F64E58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CC5D0D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Se utiliza, como mínimo, alguno de los siguientes análisis: estadísticos, determinísticos o probabilísticos. </w:t>
      </w:r>
    </w:p>
    <w:p w14:paraId="7BE9CAC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3152C1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todo caso, los análisis se realizan en función de la magnitud de la amenaza, su intensidad, consecuencias y la disponibilidad de información. </w:t>
      </w:r>
    </w:p>
    <w:p w14:paraId="6E49CC5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03213B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Productos: Mapa de amenaza por avenidas torrenciales, en el cual se delimitan y zonifican los diferentes niveles de amenaza que presenta el territorio estudiado, según lo dispuesto en el presente artículo. </w:t>
      </w:r>
    </w:p>
    <w:p w14:paraId="3C2ACD6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11719F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Se deberá elaborar un documento técnico que contenga la metodología empleada y los resultados obtenidos. </w:t>
      </w:r>
    </w:p>
    <w:p w14:paraId="7DDB7453" w14:textId="4AF7BA0C"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911" w:name="ver_30072735"/>
      <w:bookmarkEnd w:id="911"/>
    </w:p>
    <w:p w14:paraId="670A99B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2.2.2.1.3.2.1.4. Delimitación y zonificación de las áreas con condición de amenaza. Con fundamento en la delimitación y zonificación de amenazas, se delimitan y zonifican aquellas áreas sin ocupar del suelo urbano, de expansión urbana, rural suburbano o centros poblados rurales en las que en la revisión o en la expedición de un nuevo POT se proponga su desarrollo. </w:t>
      </w:r>
    </w:p>
    <w:p w14:paraId="1CB92F7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75FDF5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 identificación de estas áreas se realizará a partir del análisis de las áreas zonificadas como de amenaza alta y media sin ocupar en los estudios básicos con aquellas que se consideren como objeto de desarrollo. En todo caso el desarrollo de las zonas de amenaza media y alta sin ocupar quedará sujeto a los resultados de los estudios detallados. </w:t>
      </w:r>
    </w:p>
    <w:p w14:paraId="040731D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310ECC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Con esta información se elabora el mapa con la delimitación y zonificación de las áreas con condición de amenaza y se establecen los criterios para la caracterización y delimitación de las unidades de análisis en las áreas que serán objeto de estudios detallados. </w:t>
      </w:r>
    </w:p>
    <w:p w14:paraId="6993D07D" w14:textId="47745982"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912" w:name="ver_30072736"/>
      <w:bookmarkEnd w:id="912"/>
    </w:p>
    <w:p w14:paraId="66B2280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2.2.2.1.3.2.1.5. Delimitación y zonificación de las áreas con condición de riesgo. Con fundamento en la delimitación y zonificación de amenazas, se delimitan y zonifican las áreas con condición de riesgo, a fin de priorizar las áreas en las cuales se deben realizar estudios detallados. </w:t>
      </w:r>
    </w:p>
    <w:p w14:paraId="5BB6352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8215A1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La identificación de las áreas con condición de riesgo se realizará a partir del análisis de las áreas zonificadas como de amenaza alta en los estudios básicos, con la información cartográfica (predial o catastral, entre otras) disponible que permita identificar la existencia de elementos expuestos, de áreas urbanizadas, ocupadas o </w:t>
      </w:r>
      <w:proofErr w:type="gramStart"/>
      <w:r w:rsidRPr="009342F9">
        <w:rPr>
          <w:rFonts w:ascii="Arial" w:eastAsia="Times New Roman" w:hAnsi="Arial" w:cs="Arial"/>
          <w:color w:val="000000"/>
          <w:lang w:eastAsia="es-CO"/>
        </w:rPr>
        <w:t>edificadas</w:t>
      </w:r>
      <w:proofErr w:type="gramEnd"/>
      <w:r w:rsidRPr="009342F9">
        <w:rPr>
          <w:rFonts w:ascii="Arial" w:eastAsia="Times New Roman" w:hAnsi="Arial" w:cs="Arial"/>
          <w:color w:val="000000"/>
          <w:lang w:eastAsia="es-CO"/>
        </w:rPr>
        <w:t xml:space="preserve"> así como de aquellas en las que se encuentren edificaciones indispensables y líneas vitales. </w:t>
      </w:r>
    </w:p>
    <w:p w14:paraId="32898D5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20098A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Con esta información se elabora el mapa con la delimitación y zonificación de las áreas con condición de riesgo y se establecen los criterios para la caracterización y delimitación de las unidades de análisis que dependen del fenómeno a estudiar y la priorización para la realización de los estudios detallados que permitirán categorizar el riesgo. </w:t>
      </w:r>
    </w:p>
    <w:p w14:paraId="4BEDFCA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402DB1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Las zonas de amenaza media para las cuales en la revisión o expedición de un nuevo POT se proponga el cambio de densidad o un cambio en los usos del suelo que pueda generar o incrementar el riesgo en la zona, se consideran como áreas con condición de riesgo. </w:t>
      </w:r>
    </w:p>
    <w:p w14:paraId="5A23557F" w14:textId="40E5B95F"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913" w:name="ver_30072737"/>
      <w:bookmarkEnd w:id="913"/>
    </w:p>
    <w:p w14:paraId="1893CF5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2.2.2.1.3.2.1.6. Determinación de medidas de intervención. Con base en los resultados de los estudios básicos, se deben determinar las medidas de mitigación no estructurales orientadas a establecer el modelo de ocupación del territorio y las restricciones o </w:t>
      </w:r>
      <w:r w:rsidRPr="009342F9">
        <w:rPr>
          <w:rFonts w:ascii="Arial" w:eastAsia="Times New Roman" w:hAnsi="Arial" w:cs="Arial"/>
          <w:color w:val="000000"/>
          <w:lang w:eastAsia="es-CO"/>
        </w:rPr>
        <w:lastRenderedPageBreak/>
        <w:t>condicionamientos para el uso del suelo cuando sea viable, mediante la determinación de normas urbanísticas. </w:t>
      </w:r>
    </w:p>
    <w:p w14:paraId="4D633A09" w14:textId="3C7AF899" w:rsidR="00683694" w:rsidRPr="009342F9" w:rsidRDefault="00FC79C1" w:rsidP="00AA5FD1">
      <w:pPr>
        <w:spacing w:after="0" w:line="240" w:lineRule="auto"/>
        <w:jc w:val="both"/>
        <w:rPr>
          <w:rFonts w:ascii="Arial" w:eastAsia="Times New Roman" w:hAnsi="Arial" w:cs="Arial"/>
          <w:b/>
          <w:bCs/>
          <w:color w:val="000000"/>
          <w:lang w:eastAsia="es-CO"/>
        </w:rPr>
      </w:pPr>
      <w:r w:rsidRPr="009342F9">
        <w:rPr>
          <w:rFonts w:ascii="Arial" w:eastAsia="Times New Roman" w:hAnsi="Arial" w:cs="Arial"/>
          <w:color w:val="000000"/>
          <w:lang w:eastAsia="es-CO"/>
        </w:rPr>
        <w:t>  </w:t>
      </w:r>
      <w:bookmarkStart w:id="914" w:name="ver_30072756"/>
      <w:bookmarkEnd w:id="914"/>
    </w:p>
    <w:p w14:paraId="4DA10C17" w14:textId="08D3284F" w:rsidR="00FC79C1" w:rsidRPr="009342F9" w:rsidRDefault="00FC79C1" w:rsidP="00683694">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SUBSUBSECCIÓN 2</w:t>
      </w:r>
    </w:p>
    <w:p w14:paraId="3659A26D" w14:textId="77777777" w:rsidR="00FC79C1" w:rsidRPr="009342F9" w:rsidRDefault="00FC79C1" w:rsidP="00683694">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CONDICIONES TÉCNICAS PARA LA ELABORACIÓN DE ESTUDIOS DETALLADOS</w:t>
      </w:r>
    </w:p>
    <w:p w14:paraId="27B901CC"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915" w:name="ver_30072758"/>
      <w:bookmarkEnd w:id="915"/>
    </w:p>
    <w:p w14:paraId="7F86AC8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2.2.2.1.3.2.2.1. Estudios detallados. Los estudios detallados deben contener lo siguiente para cada uno de los eventos analizados: </w:t>
      </w:r>
    </w:p>
    <w:p w14:paraId="6C9674F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311F62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Análisis detallado de amenaza. </w:t>
      </w:r>
    </w:p>
    <w:p w14:paraId="431E237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64292F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Evaluación de vulnerabilidad. </w:t>
      </w:r>
    </w:p>
    <w:p w14:paraId="730E1E8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FB5C51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Evaluación del riesgo. </w:t>
      </w:r>
    </w:p>
    <w:p w14:paraId="7B569EB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51344C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Determinación de medidas de mitigación. </w:t>
      </w:r>
    </w:p>
    <w:p w14:paraId="0F420A4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3909E3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En las zonas no ocupadas, esto es, que no hay elementos expuestos, se deben considerar las alternativas de intervención conducentes a la reducción de la amenaza, siempre y cuando sean viables desde el punto de vista ambiental, técnico, financiero y urbanístico. </w:t>
      </w:r>
    </w:p>
    <w:p w14:paraId="63713B75" w14:textId="16C31449"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916" w:name="ver_30072761"/>
      <w:bookmarkEnd w:id="916"/>
    </w:p>
    <w:p w14:paraId="0A02D39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2.2.2.1.3.2.2.2. Análisis detallado de amenaza por movimientos en masa. Para determinar la categorización del riesgo por movimientos en masa, los estudios de amenaza tienen las siguientes especificaciones mínimas: </w:t>
      </w:r>
    </w:p>
    <w:p w14:paraId="297C2AC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B814BB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Área de estudio. Se referirá a las áreas con condiciones de riesgo y amenaza, por movimientos en masa delimitadas en el plan de ordenamiento territorial, a partir de los estudios básicos de que tratan los artículos anteriores. Estas áreas podrán ser precisadas con base en la geoforma de la zona objeto de análisis. </w:t>
      </w:r>
    </w:p>
    <w:p w14:paraId="4A41786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CB4DC9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Insumos. Se consideran como insumos mínimos que se elaboran y evalúan a la escala de trabajo, los siguientes: </w:t>
      </w:r>
    </w:p>
    <w:p w14:paraId="51803AA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F577E7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2.1 Geología para ingeniería. </w:t>
      </w:r>
    </w:p>
    <w:p w14:paraId="1A9BC55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4ED9AB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2.2 Geomorfología a nivel de elementos. </w:t>
      </w:r>
    </w:p>
    <w:p w14:paraId="0A54C2E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0C61E1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2.3 Hidrogeología, con énfasis en comportamiento de los niveles freáticos. </w:t>
      </w:r>
    </w:p>
    <w:p w14:paraId="7B7E249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14E779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2.4 Evaluación del drenaje superficial. </w:t>
      </w:r>
    </w:p>
    <w:p w14:paraId="2A4FBC3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FF57A2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2.5 Sismología. </w:t>
      </w:r>
    </w:p>
    <w:p w14:paraId="175D008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5E99E9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2.6 Uso del Suelo. </w:t>
      </w:r>
    </w:p>
    <w:p w14:paraId="4E751FF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E58AAF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2.7 Exploración del subsuelo. </w:t>
      </w:r>
    </w:p>
    <w:p w14:paraId="2AA383D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E05E5A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2.8 Levantamiento topográfico, incluyendo la información predial o catastral. </w:t>
      </w:r>
    </w:p>
    <w:p w14:paraId="234774D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759E85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3. Alcance. El análisis de la amenaza a nivel detallado se realiza empleando por lo menos métodos determinísticos y modelos matemáticos, en función de la dinámica del movimiento en masa objeto de análisis. </w:t>
      </w:r>
    </w:p>
    <w:p w14:paraId="1F325C9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A160B2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Como parte del análisis de amenaza se debe tener en cuenta las causas de la inestabilidad del terreno, considerando dentro de los agentes detonantes los siguientes factores: agua, sismo y procesos antrópicos (cortes, excavaciones, rellenos y construcciones en general), mediante el análisis mínimo de tres escenarios. </w:t>
      </w:r>
    </w:p>
    <w:p w14:paraId="6AB6C74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10724F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Productos: Mapas de zonificación de amenaza por movimientos en masa, según lo dispuesto en el presente artículo. </w:t>
      </w:r>
    </w:p>
    <w:p w14:paraId="0A22DAF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6374CD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Se debe elaborar un documento técnico que contenga la metodología empleada y los resultados obtenidos. </w:t>
      </w:r>
    </w:p>
    <w:p w14:paraId="7FD2CD77" w14:textId="7B536ADB"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917" w:name="ver_30072762"/>
      <w:bookmarkEnd w:id="917"/>
    </w:p>
    <w:p w14:paraId="55213AC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2.2.2.1.3.2.2.3. Análisis detallado de amenaza de inundación. Para determinar las condiciones de amenaza por inundación, los estudios tienen las siguientes especificaciones mínimas: </w:t>
      </w:r>
    </w:p>
    <w:p w14:paraId="76D9ABF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7A6958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Área de estudio. Se referirá a las áreas con condiciones de riesgo y amenaza por inundación delimitadas en el plan de ordenamiento territorial, a partir de los estudios básicos de que trata la presente subsección con los análisis del Plan de Ordenación y Manejo de Cuencas Hidrográficas (POMCA) aprobado. </w:t>
      </w:r>
    </w:p>
    <w:p w14:paraId="6CC3D08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F23E5D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Insumos: Se deben utilizar como mínimo los siguientes insumos: </w:t>
      </w:r>
    </w:p>
    <w:p w14:paraId="0F3573CD" w14:textId="27BE25E2" w:rsidR="00FC79C1" w:rsidRDefault="00FC79C1" w:rsidP="00FC79C1">
      <w:pPr>
        <w:spacing w:after="0" w:line="240" w:lineRule="auto"/>
        <w:jc w:val="both"/>
        <w:rPr>
          <w:rFonts w:ascii="Arial" w:eastAsia="Times New Roman" w:hAnsi="Arial" w:cs="Arial"/>
          <w:color w:val="000000"/>
          <w:lang w:eastAsia="es-CO"/>
        </w:rPr>
      </w:pPr>
      <w:r w:rsidRPr="231E957E">
        <w:rPr>
          <w:rFonts w:ascii="Arial" w:eastAsia="Times New Roman" w:hAnsi="Arial" w:cs="Arial"/>
          <w:color w:val="000000" w:themeColor="text1"/>
          <w:lang w:eastAsia="es-CO"/>
        </w:rPr>
        <w:t>Información de hidrología e hidráulica.</w:t>
      </w:r>
    </w:p>
    <w:p w14:paraId="1865D474" w14:textId="77777777" w:rsidR="007C7D44" w:rsidRPr="009342F9" w:rsidRDefault="007C7D44" w:rsidP="00FC79C1">
      <w:pPr>
        <w:spacing w:after="0" w:line="240" w:lineRule="auto"/>
        <w:jc w:val="both"/>
        <w:rPr>
          <w:rFonts w:ascii="Arial" w:eastAsia="Times New Roman" w:hAnsi="Arial" w:cs="Arial"/>
          <w:color w:val="000000"/>
          <w:lang w:eastAsia="es-CO"/>
        </w:rPr>
      </w:pPr>
    </w:p>
    <w:p w14:paraId="10A83B4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Información topográfica y batimétrica detallada de los tramos de cauce analizados, incluyendo aquellos elementos o tramos que estén asociados con el origen de la inundación. </w:t>
      </w:r>
    </w:p>
    <w:p w14:paraId="20F6779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A56DE8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2.1 Alcance: El análisis de la amenaza a nivel detallado se realizará teniendo en cuenta criterios históricos, geomorfológicos, hidrológico-hidráulicos empleando métodos asistidos por sensores remotos y sistemas de información geográfica. </w:t>
      </w:r>
    </w:p>
    <w:p w14:paraId="61A3D8D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5C30E0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2.2 Productos: Mapa o mapas de zonificación de amenaza por inundación por desbordamiento, el cual delimita y caracteriza los diferentes niveles de amenaza que presenta el territorio estudiado, según lo dispuesto en el presente artículo. </w:t>
      </w:r>
    </w:p>
    <w:p w14:paraId="06FE969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FE3C31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Se debe elaborar un documento técnico que contenga la metodología empleada y los resultados obtenidos. </w:t>
      </w:r>
    </w:p>
    <w:p w14:paraId="3C8105F8" w14:textId="7378CBF5"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918" w:name="ver_30072765"/>
      <w:bookmarkEnd w:id="918"/>
    </w:p>
    <w:p w14:paraId="3CCEDB1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2.2.2.1.3.2.2.4. Evaluación de vulnerabilidad. Para evaluar la vulnerabilidad se consideran los siguientes aspectos: </w:t>
      </w:r>
    </w:p>
    <w:p w14:paraId="66B75BE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34D1A9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De acuerdo con los resultados del estudio detallado de amenazas para cada fenómeno analizado, se deben identificar y localizar en la cartografía correspondiente los elementos expuestos. </w:t>
      </w:r>
    </w:p>
    <w:p w14:paraId="6000CCE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9C14B1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Se debe establecer las características de los elementos expuestos a las amenazas identificadas, en cuanto al tipo de elemento, grado de exposición, resistencia que ofrece el elemento y distribución espacial. </w:t>
      </w:r>
    </w:p>
    <w:p w14:paraId="276A089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w:t>
      </w:r>
    </w:p>
    <w:p w14:paraId="29D8904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Se deben identificar los diferentes tipos de daño o efecto esperado sobre los elementos expuestos que se pueden presentar como resultado del fenómeno natural. </w:t>
      </w:r>
    </w:p>
    <w:p w14:paraId="7422C9B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5A0F22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4. Esta información debe zonificarse en un mapa a la misma escala del mapa de amenazas detallados estableciendo categorías de vulnerabilidad alta, media y baja, </w:t>
      </w:r>
      <w:proofErr w:type="gramStart"/>
      <w:r w:rsidRPr="009342F9">
        <w:rPr>
          <w:rFonts w:ascii="Arial" w:eastAsia="Times New Roman" w:hAnsi="Arial" w:cs="Arial"/>
          <w:color w:val="000000"/>
          <w:lang w:eastAsia="es-CO"/>
        </w:rPr>
        <w:t>de acuerdo a</w:t>
      </w:r>
      <w:proofErr w:type="gramEnd"/>
      <w:r w:rsidRPr="009342F9">
        <w:rPr>
          <w:rFonts w:ascii="Arial" w:eastAsia="Times New Roman" w:hAnsi="Arial" w:cs="Arial"/>
          <w:color w:val="000000"/>
          <w:lang w:eastAsia="es-CO"/>
        </w:rPr>
        <w:t xml:space="preserve"> las características de los elementos expuestos. </w:t>
      </w:r>
    </w:p>
    <w:p w14:paraId="2B4E3CAC" w14:textId="7E8063C3"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919" w:name="ver_30072768"/>
      <w:bookmarkEnd w:id="919"/>
    </w:p>
    <w:p w14:paraId="737A63A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2.2.2.1.3.2.2.5. Evaluación del riesgo. La evaluación de riesgo es el resultado de relacionar la zonificación detallada de amenaza y la evaluación de la vulnerabilidad. </w:t>
      </w:r>
    </w:p>
    <w:p w14:paraId="394D0CD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BF1E5E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Con base en ello, se categorizará el riesgo en alto, medio y bajo, en función del nivel de afectación esperada. </w:t>
      </w:r>
    </w:p>
    <w:p w14:paraId="6A0C997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067607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Para las zonas en alto riesgo se definirá la </w:t>
      </w:r>
      <w:proofErr w:type="spellStart"/>
      <w:r w:rsidRPr="009342F9">
        <w:rPr>
          <w:rFonts w:ascii="Arial" w:eastAsia="Times New Roman" w:hAnsi="Arial" w:cs="Arial"/>
          <w:color w:val="000000"/>
          <w:lang w:eastAsia="es-CO"/>
        </w:rPr>
        <w:t>mitigabilidad</w:t>
      </w:r>
      <w:proofErr w:type="spellEnd"/>
      <w:r w:rsidRPr="009342F9">
        <w:rPr>
          <w:rFonts w:ascii="Arial" w:eastAsia="Times New Roman" w:hAnsi="Arial" w:cs="Arial"/>
          <w:color w:val="000000"/>
          <w:lang w:eastAsia="es-CO"/>
        </w:rPr>
        <w:t xml:space="preserve"> o no </w:t>
      </w:r>
      <w:proofErr w:type="spellStart"/>
      <w:r w:rsidRPr="009342F9">
        <w:rPr>
          <w:rFonts w:ascii="Arial" w:eastAsia="Times New Roman" w:hAnsi="Arial" w:cs="Arial"/>
          <w:color w:val="000000"/>
          <w:lang w:eastAsia="es-CO"/>
        </w:rPr>
        <w:t>mitigabilidad</w:t>
      </w:r>
      <w:proofErr w:type="spellEnd"/>
      <w:r w:rsidRPr="009342F9">
        <w:rPr>
          <w:rFonts w:ascii="Arial" w:eastAsia="Times New Roman" w:hAnsi="Arial" w:cs="Arial"/>
          <w:color w:val="000000"/>
          <w:lang w:eastAsia="es-CO"/>
        </w:rPr>
        <w:t>, a partir de las alternativas de intervención física para reducir y evitar el incremento de la amenaza y/o vulnerabilidad. </w:t>
      </w:r>
    </w:p>
    <w:p w14:paraId="18EB811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DC4A92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Para estas alternativas se deberá evaluar su viabilidad de ejecución desde el punto de vista técnico, financiero y urbanístico. Bajo estas evaluaciones se obtendrá la definición del riesgo alto mitigable o riesgo alto no mitigable. </w:t>
      </w:r>
    </w:p>
    <w:p w14:paraId="11CCBC68" w14:textId="1B62DB60"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920" w:name="ver_30072770"/>
      <w:bookmarkEnd w:id="920"/>
    </w:p>
    <w:p w14:paraId="7664A63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2.2.2.1.3.2.2.6. Contenidos de la evaluación del riesgo. Los estudios de evaluación de riesgo deben acompañarse de los siguientes documentos por cada fenómeno analizado: </w:t>
      </w:r>
    </w:p>
    <w:p w14:paraId="0E48796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D66F2F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Documento técnico que contenga metodología de evaluación empleada y los resultados. </w:t>
      </w:r>
    </w:p>
    <w:p w14:paraId="418483B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3BDD8F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Fichas de evaluación de vulnerabilidad. </w:t>
      </w:r>
    </w:p>
    <w:p w14:paraId="7539ABF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086DE9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Mapa de vulnerabilidad categorizada en alta, media y baja. </w:t>
      </w:r>
    </w:p>
    <w:p w14:paraId="1116728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534111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Mapa de riesgo, categorizado en alto, medio y bajo, señalando para el riesgo alto si es mitigable o no mitigable. </w:t>
      </w:r>
    </w:p>
    <w:p w14:paraId="5981533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1630C7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 Mapas de localización y dimensionamiento de las medidas de intervención propuestas. </w:t>
      </w:r>
    </w:p>
    <w:p w14:paraId="5FE34CF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E0C57A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6. Presupuestos estimados de costos de las alternativas planteadas. </w:t>
      </w:r>
    </w:p>
    <w:p w14:paraId="2A8A824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EB56A0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7. Inventario de viviendas en alto riesgo no mitigable </w:t>
      </w:r>
    </w:p>
    <w:p w14:paraId="3E77548D" w14:textId="1ED8693B"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921" w:name="ver_30072772"/>
      <w:bookmarkEnd w:id="921"/>
    </w:p>
    <w:p w14:paraId="02F3818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2.2.2.1.3.2.2.7. Medidas de Intervención. Para la prevención, mitigación del riesgo y/o reducción de la amenaza y/o vulnerabilidad de conformidad con lo previsto en el artículo anterior, el estudio de evaluación de riesgo planteará medidas que podrán ser estructurales y no estructurales. </w:t>
      </w:r>
    </w:p>
    <w:p w14:paraId="52BD363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FD5C6D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Las medidas estructurales, son medidas físicas encaminadas a la realización de acciones y obras para atender las condiciones de riesgo ya existentes. Entre otras se consideran las siguientes: obras de estabilización y de reforzamiento de edificaciones e infraestructura, las cuales deben ser predimensionadas sobre la cartografía a nivel de prediseño, con el estimativo de costos correspondiente. </w:t>
      </w:r>
    </w:p>
    <w:p w14:paraId="0739A49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96CB63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En la determinación de este tipo de medidas se deben considerar los potenciales efectos que producirán aguas abajo. </w:t>
      </w:r>
    </w:p>
    <w:p w14:paraId="6A97F32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258642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las zonas donde se define que el riesgo es no mitigable se deben identificar en detalle las viviendas y construcciones que serán objeto de reasentamiento, además de las obras de estabilización necesarias para evitar que aumente la influencia del fenómeno en estudio. </w:t>
      </w:r>
    </w:p>
    <w:p w14:paraId="74071A7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F8F091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Las medidas no estructurales, orientadas a regular el uso, la ocupación y el aprovechamiento del suelo mediante la determinación de normas urbanísticas, proyectos para la implementación de sistemas de alertas tempranas en los casos que aplique, así como la socialización y apropiación cultural de los principios de responsabilidad y precaución. </w:t>
      </w:r>
    </w:p>
    <w:p w14:paraId="1E8719F6" w14:textId="6E9A52EB"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922" w:name="ver_30072774"/>
      <w:bookmarkEnd w:id="922"/>
    </w:p>
    <w:p w14:paraId="3FFBA68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2.2.2.1.3.2.2.8. Incorporación de los resultados de estudios detallados al POT. Con base en los resultados de los estudios detallados y mediante acto administrativo, el alcalde municipal o distrital o la dependencia delegada para el efecto, podrá realizar la precisión cartográfica y la definición de las normas urbanísticas a que haya lugar en el área objeto de estudio, de conformidad con lo previsto en el Plan de Ordenamiento Territorial y deberá registrarse en todos los planos de la cartografía oficial. </w:t>
      </w:r>
    </w:p>
    <w:p w14:paraId="342FFFF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07BF47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todo caso, cuando los resultados de los estudios detallados generen la modificación de los usos del suelo o de normas urbanísticas del Plan de Ordenamiento Territorial deberá emprenderse su revisión, ajuste o modificación en los términos de la Ley 388 de 1997 y las normas que la adicionen, modifiquen o complementen. </w:t>
      </w:r>
    </w:p>
    <w:p w14:paraId="3F282E5D" w14:textId="31D51BFD" w:rsidR="00FC79C1" w:rsidRPr="009342F9" w:rsidRDefault="00FC79C1" w:rsidP="00AA5FD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3877823" w14:textId="159423CF" w:rsidR="00FC79C1" w:rsidRPr="00AA5FD1" w:rsidRDefault="00FC79C1" w:rsidP="00AA5FD1">
      <w:pPr>
        <w:spacing w:after="0" w:line="240" w:lineRule="auto"/>
        <w:jc w:val="center"/>
        <w:rPr>
          <w:rFonts w:ascii="Arial" w:eastAsia="Times New Roman" w:hAnsi="Arial" w:cs="Arial"/>
          <w:b/>
          <w:bCs/>
          <w:color w:val="000000"/>
          <w:lang w:eastAsia="es-CO"/>
        </w:rPr>
      </w:pPr>
      <w:bookmarkStart w:id="923" w:name="ver_30072778"/>
      <w:bookmarkEnd w:id="923"/>
      <w:r w:rsidRPr="00AA5FD1">
        <w:rPr>
          <w:rFonts w:ascii="Arial" w:eastAsia="Times New Roman" w:hAnsi="Arial" w:cs="Arial"/>
          <w:b/>
          <w:bCs/>
          <w:color w:val="000000"/>
          <w:lang w:eastAsia="es-CO"/>
        </w:rPr>
        <w:t>SUBSECCIÓN 3</w:t>
      </w:r>
    </w:p>
    <w:p w14:paraId="7F187BBA" w14:textId="77777777" w:rsidR="00FC79C1" w:rsidRPr="00AA5FD1" w:rsidRDefault="00FC79C1" w:rsidP="00AA5FD1">
      <w:pPr>
        <w:spacing w:after="0" w:line="240" w:lineRule="auto"/>
        <w:jc w:val="center"/>
        <w:rPr>
          <w:rFonts w:ascii="Arial" w:eastAsia="Times New Roman" w:hAnsi="Arial" w:cs="Arial"/>
          <w:b/>
          <w:bCs/>
          <w:color w:val="000000"/>
          <w:lang w:eastAsia="es-CO"/>
        </w:rPr>
      </w:pPr>
      <w:r w:rsidRPr="00AA5FD1">
        <w:rPr>
          <w:rFonts w:ascii="Arial" w:eastAsia="Times New Roman" w:hAnsi="Arial" w:cs="Arial"/>
          <w:b/>
          <w:bCs/>
          <w:color w:val="000000"/>
          <w:lang w:eastAsia="es-CO"/>
        </w:rPr>
        <w:t>INCORPORACIÓN DEL RIESGO EN EL ORDENAMIENTO TERRITORIAL</w:t>
      </w:r>
    </w:p>
    <w:p w14:paraId="694F846E"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924" w:name="ver_30072779"/>
      <w:bookmarkEnd w:id="924"/>
    </w:p>
    <w:p w14:paraId="2A98658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2.2.2.1.3.3.1 Documento Técnico de Soporte. Los estudios básicos, y cuando se disponga de estudios detallados, deben integrarse al Documento Técnico de Soporte que contiene la justificación, la descripción, el desarrollo y la aplicación de las determinaciones de planificación de los componentes y contenidos del Plan de Ordenamiento Territorial. </w:t>
      </w:r>
    </w:p>
    <w:p w14:paraId="5911BFA0" w14:textId="201FD763"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925" w:name="ver_30072781"/>
      <w:bookmarkEnd w:id="925"/>
    </w:p>
    <w:p w14:paraId="18F1509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2.2.2.1.3.3.2 Componente General. En relación con la gestión del riesgo, en el componente general del POT se deberá considerar como mínimo: </w:t>
      </w:r>
    </w:p>
    <w:p w14:paraId="7CAD872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827866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Objetivos y estrategias territoriales de mediano y largo plazo. Se deben establecer los objetivos y estrategias de mediano y largo plazo garantizando la incorporación de la gestión del riesgo en el plan de ordenamiento territorial y la definición de medidas para el conocimiento y la reducción (prevención y mitigación) del riesgo, procurando el desarrollo seguro del territorio, de acuerdo con los análisis efectuados en los estudios básicos, así como con los análisis de estudios detallados cuando se disponga de estos. </w:t>
      </w:r>
    </w:p>
    <w:p w14:paraId="0F5C6BD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7A2276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Contenido estructural. En el contenido estructural se deben especificar y ubicar en planos: </w:t>
      </w:r>
    </w:p>
    <w:p w14:paraId="52CF079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B621B6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2.1. Las áreas con condición de riesgo y con restricción por amenazas identificadas en los estudios básicos y su priorización para la elaboración de los estudios detallados en el corto, mediano y largo plazo, en función de los objetivos, estrategias y prioridades adoptados para la concreción del modelo de ocupación territorial y de acuerdo con la programación prevista en el respectivo plan. </w:t>
      </w:r>
    </w:p>
    <w:p w14:paraId="2DC1C3B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D7EFF9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3. La determinación y ubicación en planos de las zonas que presenten alto riesgo para la localización de asentamientos humanos, por amenazas o por riesgos naturales, siempre y cuando se cuente con los estudios detallados que permitan su caracterización. </w:t>
      </w:r>
    </w:p>
    <w:p w14:paraId="0C209DE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A564A3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3.1. En la determinación de los suelos de protección deben considerarse las áreas que cumplan las siguientes condiciones y que por tanto tienen restringida la posibilidad de urbanizarse: </w:t>
      </w:r>
    </w:p>
    <w:p w14:paraId="3B69C24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34FBEC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3.1.1. Las áreas sin ocupar zonificadas en los estudios básicos como amenaza alta, en las que la información sobre intensidad y recurrencia o registros históricos de los fenómenos por movimientos en masa, avenidas torrenciales o inundación evidencian que </w:t>
      </w:r>
      <w:proofErr w:type="gramStart"/>
      <w:r w:rsidRPr="009342F9">
        <w:rPr>
          <w:rFonts w:ascii="Arial" w:eastAsia="Times New Roman" w:hAnsi="Arial" w:cs="Arial"/>
          <w:color w:val="000000"/>
          <w:lang w:eastAsia="es-CO"/>
        </w:rPr>
        <w:t>la determinación de las medidas de reducción son</w:t>
      </w:r>
      <w:proofErr w:type="gramEnd"/>
      <w:r w:rsidRPr="009342F9">
        <w:rPr>
          <w:rFonts w:ascii="Arial" w:eastAsia="Times New Roman" w:hAnsi="Arial" w:cs="Arial"/>
          <w:color w:val="000000"/>
          <w:lang w:eastAsia="es-CO"/>
        </w:rPr>
        <w:t xml:space="preserve"> insuficientes en el tiempo para garantizar el desarrollo de procesos de urbanización; </w:t>
      </w:r>
    </w:p>
    <w:p w14:paraId="05573BC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E9D067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3.1.2. Las áreas zonificadas como riesgo alto no mitigable en suelo urbano, de expansión urbana y rural, de acuerdo con los estudios detallados, cuando se cuente con ellos. </w:t>
      </w:r>
    </w:p>
    <w:p w14:paraId="73369B0A" w14:textId="3022A473"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926" w:name="ver_30072785"/>
      <w:bookmarkEnd w:id="926"/>
    </w:p>
    <w:p w14:paraId="10E6C56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2.2.2.1.3.3.3 El Componente Urbano. </w:t>
      </w:r>
      <w:proofErr w:type="gramStart"/>
      <w:r w:rsidRPr="009342F9">
        <w:rPr>
          <w:rFonts w:ascii="Arial" w:eastAsia="Times New Roman" w:hAnsi="Arial" w:cs="Arial"/>
          <w:color w:val="000000"/>
          <w:lang w:eastAsia="es-CO"/>
        </w:rPr>
        <w:t>En relación al</w:t>
      </w:r>
      <w:proofErr w:type="gramEnd"/>
      <w:r w:rsidRPr="009342F9">
        <w:rPr>
          <w:rFonts w:ascii="Arial" w:eastAsia="Times New Roman" w:hAnsi="Arial" w:cs="Arial"/>
          <w:color w:val="000000"/>
          <w:lang w:eastAsia="es-CO"/>
        </w:rPr>
        <w:t xml:space="preserve"> suelo urbano y de expansión urbana, este componente deberá contemplar por lo menos, los siguientes contenidos para adelantar la delimitación de las áreas expuestas a amenazas y riesgos naturales, de conformidad con lo previsto en el componente general del plan de ordenamiento territorial: </w:t>
      </w:r>
    </w:p>
    <w:p w14:paraId="002F89C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AC5B28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Para las áreas con condición de amenaza: La asignación del régimen general de usos y tratamientos que se podrán desarrollar en estas áreas, estableciendo los condicionamientos o restricciones de usos, densidades, ocupación y edificabilidad que eviten la generación de situaciones de riesgo. </w:t>
      </w:r>
    </w:p>
    <w:p w14:paraId="4D5F661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FDDA38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El desarrollo de estas áreas se condiciona a la elaboración de los estudios detallados de que trata la presente subsección, para lo cual se deben señalar los criterios para la caracterización y delimitación de las unidades de análisis y para la realización de los estudios detallados. </w:t>
      </w:r>
    </w:p>
    <w:p w14:paraId="54D6697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098359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Para las áreas de amenaza media ocupadas. La determinación de las acciones requeridas para estas áreas relacionadas con el manejo de aguas y adecuación de taludes, entre otros, así como de las acciones para realizar seguimiento y monitoreo a fin de garantizar que no se generen condiciones de riesgo. </w:t>
      </w:r>
    </w:p>
    <w:p w14:paraId="2A4CF9B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615824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Para las áreas con condición riesgo: La definición de las condiciones técnicas que se estimen convenientes para la elaboración de los estudios detallados que permitan establecer la categorización del riesgo. </w:t>
      </w:r>
    </w:p>
    <w:p w14:paraId="6232D31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2D95DF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 asignación del régimen general de usos y tratamientos, y normas de densidades, ocupación y edificabilidad que se podrán desarrollar condicionados a los resultados de los estudios detallados. </w:t>
      </w:r>
    </w:p>
    <w:p w14:paraId="77F6BE8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FF8D75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Para las áreas de riesgo que cuenten con estudios detallados: </w:t>
      </w:r>
    </w:p>
    <w:p w14:paraId="18697CA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1E08D1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4.1 La delimitación y zonificación de las zonas de riesgo alto, medio y bajo con la determinación de aquellas zonas de riesgo alto que se consideren como mitigables y no mitigables. </w:t>
      </w:r>
    </w:p>
    <w:p w14:paraId="3E9113C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EAFA4A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4.2 La definición de las medidas de intervención para el desarrollo de las zonas de riesgo mitigable. Igualmente, se contemplará la asignación de usos y tratamientos y las demás normas </w:t>
      </w:r>
      <w:r w:rsidRPr="009342F9">
        <w:rPr>
          <w:rFonts w:ascii="Arial" w:eastAsia="Times New Roman" w:hAnsi="Arial" w:cs="Arial"/>
          <w:color w:val="000000"/>
          <w:lang w:eastAsia="es-CO"/>
        </w:rPr>
        <w:lastRenderedPageBreak/>
        <w:t>urbanísticas de carácter general para el desarrollo de estas áreas (densidades, ocupación y edificabilidad). </w:t>
      </w:r>
    </w:p>
    <w:p w14:paraId="134BCCA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DF7929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4.3 Cuando las zonas de alto riesgo se definan como no mitigables, se establecen las medidas para su manejo y para evitar la ocupación de estas áreas, de acuerdo con el régimen aplicable al suelo de protección. </w:t>
      </w:r>
    </w:p>
    <w:p w14:paraId="7DBF75D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5194BF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El desarrollo urbanístico de áreas con condición de amenaza estará sujeto a la realización de los estudios detallados, así como a la ejecución de las medidas de reducción (prevención y mitigación) que se determinen en los mismos. </w:t>
      </w:r>
    </w:p>
    <w:p w14:paraId="2683404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445DAE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Para el efecto, en el plan de ordenamiento territorial o los instrumentos que lo desarrollen y complementen se deben, si es del caso, fijar criterios diferenciales para la caracterización y </w:t>
      </w:r>
      <w:proofErr w:type="spellStart"/>
      <w:r w:rsidRPr="009342F9">
        <w:rPr>
          <w:rFonts w:ascii="Arial" w:eastAsia="Times New Roman" w:hAnsi="Arial" w:cs="Arial"/>
          <w:color w:val="000000"/>
          <w:lang w:eastAsia="es-CO"/>
        </w:rPr>
        <w:t>redelimitación</w:t>
      </w:r>
      <w:proofErr w:type="spellEnd"/>
      <w:r w:rsidRPr="009342F9">
        <w:rPr>
          <w:rFonts w:ascii="Arial" w:eastAsia="Times New Roman" w:hAnsi="Arial" w:cs="Arial"/>
          <w:color w:val="000000"/>
          <w:lang w:eastAsia="es-CO"/>
        </w:rPr>
        <w:t xml:space="preserve"> de las unidades de análisis en las áreas objeto de los estudios detallados. </w:t>
      </w:r>
    </w:p>
    <w:p w14:paraId="56ECAEF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100C65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Como mínimo se deben considerar los predios que pueden ser afectados por la ocurrencia del fenómeno natural objeto de análisis y se deben señalar las condiciones y parámetros para la realización de los estudios, de conformidad con lo establecido para el trámite de licencias de urbanización contempladas en el presente Decreto. </w:t>
      </w:r>
    </w:p>
    <w:p w14:paraId="25C4FF0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1793F3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Los estudios podrán estar a cargo del gestor y/o promotor y/o urbanizador dentro del trámite de los instrumentos de planeamiento intermedio y de licenciamiento urbanístico. </w:t>
      </w:r>
    </w:p>
    <w:p w14:paraId="711ED6A0" w14:textId="5D6AA1B5"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927" w:name="ver_30072787"/>
      <w:bookmarkEnd w:id="927"/>
    </w:p>
    <w:p w14:paraId="471CB24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2.2.2.1.3.3.4 El Componente Rural. </w:t>
      </w:r>
      <w:proofErr w:type="gramStart"/>
      <w:r w:rsidRPr="009342F9">
        <w:rPr>
          <w:rFonts w:ascii="Arial" w:eastAsia="Times New Roman" w:hAnsi="Arial" w:cs="Arial"/>
          <w:color w:val="000000"/>
          <w:lang w:eastAsia="es-CO"/>
        </w:rPr>
        <w:t>En relación al</w:t>
      </w:r>
      <w:proofErr w:type="gramEnd"/>
      <w:r w:rsidRPr="009342F9">
        <w:rPr>
          <w:rFonts w:ascii="Arial" w:eastAsia="Times New Roman" w:hAnsi="Arial" w:cs="Arial"/>
          <w:color w:val="000000"/>
          <w:lang w:eastAsia="es-CO"/>
        </w:rPr>
        <w:t xml:space="preserve"> suelo rural y rural suburbano, este componente deberá contemplar por lo menos, los siguientes contenidos para adelantar la delimitación de las áreas expuestas a amenazas y riesgos naturales, de conformidad con lo previsto en el componente general del plan de ordenamiento territorial: </w:t>
      </w:r>
    </w:p>
    <w:p w14:paraId="32EF6AD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5E1896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Para las áreas de amenaza alta y media: La definición de medidas de manejo especial para las zonas calificadas como de amenaza alta y media en los suelos rurales no suburbanos mediante el desarrollo, entre otros, de usos agroforestales, la implementación de prácticas culturales de conservación y manejo de cultivos, las medidas para el control de erosión y prácticas mecánicas de conservación tales como el manejo de escorrentías, así como determinar la necesidad de adelantar estudios detallados en las áreas de restricción por amenaza. </w:t>
      </w:r>
    </w:p>
    <w:p w14:paraId="5861E89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F2512C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Para las áreas con condición riesgo: La definición de las condiciones técnicas para la elaboración de los estudios detallados que permitan establecer las categorías de riesgo en estas áreas y la asignación del régimen general de usos. </w:t>
      </w:r>
    </w:p>
    <w:p w14:paraId="0C4ECE1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64501C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Para las áreas de riesgo que cuenten con estudios detallados: La delimitación y zonificación de las áreas de riesgo alto, medio y bajo con la determinación de aquellas zonas de riesgo alto que se consideren como mitigables y no mitigables. </w:t>
      </w:r>
    </w:p>
    <w:p w14:paraId="606101D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490357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 asignación de usos y las demás condiciones para orientar la ocupación de las áreas calificadas como de riesgo mitigable y para las clasificadas como de riesgo no mitigable se aplicará el régimen del suelo de protección. </w:t>
      </w:r>
    </w:p>
    <w:p w14:paraId="2B604EC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8BB10B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Parágrafo. El desarrollo por parcelación en áreas con condición de riesgo en suelo suburbano y centros poblados rurales que no cuenten con estudios detallados al momento de adoptar la revisión del plan de ordenamiento </w:t>
      </w:r>
      <w:proofErr w:type="gramStart"/>
      <w:r w:rsidRPr="009342F9">
        <w:rPr>
          <w:rFonts w:ascii="Arial" w:eastAsia="Times New Roman" w:hAnsi="Arial" w:cs="Arial"/>
          <w:color w:val="000000"/>
          <w:lang w:eastAsia="es-CO"/>
        </w:rPr>
        <w:t>territorial,</w:t>
      </w:r>
      <w:proofErr w:type="gramEnd"/>
      <w:r w:rsidRPr="009342F9">
        <w:rPr>
          <w:rFonts w:ascii="Arial" w:eastAsia="Times New Roman" w:hAnsi="Arial" w:cs="Arial"/>
          <w:color w:val="000000"/>
          <w:lang w:eastAsia="es-CO"/>
        </w:rPr>
        <w:t xml:space="preserve"> estará condicionado a su realización, así como a la </w:t>
      </w:r>
      <w:r w:rsidRPr="009342F9">
        <w:rPr>
          <w:rFonts w:ascii="Arial" w:eastAsia="Times New Roman" w:hAnsi="Arial" w:cs="Arial"/>
          <w:color w:val="000000"/>
          <w:lang w:eastAsia="es-CO"/>
        </w:rPr>
        <w:lastRenderedPageBreak/>
        <w:t>ejecución de las medidas de reducción (prevención y mitigación) que se determinen en estos estudios. </w:t>
      </w:r>
    </w:p>
    <w:p w14:paraId="18A5EDCE" w14:textId="49E164F4"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928" w:name="ver_30072789"/>
      <w:bookmarkEnd w:id="928"/>
    </w:p>
    <w:p w14:paraId="30A0C76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2.2.2.1.3.3.5 Programa de ejecución. En el programa de ejecución se incluyen con carácter obligatorio, los programas y proyectos para el conocimiento y la reducción (prevención y mitigación) del riesgo que se ejecutarán durante el periodo de la administración municipal o distrital correspondiente, de acuerdo con lo definido en el correspondiente Plan de Desarrollo y según la vigencia del plan de ordenamiento territorial, señalando las prioridades, la programación de actividades, las entidades responsables y los recursos respectivos. </w:t>
      </w:r>
    </w:p>
    <w:p w14:paraId="230EDD3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C4A3BB0" w14:textId="77777777" w:rsidR="00FC79C1" w:rsidRPr="009342F9" w:rsidRDefault="00FC79C1" w:rsidP="00FC79C1">
      <w:pPr>
        <w:spacing w:after="0" w:line="240" w:lineRule="auto"/>
        <w:jc w:val="both"/>
        <w:rPr>
          <w:rFonts w:ascii="Arial" w:eastAsia="Times New Roman" w:hAnsi="Arial" w:cs="Arial"/>
          <w:color w:val="000000"/>
          <w:lang w:eastAsia="es-CO"/>
        </w:rPr>
      </w:pPr>
      <w:r w:rsidRPr="231E957E">
        <w:rPr>
          <w:rFonts w:ascii="Arial" w:eastAsia="Times New Roman" w:hAnsi="Arial" w:cs="Arial"/>
          <w:color w:val="000000" w:themeColor="text1"/>
          <w:lang w:eastAsia="es-CO"/>
        </w:rPr>
        <w:t>Con fundamento en lo establecido en los componentes general, urbano y rural, dentro de los programas y proyectos se deben considerar como mínimo los estudios detallados en las áreas priorizadas, el desarrollo de medidas de mitigación estructurales y no estructurales y las acciones para adelantar reasentamientos. </w:t>
      </w:r>
    </w:p>
    <w:p w14:paraId="313B9D51" w14:textId="2CC807A3" w:rsidR="00AA5FD1" w:rsidRPr="009342F9" w:rsidRDefault="00FC79C1" w:rsidP="00FC79C1">
      <w:pPr>
        <w:spacing w:after="0" w:line="240" w:lineRule="auto"/>
        <w:jc w:val="both"/>
        <w:rPr>
          <w:rFonts w:ascii="Arial" w:eastAsia="Times New Roman" w:hAnsi="Arial" w:cs="Arial"/>
          <w:color w:val="000000"/>
          <w:lang w:eastAsia="es-CO"/>
        </w:rPr>
      </w:pPr>
      <w:r w:rsidRPr="231E957E">
        <w:rPr>
          <w:rFonts w:ascii="Arial" w:eastAsia="Times New Roman" w:hAnsi="Arial" w:cs="Arial"/>
          <w:color w:val="000000" w:themeColor="text1"/>
          <w:lang w:eastAsia="es-CO"/>
        </w:rPr>
        <w:t>  </w:t>
      </w:r>
    </w:p>
    <w:p w14:paraId="39824DE3" w14:textId="77777777" w:rsidR="007C7D44" w:rsidRDefault="00FC79C1" w:rsidP="00683694">
      <w:pPr>
        <w:spacing w:after="0" w:line="240" w:lineRule="auto"/>
        <w:jc w:val="center"/>
        <w:rPr>
          <w:rFonts w:ascii="Arial" w:eastAsia="Times New Roman" w:hAnsi="Arial" w:cs="Arial"/>
          <w:b/>
          <w:bCs/>
          <w:color w:val="000000"/>
          <w:lang w:eastAsia="es-CO"/>
        </w:rPr>
      </w:pPr>
      <w:bookmarkStart w:id="929" w:name="ver_30072792"/>
      <w:bookmarkEnd w:id="929"/>
      <w:r w:rsidRPr="231E957E">
        <w:rPr>
          <w:rFonts w:ascii="Arial" w:eastAsia="Times New Roman" w:hAnsi="Arial" w:cs="Arial"/>
          <w:b/>
          <w:color w:val="000000" w:themeColor="text1"/>
          <w:lang w:eastAsia="es-CO"/>
        </w:rPr>
        <w:t>SUBSECCIÓN 4</w:t>
      </w:r>
    </w:p>
    <w:p w14:paraId="02AA3CFC" w14:textId="77777777" w:rsidR="00FC79C1" w:rsidRPr="009342F9" w:rsidRDefault="00FC79C1" w:rsidP="00683694">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DISPOSICIONES FINALES</w:t>
      </w:r>
    </w:p>
    <w:p w14:paraId="57F23922"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930" w:name="ver_30072793"/>
      <w:bookmarkEnd w:id="930"/>
    </w:p>
    <w:p w14:paraId="02869FE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2.2.2.1.3.4.1 Requisitos profesionales. Los estudios técnicos señalados en la presente sección deben ser elaborados y firmados por profesionales idóneos en las materias, quienes son responsables de los mismos sin perjuicio de la responsabilidad por la correcta ejecución de los diseños y las obras de mitigación. </w:t>
      </w:r>
    </w:p>
    <w:p w14:paraId="2D567752" w14:textId="32B76862"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931" w:name="ver_30072794"/>
      <w:bookmarkEnd w:id="931"/>
    </w:p>
    <w:p w14:paraId="692C627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2.2.2.1.3.4.2 Mecanismos de financiación para la realización de estudios. De conformidad con lo previsto en la Ley 1523 de 2012, los municipios y sus fondos territoriales de gestión del riesgo definirán mecanismos de financiación para la realización de los estudios contemplados en el presente decreto. </w:t>
      </w:r>
    </w:p>
    <w:p w14:paraId="66C9B19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2ADCEB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En desarrollo de los principios de coordinación, concurrencia, complementariedad y subsidiariedad y el artículo 47 de que trata la citada ley, el Fondo Nacional de Gestión de Riesgo de Desastres en la priorización de la inversión de recursos para el conocimiento y la reducción del riesgo para la implementación de lo previsto en este decreto, podrá apoyar a los municipios de categorías 5 y 6, de conformidad con los criterios que se establezcan para el manejo de este fondo. </w:t>
      </w:r>
    </w:p>
    <w:p w14:paraId="40DFD71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FBB2048" w14:textId="10D9BC67" w:rsidR="00FC79C1" w:rsidRPr="009342F9" w:rsidRDefault="00FC79C1" w:rsidP="00683694">
      <w:pPr>
        <w:spacing w:after="0" w:line="240" w:lineRule="auto"/>
        <w:jc w:val="center"/>
        <w:rPr>
          <w:rFonts w:ascii="Arial" w:eastAsia="Times New Roman" w:hAnsi="Arial" w:cs="Arial"/>
          <w:b/>
          <w:bCs/>
          <w:color w:val="000000"/>
          <w:lang w:eastAsia="es-CO"/>
        </w:rPr>
      </w:pPr>
      <w:bookmarkStart w:id="932" w:name="ver_30072796"/>
      <w:bookmarkEnd w:id="932"/>
      <w:r w:rsidRPr="009342F9">
        <w:rPr>
          <w:rFonts w:ascii="Arial" w:eastAsia="Times New Roman" w:hAnsi="Arial" w:cs="Arial"/>
          <w:b/>
          <w:bCs/>
          <w:color w:val="000000"/>
          <w:lang w:eastAsia="es-CO"/>
        </w:rPr>
        <w:t>SECCIÓN 4</w:t>
      </w:r>
    </w:p>
    <w:p w14:paraId="78D25DD8" w14:textId="77777777" w:rsidR="00FC79C1" w:rsidRDefault="00FC79C1" w:rsidP="00683694">
      <w:pPr>
        <w:spacing w:after="0" w:line="240" w:lineRule="auto"/>
        <w:jc w:val="center"/>
        <w:rPr>
          <w:rFonts w:ascii="Arial" w:eastAsia="Times New Roman" w:hAnsi="Arial" w:cs="Arial"/>
          <w:b/>
          <w:bCs/>
          <w:color w:val="000000"/>
          <w:lang w:eastAsia="es-CO"/>
        </w:rPr>
      </w:pPr>
      <w:r w:rsidRPr="231E957E">
        <w:rPr>
          <w:rFonts w:ascii="Arial" w:eastAsia="Times New Roman" w:hAnsi="Arial" w:cs="Arial"/>
          <w:b/>
          <w:color w:val="000000" w:themeColor="text1"/>
          <w:lang w:eastAsia="es-CO"/>
        </w:rPr>
        <w:t>TRATAMIENTOS URBANÍSTICOS</w:t>
      </w:r>
    </w:p>
    <w:p w14:paraId="61E34576" w14:textId="77777777" w:rsidR="007C7D44" w:rsidRPr="009342F9" w:rsidRDefault="007C7D44" w:rsidP="00683694">
      <w:pPr>
        <w:spacing w:after="0" w:line="240" w:lineRule="auto"/>
        <w:jc w:val="center"/>
        <w:rPr>
          <w:rFonts w:ascii="Arial" w:eastAsia="Times New Roman" w:hAnsi="Arial" w:cs="Arial"/>
          <w:b/>
          <w:bCs/>
          <w:color w:val="000000"/>
          <w:lang w:eastAsia="es-CO"/>
        </w:rPr>
      </w:pPr>
    </w:p>
    <w:p w14:paraId="396712B1" w14:textId="66ECBB46" w:rsidR="00FC79C1" w:rsidRPr="009342F9" w:rsidRDefault="00FC79C1" w:rsidP="00683694">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SUBSECCIÓN 1</w:t>
      </w:r>
    </w:p>
    <w:p w14:paraId="4244E771" w14:textId="77777777" w:rsidR="00FC79C1" w:rsidRPr="009342F9" w:rsidRDefault="00FC79C1" w:rsidP="00683694">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URBANIZACIÓN E INCORPORACIÓN AL DESARROLLO DE LOS PREDIOS Y ZONAS COMPRENDIDAS EN SUELO URBANO Y DE EXPANSIÓN</w:t>
      </w:r>
    </w:p>
    <w:p w14:paraId="686FBD67"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933" w:name="ver_30072798"/>
      <w:bookmarkEnd w:id="933"/>
    </w:p>
    <w:p w14:paraId="21C2131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2.2.2.1.4.1.1 Objeto y ámbito de aplicación. Las disposiciones contenidas en la presente subsección reglamentan las actuaciones para la urbanización e incorporación al desarrollo urbano de los predios y zonas sin urbanizar en suelo urbano y de expansión urbana. </w:t>
      </w:r>
    </w:p>
    <w:p w14:paraId="6D31BFB3"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934" w:name="ver_30072803"/>
      <w:bookmarkEnd w:id="934"/>
    </w:p>
    <w:p w14:paraId="28942034" w14:textId="1D9F10C1"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2.2.2.1.4.1.2</w:t>
      </w:r>
      <w:r w:rsidR="00B86CD1">
        <w:rPr>
          <w:rFonts w:ascii="Arial" w:eastAsia="Times New Roman" w:hAnsi="Arial" w:cs="Arial"/>
          <w:color w:val="000000"/>
          <w:lang w:eastAsia="es-CO"/>
        </w:rPr>
        <w:t xml:space="preserve">. </w:t>
      </w:r>
      <w:r w:rsidRPr="009342F9">
        <w:rPr>
          <w:rFonts w:ascii="Arial" w:eastAsia="Times New Roman" w:hAnsi="Arial" w:cs="Arial"/>
          <w:color w:val="000000"/>
          <w:lang w:eastAsia="es-CO"/>
        </w:rPr>
        <w:t> Zonas y predios sujetos a las actuaciones de urbanización. Se someterán a las actuaciones de urbanización todos los predios urbanizables no urbanizados a los que se les haya asignado el tratamiento urbanístico de desarrollo y a los predios sin urbanizar a los que se les haya asignado un tratamiento urbanístico distinto. </w:t>
      </w:r>
    </w:p>
    <w:p w14:paraId="55A42D3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666F43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Parágrafo. En todo caso, se excluirán de las actuaciones de urbanización las zonas clasificadas como suelo de protección según lo previsto en el artículo 35 de la Ley 388 de 1997; los predios que se hayan desarrollado por procesos de urbanización o construcción con fundamento en actos administrativos expedidos por las autoridades competentes; las zonas o barrios consolidados con edificaciones, y los asentamientos de hecho que deban ser objeto de procesos de legalización y regularización urbanística previstos en la ley. </w:t>
      </w:r>
    </w:p>
    <w:p w14:paraId="7EAF7E7F" w14:textId="0E94BB93"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935" w:name="ver_30072806"/>
      <w:bookmarkEnd w:id="935"/>
    </w:p>
    <w:p w14:paraId="2D94D981" w14:textId="7A52761B"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2.2.2.1.4.1.3</w:t>
      </w:r>
      <w:r w:rsidR="00B86CD1">
        <w:rPr>
          <w:rFonts w:ascii="Arial" w:eastAsia="Times New Roman" w:hAnsi="Arial" w:cs="Arial"/>
          <w:color w:val="000000"/>
          <w:lang w:eastAsia="es-CO"/>
        </w:rPr>
        <w:t>.</w:t>
      </w:r>
      <w:r w:rsidRPr="009342F9">
        <w:rPr>
          <w:rFonts w:ascii="Arial" w:eastAsia="Times New Roman" w:hAnsi="Arial" w:cs="Arial"/>
          <w:color w:val="000000"/>
          <w:lang w:eastAsia="es-CO"/>
        </w:rPr>
        <w:t> Condiciones para adelantar la actuación de urbanización. Para efectos de lo previsto en el artículo 19 de la Ley 388 de 1997, las actuaciones de urbanización en predios urbanizables no urbanizados se adelantarán teniendo en cuenta las siguientes condiciones: </w:t>
      </w:r>
    </w:p>
    <w:p w14:paraId="4268FE0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0E56BE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En suelo de expansión urbana: Mediante la adopción del respectivo plan parcial, en todos los casos. </w:t>
      </w:r>
    </w:p>
    <w:p w14:paraId="0C68E98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FD31EB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En suelo urbano: </w:t>
      </w:r>
    </w:p>
    <w:p w14:paraId="514DD09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148B5C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2.1 Mediante la adopción de plan parcial cuando se requiera de la gestión asociada de los propietarios de predios mediante unidades de actuación urbanística o se trate de macroproyectos u otras operaciones urbanas especiales. </w:t>
      </w:r>
    </w:p>
    <w:p w14:paraId="4D71991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A0AB10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2.2 Mediante la aprobación de un proyecto urbanístico general o licencia de urbanización sin trámite de plan parcial, cuando el predio o predios cuenten con disponibilidad inmediata de servicios públicos y cumpla con alguno de los siguientes requisitos: </w:t>
      </w:r>
    </w:p>
    <w:p w14:paraId="2735BFF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4134F6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2.2.1 Se trate de predio(s) localizado(s) en zonas cuya área no supere las diez (10) hectáreas netas urbanizables, delimitadas por áreas consolidadas o urbanizadas o por predios que tengan licencias de urbanización vigentes y garanticen las condiciones de accesibilidad y continuidad del trazado vial. </w:t>
      </w:r>
    </w:p>
    <w:p w14:paraId="03DB3F3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D14544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2.2.2 Se trate de un sólo predio cuya área supere las diez (10) hectáreas netas urbanizables, que para su desarrollo no requiera de gestión asociada y se apruebe como un sólo proyecto urbanístico general de acuerdo con lo dispuesto en el presente decreto. </w:t>
      </w:r>
    </w:p>
    <w:p w14:paraId="5FF11B7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FB702D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2.2.3 Las disposiciones sobre tamaño de predios y áreas de que tratan los numerales 2.2.1.y 2.2.2., solo </w:t>
      </w:r>
      <w:proofErr w:type="gramStart"/>
      <w:r w:rsidRPr="009342F9">
        <w:rPr>
          <w:rFonts w:ascii="Arial" w:eastAsia="Times New Roman" w:hAnsi="Arial" w:cs="Arial"/>
          <w:color w:val="000000"/>
          <w:lang w:eastAsia="es-CO"/>
        </w:rPr>
        <w:t>serán de aplicación</w:t>
      </w:r>
      <w:proofErr w:type="gramEnd"/>
      <w:r w:rsidRPr="009342F9">
        <w:rPr>
          <w:rFonts w:ascii="Arial" w:eastAsia="Times New Roman" w:hAnsi="Arial" w:cs="Arial"/>
          <w:color w:val="000000"/>
          <w:lang w:eastAsia="es-CO"/>
        </w:rPr>
        <w:t xml:space="preserve"> en los municipios y distritos que hayan adoptado los planes de ordenamiento previstos en el literal a) del artículo 9° de la Ley 388 de 1997. No obstante, la actuación de urbanización deberá llevarse a cabo mediante plan parcial cuando no se cumpla alguno de los requisitos de que tratan los numerales 2.2.1.y 2.2.2. </w:t>
      </w:r>
    </w:p>
    <w:p w14:paraId="6AF3BEF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3F164D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1°. En todo caso, para adelantar el trámite de urbanización sin plan parcial el municipio o distrito debe contar con la reglamentación del tratamiento urbanístico de desarrollo en los términos de que trata la presente Subsección. </w:t>
      </w:r>
    </w:p>
    <w:p w14:paraId="7EB7646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C938F6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2°. También se requerirá plan parcial siempre que el predio o predios objeto de la actuación de urbanización se encuentre en alguna de las situaciones previstas en el artículo del presente decreto que hace referencia a los planes parciales objeto de concertación con la autoridad ambiental. </w:t>
      </w:r>
    </w:p>
    <w:p w14:paraId="23F0F6B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E35F9A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3. La adopción de los planes parciales se sujetará a lo previsto en el presente decreto en relación con planes parciales. </w:t>
      </w:r>
    </w:p>
    <w:p w14:paraId="59BB3806" w14:textId="2C75A0C9"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936" w:name="ver_30072809"/>
      <w:bookmarkEnd w:id="936"/>
    </w:p>
    <w:p w14:paraId="7E6116D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Artículo 2.2.2.1.4.1.4 Prohibición de subdivisión previa al proceso de urbanización en suelo urbano. Los predios urbanizables no urbanizados ubicados en suelo urbano no podrán ser subdivididos previamente a la actuación de urbanización, salvo cuando: </w:t>
      </w:r>
    </w:p>
    <w:p w14:paraId="6DB54B8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F207BB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Se trate de subdivisiones, particiones o divisiones materiales ordenadas por sentencia judicial en firme. </w:t>
      </w:r>
    </w:p>
    <w:p w14:paraId="7C36584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BE52B8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Se requiera por motivo de la ejecución de obras de utilidad pública. </w:t>
      </w:r>
    </w:p>
    <w:p w14:paraId="31C3B99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CB32CF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Se pretenda dividir la parte del predio que esté ubicada en suelo urbano de la parte que se localice en suelo de expansión urbana o en suelo rural. </w:t>
      </w:r>
    </w:p>
    <w:p w14:paraId="40D0130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9761E6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Existan reglas especiales para subdivisión contenidas en el plan de ordenamiento territorial o los instrumentos que lo desarrollen o complementen. </w:t>
      </w:r>
    </w:p>
    <w:p w14:paraId="20AA450F" w14:textId="54CD4ABB"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937" w:name="ver_30072812"/>
      <w:bookmarkEnd w:id="937"/>
    </w:p>
    <w:p w14:paraId="3F28031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2.2.2.1.4.1.5 Subdivisión previa al proceso de urbanización en suelo de expansión y subdivisión en suelo rural. Mientras no se adopte el respectivo plan parcial, y salvo lo previsto en el parágrafo del presente artículo, los predios urbanizables no urbanizados en suelo de expansión urbana no podrán subdividirse por debajo de la extensión mínima de la unidad agrícola familiar. </w:t>
      </w:r>
    </w:p>
    <w:p w14:paraId="7D0BCE3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8F20E2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Parágrafo. Las excepciones a la subdivisión de predios rurales por debajo de la extensión mínima de la unidad agrícola </w:t>
      </w:r>
      <w:proofErr w:type="gramStart"/>
      <w:r w:rsidRPr="009342F9">
        <w:rPr>
          <w:rFonts w:ascii="Arial" w:eastAsia="Times New Roman" w:hAnsi="Arial" w:cs="Arial"/>
          <w:color w:val="000000"/>
          <w:lang w:eastAsia="es-CO"/>
        </w:rPr>
        <w:t>familiar,</w:t>
      </w:r>
      <w:proofErr w:type="gramEnd"/>
      <w:r w:rsidRPr="009342F9">
        <w:rPr>
          <w:rFonts w:ascii="Arial" w:eastAsia="Times New Roman" w:hAnsi="Arial" w:cs="Arial"/>
          <w:color w:val="000000"/>
          <w:lang w:eastAsia="es-CO"/>
        </w:rPr>
        <w:t xml:space="preserve"> serán autorizadas en la respectiva licencia de subdivisión por los curadores urbanos o la autoridad municipal competente para expedir licencias, y los predios resultantes sólo podrán destinarse a los usos permitidos en el plan de ordenamiento o en los instrumentos que lo desarrollen o complementen. Esta disposición también se aplicará para la subdivisión de predios en suelo de expansión urbana que no cuenten con el respectivo plan parcial. </w:t>
      </w:r>
    </w:p>
    <w:p w14:paraId="50879739" w14:textId="02ED95E4"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938" w:name="ver_30072815"/>
      <w:bookmarkEnd w:id="938"/>
    </w:p>
    <w:p w14:paraId="7CC1591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2.2.2.1.4.1.6 Actuaciones urbanísticas en suelo de expansión urbana. En desarrollo de lo dispuesto en el artículo 19 de la Ley 388 de 1997, el suelo de expansión únicamente podrá ser objeto de urbanización y construcción previa adopción del respectivo plan parcial. </w:t>
      </w:r>
    </w:p>
    <w:p w14:paraId="2083E36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EB8DA9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Mientras no se aprueben los respectivos planes parciales, en las zonas de expansión urbana solo se permitirá el desarrollo de usos agrícolas y forestales. En ningún caso se permitirá el desarrollo de parcelaciones rurales para vivienda campestre. </w:t>
      </w:r>
    </w:p>
    <w:p w14:paraId="14A68E5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4AFCEDD" w14:textId="77777777" w:rsidR="00FC79C1" w:rsidRPr="009342F9" w:rsidRDefault="00FC79C1" w:rsidP="00FC79C1">
      <w:pPr>
        <w:spacing w:after="0" w:line="240" w:lineRule="auto"/>
        <w:jc w:val="both"/>
        <w:rPr>
          <w:rFonts w:ascii="Arial" w:eastAsia="Times New Roman" w:hAnsi="Arial" w:cs="Arial"/>
          <w:color w:val="000000"/>
          <w:lang w:eastAsia="es-CO"/>
        </w:rPr>
      </w:pPr>
      <w:r w:rsidRPr="231E957E">
        <w:rPr>
          <w:rFonts w:ascii="Arial" w:eastAsia="Times New Roman" w:hAnsi="Arial" w:cs="Arial"/>
          <w:color w:val="000000" w:themeColor="text1"/>
          <w:lang w:eastAsia="es-CO"/>
        </w:rPr>
        <w:t>No obstante lo anterior, en cualquier momento podrán realizarse las obras correspondientes a la infraestructura de los sistemas generales o estructurantes del orden municipal o distrital, así como las obras de infraestructura relativas a la red vial nacional, regional y departamental, puertos y aeropuertos y sistemas de abastecimiento de agua, saneamiento y suministro de energía que deban ejecutar las entidades del nivel central o descentralizado de la rama ejecutiva del orden nacional, departamental, municipal o distrital, las empresas industriales y comerciales del Estado y las empresas prestadoras de servicios públicos domiciliarios. </w:t>
      </w:r>
    </w:p>
    <w:p w14:paraId="3DD6C4F8" w14:textId="712A6044" w:rsidR="00B86CD1" w:rsidRPr="009342F9" w:rsidRDefault="00FC79C1" w:rsidP="00AA5FD1">
      <w:pPr>
        <w:spacing w:after="0" w:line="240" w:lineRule="auto"/>
        <w:jc w:val="both"/>
        <w:rPr>
          <w:rFonts w:ascii="Arial" w:eastAsia="Times New Roman" w:hAnsi="Arial" w:cs="Arial"/>
          <w:b/>
          <w:bCs/>
          <w:color w:val="000000"/>
          <w:lang w:eastAsia="es-CO"/>
        </w:rPr>
      </w:pPr>
      <w:r w:rsidRPr="231E957E">
        <w:rPr>
          <w:rFonts w:ascii="Arial" w:eastAsia="Times New Roman" w:hAnsi="Arial" w:cs="Arial"/>
          <w:color w:val="000000" w:themeColor="text1"/>
          <w:lang w:eastAsia="es-CO"/>
        </w:rPr>
        <w:t>  </w:t>
      </w:r>
      <w:bookmarkStart w:id="939" w:name="ver_30072817"/>
      <w:bookmarkEnd w:id="939"/>
    </w:p>
    <w:p w14:paraId="3546D20E" w14:textId="01BC018D" w:rsidR="00FC79C1" w:rsidRPr="009342F9" w:rsidRDefault="00FC79C1" w:rsidP="00683694">
      <w:pPr>
        <w:spacing w:after="0" w:line="240" w:lineRule="auto"/>
        <w:jc w:val="center"/>
        <w:rPr>
          <w:rFonts w:ascii="Arial" w:eastAsia="Times New Roman" w:hAnsi="Arial" w:cs="Arial"/>
          <w:b/>
          <w:bCs/>
          <w:color w:val="000000"/>
          <w:lang w:eastAsia="es-CO"/>
        </w:rPr>
      </w:pPr>
      <w:r w:rsidRPr="231E957E">
        <w:rPr>
          <w:rFonts w:ascii="Arial" w:eastAsia="Times New Roman" w:hAnsi="Arial" w:cs="Arial"/>
          <w:b/>
          <w:color w:val="000000" w:themeColor="text1"/>
          <w:lang w:eastAsia="es-CO"/>
        </w:rPr>
        <w:t>SUBSECCIÓN 2</w:t>
      </w:r>
    </w:p>
    <w:p w14:paraId="78F5434A" w14:textId="77777777" w:rsidR="00FC79C1" w:rsidRPr="009342F9" w:rsidRDefault="00FC79C1" w:rsidP="00683694">
      <w:pPr>
        <w:spacing w:after="0" w:line="240" w:lineRule="auto"/>
        <w:jc w:val="center"/>
        <w:rPr>
          <w:rFonts w:ascii="Arial" w:eastAsia="Times New Roman" w:hAnsi="Arial" w:cs="Arial"/>
          <w:b/>
          <w:bCs/>
          <w:color w:val="000000"/>
          <w:lang w:eastAsia="es-CO"/>
        </w:rPr>
      </w:pPr>
      <w:r w:rsidRPr="231E957E">
        <w:rPr>
          <w:rFonts w:ascii="Arial" w:eastAsia="Times New Roman" w:hAnsi="Arial" w:cs="Arial"/>
          <w:b/>
          <w:color w:val="000000" w:themeColor="text1"/>
          <w:lang w:eastAsia="es-CO"/>
        </w:rPr>
        <w:t>TRATAMIENTO URBANÍSTICO DE DESARROLLO</w:t>
      </w:r>
    </w:p>
    <w:p w14:paraId="742376C6"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940" w:name="ver_30072819"/>
      <w:bookmarkEnd w:id="940"/>
    </w:p>
    <w:p w14:paraId="0F9084B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2.2.2.1.4.2.1 Tratamiento urbanístico de desarrollo. En los planes de ordenamiento territorial o en los instrumentos que lo desarrollen se deben definir para los suelos urbanos y de expansión urbana, las normas que orientan el tratamiento urbanístico de desarrollo, estableciendo sus particularidades en cuanto a localización, usos principales, compatibles, </w:t>
      </w:r>
      <w:r w:rsidRPr="009342F9">
        <w:rPr>
          <w:rFonts w:ascii="Arial" w:eastAsia="Times New Roman" w:hAnsi="Arial" w:cs="Arial"/>
          <w:color w:val="000000"/>
          <w:lang w:eastAsia="es-CO"/>
        </w:rPr>
        <w:lastRenderedPageBreak/>
        <w:t>complementarios, restringidos y prohibidos y las densidades, índices básicos de edificabilidad y demás contenidos técnicos de planificación y gestión que permitan su aplicación real. </w:t>
      </w:r>
    </w:p>
    <w:p w14:paraId="3641156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9DF334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El contenido mínimo del tratamiento urbanístico de desarrollo es el siguiente: </w:t>
      </w:r>
    </w:p>
    <w:p w14:paraId="02C0598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838802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1. Aéreas mínimas de supermanzanas y manzanas, o </w:t>
      </w:r>
      <w:proofErr w:type="spellStart"/>
      <w:r w:rsidRPr="009342F9">
        <w:rPr>
          <w:rFonts w:ascii="Arial" w:eastAsia="Times New Roman" w:hAnsi="Arial" w:cs="Arial"/>
          <w:color w:val="000000"/>
          <w:lang w:eastAsia="es-CO"/>
        </w:rPr>
        <w:t>superlotes</w:t>
      </w:r>
      <w:proofErr w:type="spellEnd"/>
      <w:r w:rsidRPr="009342F9">
        <w:rPr>
          <w:rFonts w:ascii="Arial" w:eastAsia="Times New Roman" w:hAnsi="Arial" w:cs="Arial"/>
          <w:color w:val="000000"/>
          <w:lang w:eastAsia="es-CO"/>
        </w:rPr>
        <w:t xml:space="preserve"> y lotes. </w:t>
      </w:r>
    </w:p>
    <w:p w14:paraId="1A99B47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5ACDE3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Normas volumétricas: </w:t>
      </w:r>
    </w:p>
    <w:p w14:paraId="23D6E66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651331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2.1 Índices de ocupación y construcción básicos y máximos. </w:t>
      </w:r>
    </w:p>
    <w:p w14:paraId="7421CC0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F9C034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2.2 Aislamientos. </w:t>
      </w:r>
    </w:p>
    <w:p w14:paraId="2F3593C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57317D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2.3 Antejardines. </w:t>
      </w:r>
    </w:p>
    <w:p w14:paraId="1B66E8E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600BBA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2.4 Retrocesos. </w:t>
      </w:r>
    </w:p>
    <w:p w14:paraId="752CE80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6CE9BB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2.5 Sótanos y semisótanos. </w:t>
      </w:r>
    </w:p>
    <w:p w14:paraId="4F381AB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666900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2.6 Rampas. </w:t>
      </w:r>
    </w:p>
    <w:p w14:paraId="17B09F2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DD5AA7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2.7 Escaleras. </w:t>
      </w:r>
    </w:p>
    <w:p w14:paraId="38F9DCF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49ED70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2.8 Estacionamientos. </w:t>
      </w:r>
    </w:p>
    <w:p w14:paraId="3CAD206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8C20ED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2.9 Cesiones obligatorias. </w:t>
      </w:r>
    </w:p>
    <w:p w14:paraId="1B86D455" w14:textId="1B25B1A9"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941" w:name="ver_30072820"/>
      <w:bookmarkEnd w:id="941"/>
    </w:p>
    <w:p w14:paraId="1E8C7375" w14:textId="77777777" w:rsidR="00FC79C1" w:rsidRPr="009342F9" w:rsidRDefault="00FC79C1" w:rsidP="00FC79C1">
      <w:pPr>
        <w:spacing w:after="0" w:line="240" w:lineRule="auto"/>
        <w:jc w:val="both"/>
        <w:rPr>
          <w:rFonts w:ascii="Arial" w:eastAsia="Times New Roman" w:hAnsi="Arial" w:cs="Arial"/>
          <w:color w:val="000000"/>
          <w:lang w:eastAsia="es-CO"/>
        </w:rPr>
      </w:pPr>
      <w:r w:rsidRPr="231E957E">
        <w:rPr>
          <w:rFonts w:ascii="Arial" w:eastAsia="Times New Roman" w:hAnsi="Arial" w:cs="Arial"/>
          <w:color w:val="000000" w:themeColor="text1"/>
          <w:lang w:eastAsia="es-CO"/>
        </w:rPr>
        <w:t xml:space="preserve">Artículo 2.2.2.1.4.2.2 Régimen de transición. Los proyectos de planes parciales que hubieren sido radicados antes del 24 de octubre de </w:t>
      </w:r>
      <w:proofErr w:type="gramStart"/>
      <w:r w:rsidRPr="231E957E">
        <w:rPr>
          <w:rFonts w:ascii="Arial" w:eastAsia="Times New Roman" w:hAnsi="Arial" w:cs="Arial"/>
          <w:color w:val="000000" w:themeColor="text1"/>
          <w:lang w:eastAsia="es-CO"/>
        </w:rPr>
        <w:t>2008,</w:t>
      </w:r>
      <w:proofErr w:type="gramEnd"/>
      <w:r w:rsidRPr="231E957E">
        <w:rPr>
          <w:rFonts w:ascii="Arial" w:eastAsia="Times New Roman" w:hAnsi="Arial" w:cs="Arial"/>
          <w:color w:val="000000" w:themeColor="text1"/>
          <w:lang w:eastAsia="es-CO"/>
        </w:rPr>
        <w:t xml:space="preserve"> continuarán su trámite de adopción de acuerdo con las disposiciones vigentes al momento de su radicación, salvo que el interesado manifieste su interés de acogerse a lo dispuesto en el presente decreto. </w:t>
      </w:r>
    </w:p>
    <w:p w14:paraId="6723F3C1" w14:textId="53B78159" w:rsidR="00683694"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942" w:name="ver_30072822"/>
      <w:bookmarkEnd w:id="942"/>
    </w:p>
    <w:p w14:paraId="2D3FD6F2" w14:textId="41EA162A" w:rsidR="00FC79C1" w:rsidRPr="009342F9" w:rsidRDefault="00FC79C1" w:rsidP="00683694">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SECCIÓN 5</w:t>
      </w:r>
    </w:p>
    <w:p w14:paraId="0525D191" w14:textId="77777777" w:rsidR="00FC79C1" w:rsidRPr="009342F9" w:rsidRDefault="00FC79C1" w:rsidP="00683694">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DESTINACIÓN DE SUELO PARA VIS Y VIP</w:t>
      </w:r>
    </w:p>
    <w:p w14:paraId="16E55E60"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943" w:name="ver_30072823"/>
      <w:bookmarkEnd w:id="943"/>
    </w:p>
    <w:p w14:paraId="7862534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2.2.2.1.5.1 La vivienda de interés social en los planes de ordenamiento territorial. Atendiendo lo previsto en las Leyes 388 de 1997 y 1537 de 2012, y sin perjuicio de lo dispuesto en el artículo 2.2.2.1.2.1.2 del presente decreto, en el componente urbano de los Planes de Ordenamiento Territorial se deberán definir las exigencias y porcentajes de suelo útil para el desarrollo de programas y proyectos de Vivienda de Interés Social y/o de Interés Social Prioritaria cumpliendo con lo previsto en la presente Sección. </w:t>
      </w:r>
    </w:p>
    <w:p w14:paraId="6F21B2C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AD4F41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Siguiendo lo definido por los Planes de Ordenamiento Territorial, en los programas de ejecución del plan de inversiones de los planes de desarrollo municipales y distritales se podrán localizar los suelos de los programas y proyectos de vivienda de interés social y/o prioritaria, en los cuales se podrá cumplir con los porcentajes de suelo de que trata esta Sección. </w:t>
      </w:r>
    </w:p>
    <w:p w14:paraId="4C512F75" w14:textId="337298F2"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944" w:name="ver_30072825"/>
      <w:bookmarkEnd w:id="944"/>
    </w:p>
    <w:p w14:paraId="6196766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2.2.2.1.5.2 Porcentajes mínimos de suelo para el desarrollo de Programas de Vivienda de Interés Social e Interés Social Prioritaria. De conformidad con lo previsto en las Leyes 388 de 1997 y 1537 de 2012, sólo se exigirá el cumplimiento de porcentajes de suelo destinados al desarrollo de programas VIS y VIP a los predios a los que el Plan de Ordenamiento Territorial les </w:t>
      </w:r>
      <w:r w:rsidRPr="009342F9">
        <w:rPr>
          <w:rFonts w:ascii="Arial" w:eastAsia="Times New Roman" w:hAnsi="Arial" w:cs="Arial"/>
          <w:color w:val="000000"/>
          <w:lang w:eastAsia="es-CO"/>
        </w:rPr>
        <w:lastRenderedPageBreak/>
        <w:t>asigne los tratamientos de desarrollo y de renovación urbana, este último en la modalidad de redesarrollo, conforme lo previsto en la presente Sección. </w:t>
      </w:r>
    </w:p>
    <w:p w14:paraId="6448D7D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98CE9B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Atendiendo lo dispuesto en las citadas leyes, y sin perjuicio de los mecanismos previstos en el artículo 2.2.2.1.5.3.1 de este decreto, el alcance de esta obligación se circunscribe únicamente a la provisión de los suelos útiles que se destinarán para el desarrollo de este tipo de vivienda y a la ejecución de las obras de urbanización de los proyectos urbanísticos donde se localicen tales suelos. En consecuencia, y para todos los efectos, la obligación de destinar suelo útil para VIS o VIP se considerará como una carga urbanística local. </w:t>
      </w:r>
    </w:p>
    <w:p w14:paraId="0DEFA59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DB078F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todo caso, las áreas útiles destinadas a este tipo de vivienda deberán desarrollarse de conformidad con ese uso por sus propietarios, por terceros o por las entidades públicas competentes, en los casos en los que se hubieran declarado de construcción prioritaria o se hubiere determinado la utilidad pública correspondiente, respectivamente. </w:t>
      </w:r>
    </w:p>
    <w:p w14:paraId="7F9E79E9" w14:textId="478FDA8D" w:rsidR="00683694"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945" w:name="ver_30072826"/>
      <w:bookmarkEnd w:id="945"/>
    </w:p>
    <w:p w14:paraId="423BD9F7" w14:textId="4C611323" w:rsidR="00FC79C1" w:rsidRPr="009342F9" w:rsidRDefault="00FC79C1" w:rsidP="00683694">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SUBSECCIÓN 1</w:t>
      </w:r>
    </w:p>
    <w:p w14:paraId="0D25C155" w14:textId="77777777" w:rsidR="00FC79C1" w:rsidRPr="009342F9" w:rsidRDefault="00FC79C1" w:rsidP="00683694">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DE LOS PORCENTAJES DE SUELO PARA VIP EN TRATAMIENTO URBANÍSTICO DE DESARROLLO</w:t>
      </w:r>
    </w:p>
    <w:p w14:paraId="7C76A33B"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946" w:name="ver_30072828"/>
      <w:bookmarkEnd w:id="946"/>
    </w:p>
    <w:p w14:paraId="6E6107F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2.2.2.1.5.1.1 Porcentajes mínimos de suelo para el desarrollo de Programas de Vivienda de Interés Social Prioritaria (VIP) en tratamiento de desarrollo. De conformidad con lo previsto en el artículo 46 de la Ley 1537 de 2012, en el componente urbano de los planes de ordenamiento territorial de los municipios o distritos con población urbana superior a 100.000 habitantes y de los municipios localizados en el área de influencia de aquellos con población urbana superior a 500.000 habitantes conforme los criterios previstos en el parágrafo 1 del artículo 91 de la Ley 388 de 1997, se deberán definir los porcentajes mínimos de suelo para el desarrollo de programas de vivienda de interés social prioritaria (VIP). </w:t>
      </w:r>
    </w:p>
    <w:p w14:paraId="1B7B808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BFF516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Dichos porcentajes se exigirán únicamente en las actuaciones de urbanización de predios regulados por el tratamiento de desarrollo que se encuentren ubicados en suelo urbano o de expansión urbana en zonas o áreas de actividad cuyos usos sean distintos a los industriales, dotacionales o institucionales y que se urbanicen aplicando la figura del plan parcial o directamente mediante la aprobación de la correspondiente licencia de urbanización. </w:t>
      </w:r>
    </w:p>
    <w:p w14:paraId="3CE2AE6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F49016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Estos porcentajes se incluirán en los planes parciales o en las normas urbanísticas que regulen la urbanización de los citados suelos sin el trámite de plan parcial. En todo caso, cuando el plan parcial o el proyecto urbanístico contenga usos residenciales el citado porcentaje no podrá ser inferior al previsto en el siguiente cuadro: </w:t>
      </w:r>
    </w:p>
    <w:p w14:paraId="0EC6B1E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7A44961" w14:textId="0FF38104" w:rsidR="00FC79C1" w:rsidRPr="009342F9" w:rsidRDefault="48ABE02E" w:rsidP="00FC79C1">
      <w:pPr>
        <w:spacing w:after="0" w:line="240" w:lineRule="auto"/>
        <w:jc w:val="both"/>
        <w:rPr>
          <w:rFonts w:ascii="Arial" w:eastAsia="Times New Roman" w:hAnsi="Arial" w:cs="Arial"/>
          <w:color w:val="000000"/>
          <w:lang w:eastAsia="es-CO"/>
        </w:rPr>
      </w:pPr>
      <w:r>
        <w:rPr>
          <w:noProof/>
        </w:rPr>
        <w:drawing>
          <wp:inline distT="0" distB="0" distL="0" distR="0" wp14:anchorId="1F549A43" wp14:editId="27551240">
            <wp:extent cx="5581013" cy="741680"/>
            <wp:effectExtent l="0" t="0" r="635" b="127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16">
                      <a:extLst>
                        <a:ext uri="{28A0092B-C50C-407E-A947-70E740481C1C}">
                          <a14:useLocalDpi xmlns:a14="http://schemas.microsoft.com/office/drawing/2010/main" val="0"/>
                        </a:ext>
                      </a:extLst>
                    </a:blip>
                    <a:stretch>
                      <a:fillRect/>
                    </a:stretch>
                  </pic:blipFill>
                  <pic:spPr>
                    <a:xfrm>
                      <a:off x="0" y="0"/>
                      <a:ext cx="5581013" cy="741680"/>
                    </a:xfrm>
                    <a:prstGeom prst="rect">
                      <a:avLst/>
                    </a:prstGeom>
                  </pic:spPr>
                </pic:pic>
              </a:graphicData>
            </a:graphic>
          </wp:inline>
        </w:drawing>
      </w:r>
      <w:r w:rsidR="00FC79C1" w:rsidRPr="3DD719FF">
        <w:rPr>
          <w:rFonts w:ascii="Arial" w:eastAsia="Times New Roman" w:hAnsi="Arial" w:cs="Arial"/>
          <w:color w:val="000000" w:themeColor="text1"/>
          <w:lang w:eastAsia="es-CO"/>
        </w:rPr>
        <w:t> </w:t>
      </w:r>
    </w:p>
    <w:p w14:paraId="749FF33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74365A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1°. Los porcentajes de que trata este artículo se aplicarán a los municipios localizados en el área de influencia de los municipios y distritos con población urbana superior a quinientos mil (500.000) habitantes de que trata la Resolución 368 de 2013 expedida por el Ministerio de Vivienda, Ciudad y Territorio o las normas que la adicionen, modifiquen o sustituyan. </w:t>
      </w:r>
    </w:p>
    <w:p w14:paraId="2FA02A5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E85F21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Parágrafo 2°. Para dar cumplimiento a lo previsto en el presente artículo, se tendrá en cuenta la población de la cabecera municipal o distrital, de acuerdo con la información expedida anualmente por el Departamento Administrativo Nacional de Estadística (DANE). </w:t>
      </w:r>
    </w:p>
    <w:p w14:paraId="63A496E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C3DC0C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Parágrafo.3°. Los planes de ordenamiento de los demás municipios del territorio nacional que no se encuentren determinados en la definición del inciso primero de este artículo, también podrán adoptar porcentajes mínimos de suelo para el desarrollo de programas de vivienda de interés social prioritaria, según lo previsto en esta Sección. </w:t>
      </w:r>
    </w:p>
    <w:p w14:paraId="76871908" w14:textId="3F9AE0A5"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947" w:name="ver_30072831"/>
      <w:bookmarkEnd w:id="947"/>
    </w:p>
    <w:p w14:paraId="37D8364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2.2.2.1.5.1.2 Obligatoriedad. El porcentaje mínimo de que trata el artículo anterior, aun cuando no se haya incorporado en los planes de ordenamiento o en los instrumentos que los desarrollen o complementen es de obligatorio cumplimiento y se aplicará a las nuevas solicitudes de planes parciales o de licencias de urbanización radicadas en legal y debida forma a partir del 23 de enero de 2013. </w:t>
      </w:r>
    </w:p>
    <w:p w14:paraId="7CA70AB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F5244C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Con el cumplimiento de los porcentajes de suelo previstos en el artículo anterior se entienden cumplidas las previsiones de vivienda de interés social de que tratan los artículos 92 de la Ley 388 de 1997 y 46 de la Ley 1537 de 2012 exigibles a los predios regulados por el tratamiento de desarrollo. </w:t>
      </w:r>
    </w:p>
    <w:p w14:paraId="3C21EA91" w14:textId="0DF7FC26"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948" w:name="ver_30072832"/>
      <w:bookmarkEnd w:id="948"/>
    </w:p>
    <w:p w14:paraId="7C30882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2.2.2.1.5.1.3 Condiciones para la exigibilidad de los porcentajes de suelo que deben destinarse al desarrollo de Programas de Vivienda de Interés Social Prioritaria (VIP). El porcentaje mínimo de suelo que se destinará al desarrollo de programas de vivienda de interés social prioritaria (VIP), solamente será exigible a aquellos predios que en el Plan de Ordenamiento Territorial se les haya asignado el tratamiento urbanístico de desarrollo, salvo que de conformidad con el artículo 46 de la Ley 1537 de 2012 se trate de suelos que se destinen a usos industriales, dotacionales o institucionales, según el régimen de usos que se concrete en la respectiva licencia de urbanización. </w:t>
      </w:r>
    </w:p>
    <w:p w14:paraId="1401C356" w14:textId="721522CB" w:rsidR="00683694"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949" w:name="ver_30072835"/>
      <w:bookmarkEnd w:id="949"/>
    </w:p>
    <w:p w14:paraId="7E4CE50F" w14:textId="4328034D" w:rsidR="00FC79C1" w:rsidRPr="009342F9" w:rsidRDefault="00FC79C1" w:rsidP="00683694">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SUBSECCIÓN 2</w:t>
      </w:r>
    </w:p>
    <w:p w14:paraId="66FC7944" w14:textId="77777777" w:rsidR="00FC79C1" w:rsidRPr="009342F9" w:rsidRDefault="00FC79C1" w:rsidP="00683694">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DE LOS PORCENTAJES DE SUELO PARA VIS EN TRATAMIENTO URBANÍSTICO DE RENOVACIÓN URBANA</w:t>
      </w:r>
    </w:p>
    <w:p w14:paraId="7EC5199D"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950" w:name="ver_30072836"/>
      <w:bookmarkEnd w:id="950"/>
    </w:p>
    <w:p w14:paraId="6A749C2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2.2.2.1.5.2.1 Porcentajes mínimos de suelo para el desarrollo de Programas de Vivienda de Interés Social (VIS) en tratamiento de renovación urbana, modalidad de redesarrollo. De conformidad con lo previsto en el artículo 92 de la Ley 388 de 1997, en el componente urbano de los planes de ordenamiento territorial de los municipios o distritos, se deberán definir los porcentajes mínimos de suelo para el desarrollo de programas de vivienda de interés social que se exigirán únicamente a los predios regulados por el tratamiento de renovación urbana en la modalidad de redesarrollo ubicados en suelos urbanos que deban urbanizarse nuevamente mediante planes parciales. </w:t>
      </w:r>
    </w:p>
    <w:p w14:paraId="000B7460" w14:textId="0A36418B"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951" w:name="ver_30210178"/>
      <w:bookmarkStart w:id="952" w:name="ver_30109487"/>
      <w:bookmarkStart w:id="953" w:name="ver_30109488"/>
      <w:bookmarkStart w:id="954" w:name="ver_30110902"/>
      <w:bookmarkEnd w:id="951"/>
    </w:p>
    <w:p w14:paraId="527C308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2.2.2.1.5.2.2. Características de la Vivienda de Interés Social (VIS) y de Interés Social Prioritario (VIP) que se desarrollen en tratamiento de renovación urbana. Cuando se trate de planes de Vivienda de Interés Social (VIS) que superen los ciento treinta y cinco (135) salarios mínimos legales mensuales vigentes, o los ciento cincuenta (150) salarios mínimos legales mensuales vigentes cuando tales planes se ubiquen en los municipios y distritos establecidos en el título 9 de la parte 1 del libro 2 del presente decreto, con el límite de ciento setenta y cinco salarios mínimos mensuales legales vigentes (175 </w:t>
      </w:r>
      <w:proofErr w:type="spellStart"/>
      <w:r w:rsidRPr="009342F9">
        <w:rPr>
          <w:rFonts w:ascii="Arial" w:eastAsia="Times New Roman" w:hAnsi="Arial" w:cs="Arial"/>
          <w:color w:val="000000"/>
          <w:lang w:eastAsia="es-CO"/>
        </w:rPr>
        <w:t>smmlv</w:t>
      </w:r>
      <w:proofErr w:type="spellEnd"/>
      <w:r w:rsidRPr="009342F9">
        <w:rPr>
          <w:rFonts w:ascii="Arial" w:eastAsia="Times New Roman" w:hAnsi="Arial" w:cs="Arial"/>
          <w:color w:val="000000"/>
          <w:lang w:eastAsia="es-CO"/>
        </w:rPr>
        <w:t xml:space="preserve">) y/o de vivienda de interés prioritario (VIP) que tenga un precio superior a noventa (90) salarios mínimos legales mensuales vigentes sin que este exceda los ciento diez (110) salarios mínimos legales mensuales vigentes, que se </w:t>
      </w:r>
      <w:r w:rsidRPr="009342F9">
        <w:rPr>
          <w:rFonts w:ascii="Arial" w:eastAsia="Times New Roman" w:hAnsi="Arial" w:cs="Arial"/>
          <w:color w:val="000000"/>
          <w:lang w:eastAsia="es-CO"/>
        </w:rPr>
        <w:lastRenderedPageBreak/>
        <w:t>desarrollen en suelos que se rigen por el tratamiento de renovación urbana en cualquiera de sus modalidades; el Plan de Ordenamiento Territorial, las operaciones urbanas integrales, el plan parcial que se adopte y/o en la reglamentación del tratamiento de renovación urbana respectivo, se deberán establecer como mínimo los siguientes requisitos:  </w:t>
      </w:r>
    </w:p>
    <w:p w14:paraId="43104F7A" w14:textId="77777777" w:rsidR="00683694" w:rsidRPr="009342F9" w:rsidRDefault="00683694" w:rsidP="00FC79C1">
      <w:pPr>
        <w:spacing w:after="0" w:line="240" w:lineRule="auto"/>
        <w:jc w:val="both"/>
        <w:rPr>
          <w:rFonts w:ascii="Arial" w:eastAsia="Times New Roman" w:hAnsi="Arial" w:cs="Arial"/>
          <w:color w:val="000000"/>
          <w:lang w:eastAsia="es-CO"/>
        </w:rPr>
      </w:pPr>
    </w:p>
    <w:p w14:paraId="015ED150" w14:textId="22AF8865"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Características básicas de la vivienda. Las características básicas de las viviendas de este valor deben incluir como mínimo las siguientes:  </w:t>
      </w:r>
    </w:p>
    <w:p w14:paraId="479CB30B" w14:textId="77777777" w:rsidR="00683694" w:rsidRPr="009342F9" w:rsidRDefault="00683694" w:rsidP="00FC79C1">
      <w:pPr>
        <w:spacing w:after="0" w:line="240" w:lineRule="auto"/>
        <w:jc w:val="both"/>
        <w:rPr>
          <w:rFonts w:ascii="Arial" w:eastAsia="Times New Roman" w:hAnsi="Arial" w:cs="Arial"/>
          <w:color w:val="000000"/>
          <w:lang w:eastAsia="es-CO"/>
        </w:rPr>
      </w:pPr>
    </w:p>
    <w:p w14:paraId="2D90AD80" w14:textId="115D6948"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 El área de construcción mínima de la vivienda.  </w:t>
      </w:r>
    </w:p>
    <w:p w14:paraId="3619A861" w14:textId="77777777" w:rsidR="00683694" w:rsidRPr="009342F9" w:rsidRDefault="00683694" w:rsidP="00FC79C1">
      <w:pPr>
        <w:spacing w:after="0" w:line="240" w:lineRule="auto"/>
        <w:jc w:val="both"/>
        <w:rPr>
          <w:rFonts w:ascii="Arial" w:eastAsia="Times New Roman" w:hAnsi="Arial" w:cs="Arial"/>
          <w:color w:val="000000"/>
          <w:lang w:eastAsia="es-CO"/>
        </w:rPr>
      </w:pPr>
    </w:p>
    <w:p w14:paraId="225CCD43" w14:textId="63C5CB6B"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b) Cuota de estacionamientos privados.  </w:t>
      </w:r>
    </w:p>
    <w:p w14:paraId="0AFC6E21" w14:textId="77777777" w:rsidR="00683694" w:rsidRPr="009342F9" w:rsidRDefault="00683694" w:rsidP="00FC79C1">
      <w:pPr>
        <w:spacing w:after="0" w:line="240" w:lineRule="auto"/>
        <w:jc w:val="both"/>
        <w:rPr>
          <w:rFonts w:ascii="Arial" w:eastAsia="Times New Roman" w:hAnsi="Arial" w:cs="Arial"/>
          <w:color w:val="000000"/>
          <w:lang w:eastAsia="es-CO"/>
        </w:rPr>
      </w:pPr>
    </w:p>
    <w:p w14:paraId="5D3B4670" w14:textId="618D7633"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 Áreas de equipamiento comunal privado (destinado al servicio de los copropietarios) según los requerimientos definidos por el Plan de Ordenamiento Territorial. No se contabilizarán las áreas correspondientes a circulaciones vehiculares, cuartos de máquinas o de mantenimiento, subestaciones, cuartos de basura y similares, así como los corredores y demás zonas de circulación cubierta, necesarias para acceder a las unidades privadas, cuando se sometan al régimen de propiedad horizontal.  </w:t>
      </w:r>
    </w:p>
    <w:p w14:paraId="1D7C80C5" w14:textId="77777777" w:rsidR="00683694" w:rsidRPr="009342F9" w:rsidRDefault="00683694" w:rsidP="00FC79C1">
      <w:pPr>
        <w:spacing w:after="0" w:line="240" w:lineRule="auto"/>
        <w:jc w:val="both"/>
        <w:rPr>
          <w:rFonts w:ascii="Arial" w:eastAsia="Times New Roman" w:hAnsi="Arial" w:cs="Arial"/>
          <w:color w:val="000000"/>
          <w:lang w:eastAsia="es-CO"/>
        </w:rPr>
      </w:pPr>
    </w:p>
    <w:p w14:paraId="460A16A2" w14:textId="1119952C"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Requisitos de los programas y/o proyectos de renovación urbana. Los planes de vivienda de interés social y/o vivienda de interés prioritario que se desarrollen en las áreas con tratamiento de renovación urbana en cualquiera de sus modalidades, deberán articularse al planteamiento general de la operación prevista en el plan de ordenamiento territorial o el plan parcial y/o los instrumentos que los desarrollen y/o complementen, promoviendo el mejoramiento de la calidad de las condiciones urbanísticas del área, para lo cual deberán cumplir, por lo menos, con las siguientes condiciones:  </w:t>
      </w:r>
    </w:p>
    <w:p w14:paraId="4F2CEBE4" w14:textId="77777777" w:rsidR="00683694" w:rsidRPr="009342F9" w:rsidRDefault="00683694" w:rsidP="00FC79C1">
      <w:pPr>
        <w:spacing w:after="0" w:line="240" w:lineRule="auto"/>
        <w:jc w:val="both"/>
        <w:rPr>
          <w:rFonts w:ascii="Arial" w:eastAsia="Times New Roman" w:hAnsi="Arial" w:cs="Arial"/>
          <w:color w:val="000000"/>
          <w:lang w:eastAsia="es-CO"/>
        </w:rPr>
      </w:pPr>
    </w:p>
    <w:p w14:paraId="0C132237" w14:textId="4C64B97E"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 Promover la densificación de aquellas áreas reguladas por el citado tratamiento con proyectos integrales que garanticen la construcción de equipamientos y/o servicios complementarios y/o de espacio público,  </w:t>
      </w:r>
    </w:p>
    <w:p w14:paraId="20905209" w14:textId="77777777" w:rsidR="00683694" w:rsidRPr="009342F9" w:rsidRDefault="00683694" w:rsidP="00FC79C1">
      <w:pPr>
        <w:spacing w:after="0" w:line="240" w:lineRule="auto"/>
        <w:jc w:val="both"/>
        <w:rPr>
          <w:rFonts w:ascii="Arial" w:eastAsia="Times New Roman" w:hAnsi="Arial" w:cs="Arial"/>
          <w:color w:val="000000"/>
          <w:lang w:eastAsia="es-CO"/>
        </w:rPr>
      </w:pPr>
    </w:p>
    <w:p w14:paraId="551457E5" w14:textId="096270DC"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b) Garantizar la prestación adecuada y eficiente de los servicios públicos domiciliarios con las densidades y/o aprovechamientos propuestos;  </w:t>
      </w:r>
    </w:p>
    <w:p w14:paraId="515EE9A0" w14:textId="77777777" w:rsidR="00683694" w:rsidRPr="009342F9" w:rsidRDefault="00683694" w:rsidP="00FC79C1">
      <w:pPr>
        <w:spacing w:after="0" w:line="240" w:lineRule="auto"/>
        <w:jc w:val="both"/>
        <w:rPr>
          <w:rFonts w:ascii="Arial" w:eastAsia="Times New Roman" w:hAnsi="Arial" w:cs="Arial"/>
          <w:color w:val="000000"/>
          <w:lang w:eastAsia="es-CO"/>
        </w:rPr>
      </w:pPr>
    </w:p>
    <w:p w14:paraId="087CC3B6" w14:textId="5BA7D9E4"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 Prever un adecuado uso y manejo del ambiente y de los recursos naturales;  </w:t>
      </w:r>
    </w:p>
    <w:p w14:paraId="3E2BCDD9" w14:textId="77777777" w:rsidR="00683694" w:rsidRPr="009342F9" w:rsidRDefault="00683694" w:rsidP="00FC79C1">
      <w:pPr>
        <w:spacing w:after="0" w:line="240" w:lineRule="auto"/>
        <w:jc w:val="both"/>
        <w:rPr>
          <w:rFonts w:ascii="Arial" w:eastAsia="Times New Roman" w:hAnsi="Arial" w:cs="Arial"/>
          <w:color w:val="000000"/>
          <w:lang w:eastAsia="es-CO"/>
        </w:rPr>
      </w:pPr>
    </w:p>
    <w:p w14:paraId="356CD697" w14:textId="41358B3F"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d) Promover la protección e integración de las áreas de conservación y protección ambiental, de acuerdo con lo que defina el respectivo Plan de Ordenamiento Territorial;  </w:t>
      </w:r>
    </w:p>
    <w:p w14:paraId="4F0B01E6" w14:textId="77777777" w:rsidR="00683694" w:rsidRPr="009342F9" w:rsidRDefault="00683694" w:rsidP="00FC79C1">
      <w:pPr>
        <w:spacing w:after="0" w:line="240" w:lineRule="auto"/>
        <w:jc w:val="both"/>
        <w:rPr>
          <w:rFonts w:ascii="Arial" w:eastAsia="Times New Roman" w:hAnsi="Arial" w:cs="Arial"/>
          <w:color w:val="000000"/>
          <w:lang w:eastAsia="es-CO"/>
        </w:rPr>
      </w:pPr>
    </w:p>
    <w:p w14:paraId="2B711E8C" w14:textId="3184CF21"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 Cuando vinculen Bienes de Interés Cultural se deberá garantizar la adopción de las normas urbanísticas propias del régimen aplicable a este tipo de inmuebles, de conformidad con lo previsto en la Ley General de Cultura, sin perjuicio de que se pueda promover su rehabilitación bien sea para vivienda o para sostenibilidad del Patrimonio Cultural;  </w:t>
      </w:r>
    </w:p>
    <w:p w14:paraId="710C1AD7" w14:textId="77777777" w:rsidR="00683694" w:rsidRPr="009342F9" w:rsidRDefault="00683694" w:rsidP="00FC79C1">
      <w:pPr>
        <w:spacing w:after="0" w:line="240" w:lineRule="auto"/>
        <w:jc w:val="both"/>
        <w:rPr>
          <w:rFonts w:ascii="Arial" w:eastAsia="Times New Roman" w:hAnsi="Arial" w:cs="Arial"/>
          <w:color w:val="000000"/>
          <w:lang w:eastAsia="es-CO"/>
        </w:rPr>
      </w:pPr>
    </w:p>
    <w:p w14:paraId="2DADA379" w14:textId="7454B762"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f) Fomentar la rehabilitación de edificaciones bien sea para vivienda o para otros usos complementarios, en el marco de las dinámicas económicas de las zonas objeto del plan parcial y/o el proyecto de renovación urbana;  </w:t>
      </w:r>
    </w:p>
    <w:p w14:paraId="491DE3B9" w14:textId="77777777" w:rsidR="00683694" w:rsidRPr="009342F9" w:rsidRDefault="00683694" w:rsidP="00FC79C1">
      <w:pPr>
        <w:spacing w:after="0" w:line="240" w:lineRule="auto"/>
        <w:jc w:val="both"/>
        <w:rPr>
          <w:rFonts w:ascii="Arial" w:eastAsia="Times New Roman" w:hAnsi="Arial" w:cs="Arial"/>
          <w:color w:val="000000"/>
          <w:lang w:eastAsia="es-CO"/>
        </w:rPr>
      </w:pPr>
    </w:p>
    <w:p w14:paraId="79651EC9" w14:textId="786EAE33"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g) Articular la vivienda de interés social con la infraestructura para el sistema vial de transporte, preferiblemente con los corredores troncales de transporte masivo, con el fin de facilitar el acceso de la población de menores ingresos al servicio de transporte público colectivo;  </w:t>
      </w:r>
    </w:p>
    <w:p w14:paraId="524ADB73" w14:textId="77777777" w:rsidR="00683694" w:rsidRPr="009342F9" w:rsidRDefault="00683694" w:rsidP="00FC79C1">
      <w:pPr>
        <w:spacing w:after="0" w:line="240" w:lineRule="auto"/>
        <w:jc w:val="both"/>
        <w:rPr>
          <w:rFonts w:ascii="Arial" w:eastAsia="Times New Roman" w:hAnsi="Arial" w:cs="Arial"/>
          <w:color w:val="000000"/>
          <w:lang w:eastAsia="es-CO"/>
        </w:rPr>
      </w:pPr>
    </w:p>
    <w:p w14:paraId="375B1050" w14:textId="1AB5FA2A"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h) Promover y generar redes de movilidad accesibles para personas con discapacidad y dificultades de locomoción a partir de la eliminación de barreras físicas;  </w:t>
      </w:r>
    </w:p>
    <w:p w14:paraId="304662D9" w14:textId="77777777" w:rsidR="00683694" w:rsidRPr="009342F9" w:rsidRDefault="00683694" w:rsidP="00FC79C1">
      <w:pPr>
        <w:spacing w:after="0" w:line="240" w:lineRule="auto"/>
        <w:jc w:val="both"/>
        <w:rPr>
          <w:rFonts w:ascii="Arial" w:eastAsia="Times New Roman" w:hAnsi="Arial" w:cs="Arial"/>
          <w:color w:val="000000"/>
          <w:lang w:eastAsia="es-CO"/>
        </w:rPr>
      </w:pPr>
    </w:p>
    <w:p w14:paraId="3B8D9A50" w14:textId="1CD19B7A"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i) Mejorar los estándares cualitativos de espacio público, buscando incrementar la calidad, dotación y mejor aprovechamiento de los espacios públicos existentes. Se podrán incorporar al sistema de espacio público zonas privadas afectas o con vocación al uso público, y estas se contabilizarán como parte del espacio público requerido para el desarrollo del proyecto;  </w:t>
      </w:r>
    </w:p>
    <w:p w14:paraId="32BCA9F3" w14:textId="77777777" w:rsidR="00683694" w:rsidRPr="009342F9" w:rsidRDefault="00683694" w:rsidP="00FC79C1">
      <w:pPr>
        <w:spacing w:after="0" w:line="240" w:lineRule="auto"/>
        <w:jc w:val="both"/>
        <w:rPr>
          <w:rFonts w:ascii="Arial" w:eastAsia="Times New Roman" w:hAnsi="Arial" w:cs="Arial"/>
          <w:color w:val="000000"/>
          <w:lang w:eastAsia="es-CO"/>
        </w:rPr>
      </w:pPr>
    </w:p>
    <w:p w14:paraId="4265D351" w14:textId="174AFC45"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j) Garantizar los sistemas de equipamientos colectivos que suplan las necesidades de la nueva población que se incorpora a la zona, por el desarrollo del proyecto;  </w:t>
      </w:r>
    </w:p>
    <w:p w14:paraId="00FD80B2" w14:textId="77777777" w:rsidR="00683694" w:rsidRPr="009342F9" w:rsidRDefault="00683694" w:rsidP="00FC79C1">
      <w:pPr>
        <w:spacing w:after="0" w:line="240" w:lineRule="auto"/>
        <w:jc w:val="both"/>
        <w:rPr>
          <w:rFonts w:ascii="Arial" w:eastAsia="Times New Roman" w:hAnsi="Arial" w:cs="Arial"/>
          <w:color w:val="000000"/>
          <w:lang w:eastAsia="es-CO"/>
        </w:rPr>
      </w:pPr>
    </w:p>
    <w:p w14:paraId="5768A59D" w14:textId="0AD0A2AD"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k) Incorporar determinantes de gestión y prevención del riesgo para los sectores que el plan de ordenamiento territorial haya identificado como de riesgo mitigable alto o medio, de origen geotécnico o hidrológico. Las medidas de prevención y mitigación serán responsabilidad de los diseñadores y urbanizadores responsables, y deberán incluirse en la licencia de urbanización en la modalidad de reurbanización y/o de construcción respectiva.  </w:t>
      </w:r>
    </w:p>
    <w:p w14:paraId="407707C0" w14:textId="77777777" w:rsidR="00683694" w:rsidRPr="009342F9" w:rsidRDefault="00683694" w:rsidP="00FC79C1">
      <w:pPr>
        <w:spacing w:after="0" w:line="240" w:lineRule="auto"/>
        <w:jc w:val="both"/>
        <w:rPr>
          <w:rFonts w:ascii="Arial" w:eastAsia="Times New Roman" w:hAnsi="Arial" w:cs="Arial"/>
          <w:color w:val="000000"/>
          <w:lang w:eastAsia="es-CO"/>
        </w:rPr>
      </w:pPr>
    </w:p>
    <w:p w14:paraId="64A6540C" w14:textId="183EE8D6"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Condiciones para la participación de las entidades vinculadas a la política de vivienda y para la aplicación de recursos del Subsidio Familiar de Vivienda. Las viviendas de interés social cuyo valor exceda los ciento treinta y cinco (135) salarios mínimos legales mensuales vigentes, o los ciento cincuenta (150) salarios mínimos legales mensuales vigentes cuando se ubiquen en los municipios y distritos establecidos en el título 9 de la parte 1 del libro 2 del presente decreto, no serán objeto de la aplicación del subsidio familiar de vivienda ni de los beneficios o incentivos que se establezcan para la adquisición de Vivienda de Interés Social o Vivienda de Interés Prioritario, sin perjuicio de los demás beneficios otorgados para el desarrollo de este tipo de vivienda.  </w:t>
      </w:r>
    </w:p>
    <w:p w14:paraId="5C7D5002" w14:textId="77777777" w:rsidR="00683694" w:rsidRPr="009342F9" w:rsidRDefault="00683694" w:rsidP="00FC79C1">
      <w:pPr>
        <w:spacing w:after="0" w:line="240" w:lineRule="auto"/>
        <w:jc w:val="both"/>
        <w:rPr>
          <w:rFonts w:ascii="Arial" w:eastAsia="Times New Roman" w:hAnsi="Arial" w:cs="Arial"/>
          <w:color w:val="000000"/>
          <w:lang w:eastAsia="es-CO"/>
        </w:rPr>
      </w:pPr>
    </w:p>
    <w:p w14:paraId="5BF32C4C" w14:textId="317123F6"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1°. Las condiciones de que trata el numeral 2 del presente artículo serán igualmente exigibles a cualquier plan parcial de renovación urbana, aun cuando contemplen programas y/o proyectos de vivienda de interés social y o de interés prioritario que no superen los rangos señalados en el presente artículo.  </w:t>
      </w:r>
    </w:p>
    <w:p w14:paraId="385F838D" w14:textId="77777777" w:rsidR="00683694" w:rsidRPr="009342F9" w:rsidRDefault="00683694" w:rsidP="00FC79C1">
      <w:pPr>
        <w:spacing w:after="0" w:line="240" w:lineRule="auto"/>
        <w:jc w:val="both"/>
        <w:rPr>
          <w:rFonts w:ascii="Arial" w:eastAsia="Times New Roman" w:hAnsi="Arial" w:cs="Arial"/>
          <w:color w:val="000000"/>
          <w:lang w:eastAsia="es-CO"/>
        </w:rPr>
      </w:pPr>
    </w:p>
    <w:p w14:paraId="1AF73495" w14:textId="4E734D0B" w:rsidR="00FC79C1" w:rsidRDefault="00FC79C1" w:rsidP="00FC79C1">
      <w:pPr>
        <w:spacing w:after="0" w:line="240" w:lineRule="auto"/>
        <w:jc w:val="both"/>
        <w:rPr>
          <w:rFonts w:ascii="Arial" w:eastAsia="Times New Roman" w:hAnsi="Arial" w:cs="Arial"/>
          <w:color w:val="000000"/>
          <w:lang w:eastAsia="es-CO"/>
        </w:rPr>
      </w:pPr>
      <w:r w:rsidRPr="231E957E">
        <w:rPr>
          <w:rFonts w:ascii="Arial" w:eastAsia="Times New Roman" w:hAnsi="Arial" w:cs="Arial"/>
          <w:color w:val="000000" w:themeColor="text1"/>
          <w:lang w:eastAsia="es-CO"/>
        </w:rPr>
        <w:t>Parágrafo 2°. En el caso de predios incluidos en planes parciales, el cumplimiento de los requisitos de los programas y/o proyectos de renovación urbana de que trata el numeral 2 del presente artículo, debe corresponder al reparto equitativo de cargas y beneficios.  </w:t>
      </w:r>
    </w:p>
    <w:p w14:paraId="085A3F4D" w14:textId="77777777" w:rsidR="00B86CD1" w:rsidRPr="009342F9" w:rsidRDefault="00B86CD1" w:rsidP="00FC79C1">
      <w:pPr>
        <w:spacing w:after="0" w:line="240" w:lineRule="auto"/>
        <w:jc w:val="both"/>
        <w:rPr>
          <w:rFonts w:ascii="Arial" w:eastAsia="Times New Roman" w:hAnsi="Arial" w:cs="Arial"/>
          <w:color w:val="000000"/>
          <w:lang w:eastAsia="es-CO"/>
        </w:rPr>
      </w:pPr>
    </w:p>
    <w:p w14:paraId="707778D6" w14:textId="62796E01" w:rsidR="00FC79C1" w:rsidRPr="009342F9" w:rsidRDefault="00FC79C1" w:rsidP="008220FB">
      <w:pPr>
        <w:spacing w:after="0" w:line="240" w:lineRule="auto"/>
        <w:jc w:val="center"/>
        <w:rPr>
          <w:rFonts w:ascii="Arial" w:eastAsia="Times New Roman" w:hAnsi="Arial" w:cs="Arial"/>
          <w:b/>
          <w:bCs/>
          <w:color w:val="000000"/>
          <w:lang w:eastAsia="es-CO"/>
        </w:rPr>
      </w:pPr>
      <w:bookmarkStart w:id="955" w:name="ver_30072841"/>
      <w:bookmarkEnd w:id="952"/>
      <w:bookmarkEnd w:id="953"/>
      <w:bookmarkEnd w:id="954"/>
      <w:bookmarkEnd w:id="955"/>
      <w:r w:rsidRPr="231E957E">
        <w:rPr>
          <w:rFonts w:ascii="Arial" w:eastAsia="Times New Roman" w:hAnsi="Arial" w:cs="Arial"/>
          <w:b/>
          <w:color w:val="000000" w:themeColor="text1"/>
          <w:lang w:eastAsia="es-CO"/>
        </w:rPr>
        <w:t>SUBSECCIÓN 3</w:t>
      </w:r>
    </w:p>
    <w:p w14:paraId="326394E4" w14:textId="77777777" w:rsidR="00FC79C1" w:rsidRPr="009342F9" w:rsidRDefault="00FC79C1" w:rsidP="00683694">
      <w:pPr>
        <w:spacing w:after="0" w:line="240" w:lineRule="auto"/>
        <w:jc w:val="center"/>
        <w:rPr>
          <w:rFonts w:ascii="Arial" w:eastAsia="Times New Roman" w:hAnsi="Arial" w:cs="Arial"/>
          <w:b/>
          <w:bCs/>
          <w:color w:val="000000"/>
          <w:lang w:eastAsia="es-CO"/>
        </w:rPr>
      </w:pPr>
      <w:r w:rsidRPr="231E957E">
        <w:rPr>
          <w:rFonts w:ascii="Arial" w:eastAsia="Times New Roman" w:hAnsi="Arial" w:cs="Arial"/>
          <w:b/>
          <w:color w:val="000000" w:themeColor="text1"/>
          <w:lang w:eastAsia="es-CO"/>
        </w:rPr>
        <w:t>DISPOSICIONES COMUNES PARA EL CUMPLIMIENTO DE LOS PORCENTAJES DE SUELO EN TRATAMIENTOS DE DESARROLLO Y RENOVACIÓN URBANA</w:t>
      </w:r>
    </w:p>
    <w:p w14:paraId="3153BF14" w14:textId="77777777" w:rsidR="00FC79C1" w:rsidRPr="009342F9" w:rsidRDefault="00FC79C1" w:rsidP="00683694">
      <w:pPr>
        <w:spacing w:after="0" w:line="240" w:lineRule="auto"/>
        <w:jc w:val="center"/>
        <w:rPr>
          <w:rFonts w:ascii="Arial" w:eastAsia="Times New Roman" w:hAnsi="Arial" w:cs="Arial"/>
          <w:b/>
          <w:bCs/>
          <w:color w:val="000000"/>
          <w:lang w:eastAsia="es-CO"/>
        </w:rPr>
      </w:pPr>
      <w:bookmarkStart w:id="956" w:name="ver_30210179"/>
      <w:bookmarkStart w:id="957" w:name="ver_30072843"/>
      <w:bookmarkStart w:id="958" w:name="ver_30180733"/>
      <w:bookmarkEnd w:id="956"/>
    </w:p>
    <w:p w14:paraId="74D62A5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2.2.2.1.5.3.1 Cumplimiento del porcentaje mínimo de suelo. Para el cumplimiento de la obligación establecida en la presente Sección, el propietario y/o urbanizador podrá optar por una de las siguientes alternativas:  </w:t>
      </w:r>
    </w:p>
    <w:p w14:paraId="597C5D2D" w14:textId="77777777" w:rsidR="00683694" w:rsidRPr="009342F9" w:rsidRDefault="00683694" w:rsidP="00FC79C1">
      <w:pPr>
        <w:spacing w:after="0" w:line="240" w:lineRule="auto"/>
        <w:jc w:val="both"/>
        <w:rPr>
          <w:rFonts w:ascii="Arial" w:eastAsia="Times New Roman" w:hAnsi="Arial" w:cs="Arial"/>
          <w:color w:val="000000"/>
          <w:lang w:eastAsia="es-CO"/>
        </w:rPr>
      </w:pPr>
    </w:p>
    <w:p w14:paraId="57236821" w14:textId="7E7494C6"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En el mismo proyecto.  </w:t>
      </w:r>
    </w:p>
    <w:p w14:paraId="4F1ECAF9" w14:textId="77777777" w:rsidR="00683694" w:rsidRPr="009342F9" w:rsidRDefault="00683694" w:rsidP="00FC79C1">
      <w:pPr>
        <w:spacing w:after="0" w:line="240" w:lineRule="auto"/>
        <w:jc w:val="both"/>
        <w:rPr>
          <w:rFonts w:ascii="Arial" w:eastAsia="Times New Roman" w:hAnsi="Arial" w:cs="Arial"/>
          <w:color w:val="000000"/>
          <w:lang w:eastAsia="es-CO"/>
        </w:rPr>
      </w:pPr>
    </w:p>
    <w:p w14:paraId="045EA511" w14:textId="130F5AE5"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2. Mediante el traslado a otros proyectos </w:t>
      </w:r>
      <w:proofErr w:type="gramStart"/>
      <w:r w:rsidRPr="009342F9">
        <w:rPr>
          <w:rFonts w:ascii="Arial" w:eastAsia="Times New Roman" w:hAnsi="Arial" w:cs="Arial"/>
          <w:color w:val="000000"/>
          <w:lang w:eastAsia="es-CO"/>
        </w:rPr>
        <w:t>del mismo</w:t>
      </w:r>
      <w:proofErr w:type="gramEnd"/>
      <w:r w:rsidRPr="009342F9">
        <w:rPr>
          <w:rFonts w:ascii="Arial" w:eastAsia="Times New Roman" w:hAnsi="Arial" w:cs="Arial"/>
          <w:color w:val="000000"/>
          <w:lang w:eastAsia="es-CO"/>
        </w:rPr>
        <w:t xml:space="preserve"> urbanizador, localizados en cualquier parte del suelo urbano o de expansión urbana del municipio o distrito.  </w:t>
      </w:r>
    </w:p>
    <w:p w14:paraId="7EED5080" w14:textId="77777777" w:rsidR="00683694" w:rsidRPr="009342F9" w:rsidRDefault="00683694" w:rsidP="00FC79C1">
      <w:pPr>
        <w:spacing w:after="0" w:line="240" w:lineRule="auto"/>
        <w:jc w:val="both"/>
        <w:rPr>
          <w:rFonts w:ascii="Arial" w:eastAsia="Times New Roman" w:hAnsi="Arial" w:cs="Arial"/>
          <w:color w:val="000000"/>
          <w:lang w:eastAsia="es-CO"/>
        </w:rPr>
      </w:pPr>
    </w:p>
    <w:p w14:paraId="3DEF1FF1" w14:textId="6B5D8CBE"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3. Mediante la compensación en proyectos que adelanten las entidades públicas que desarrollen programas y proyectos VIS o VIP, a través de los bancos inmobiliarios, patrimonios autónomos o fondos que creen los municipios y distritos para el efecto.  </w:t>
      </w:r>
    </w:p>
    <w:p w14:paraId="6E6B1240" w14:textId="3E558290"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959" w:name="ver_30072846"/>
      <w:bookmarkEnd w:id="957"/>
      <w:bookmarkEnd w:id="958"/>
      <w:bookmarkEnd w:id="959"/>
    </w:p>
    <w:p w14:paraId="1CA8188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2.2.2.1.5.3.2 Cumplimiento de la obligación en el mismo proyecto. Cuando la exigencia de destinar suelo para VIS o VIP se cumpla al interior del mismo proyecto, la localización y delimitación de las áreas destinadas al cumplimiento de la obligación se hará en los planos que se aprueben con las correspondientes licencias de urbanización. </w:t>
      </w:r>
    </w:p>
    <w:p w14:paraId="77C2203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D5A3BF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 su vez, los planes parciales correspondientes determinarán la forma de definir las localizaciones de los terrenos tendientes al cumplimiento del porcentaje expresado, así como las diferentes alternativas para su cumplimiento. </w:t>
      </w:r>
    </w:p>
    <w:p w14:paraId="39BB3AE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ECEED4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 localización de estas áreas también deberá señalarse en la incorporación del proyecto urbanístico a la cartografía oficial del municipio o distrito. </w:t>
      </w:r>
    </w:p>
    <w:p w14:paraId="4372B72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2EA447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Parágrafo. Para efectos del control de los compromisos establecidos en el presente artículo, cuando los curadores urbanos expidan licencias de urbanización sobre predios sujetos a la obligación de que trata esta Sección, informarán de esta circunstancia a la oficina de planeación y a los demás curadores urbanos del municipio o distrito. Para el efecto, sin perjuicio de lo previsto en el Decreto número 2150 de 1995 y en el presente decreto, de los primeros diez (10) días calendario de cada mes, se enviará copia de las licencias de urbanización expedidas o, </w:t>
      </w:r>
      <w:proofErr w:type="gramStart"/>
      <w:r w:rsidRPr="009342F9">
        <w:rPr>
          <w:rFonts w:ascii="Arial" w:eastAsia="Times New Roman" w:hAnsi="Arial" w:cs="Arial"/>
          <w:color w:val="000000"/>
          <w:lang w:eastAsia="es-CO"/>
        </w:rPr>
        <w:t>en caso que</w:t>
      </w:r>
      <w:proofErr w:type="gramEnd"/>
      <w:r w:rsidRPr="009342F9">
        <w:rPr>
          <w:rFonts w:ascii="Arial" w:eastAsia="Times New Roman" w:hAnsi="Arial" w:cs="Arial"/>
          <w:color w:val="000000"/>
          <w:lang w:eastAsia="es-CO"/>
        </w:rPr>
        <w:t xml:space="preserve"> el correspondiente curador tenga página web, se hará la publicación de las mismas la cual deberá estar disponible de manera permanente para verificar lo previsto en este parágrafo. </w:t>
      </w:r>
    </w:p>
    <w:p w14:paraId="6E7340F5"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960" w:name="ver_30072849"/>
      <w:bookmarkEnd w:id="960"/>
    </w:p>
    <w:p w14:paraId="568FD9A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2.2.2.1.5.3.3 Cumplimiento de la obligación mediante el traslado a otro proyecto. La obligación de destinar suelo para se podrá trasladar a cualquier otra zona urbana o de expansión urbana del municipio o distrito, en terrenos sometidos a tratamiento de desarrollo o de renovación urbana en la modalidad de redesarrollo. </w:t>
      </w:r>
    </w:p>
    <w:p w14:paraId="679EF0F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78EAD6F" w14:textId="77777777" w:rsidR="00FC79C1" w:rsidRPr="009342F9" w:rsidRDefault="00FC79C1" w:rsidP="00FC79C1">
      <w:pPr>
        <w:spacing w:after="0" w:line="240" w:lineRule="auto"/>
        <w:jc w:val="both"/>
        <w:rPr>
          <w:rFonts w:ascii="Arial" w:eastAsia="Times New Roman" w:hAnsi="Arial" w:cs="Arial"/>
          <w:color w:val="000000"/>
          <w:lang w:eastAsia="es-CO"/>
        </w:rPr>
      </w:pPr>
      <w:proofErr w:type="gramStart"/>
      <w:r w:rsidRPr="009342F9">
        <w:rPr>
          <w:rFonts w:ascii="Arial" w:eastAsia="Times New Roman" w:hAnsi="Arial" w:cs="Arial"/>
          <w:color w:val="000000"/>
          <w:lang w:eastAsia="es-CO"/>
        </w:rPr>
        <w:t>El área a destinar</w:t>
      </w:r>
      <w:proofErr w:type="gramEnd"/>
      <w:r w:rsidRPr="009342F9">
        <w:rPr>
          <w:rFonts w:ascii="Arial" w:eastAsia="Times New Roman" w:hAnsi="Arial" w:cs="Arial"/>
          <w:color w:val="000000"/>
          <w:lang w:eastAsia="es-CO"/>
        </w:rPr>
        <w:t xml:space="preserve"> en el predio donde se origina la obligación será objeto de conversión aplicando la relación que arroje la comparación de los avalúos catastrales del predio en que se debe cumplir originalmente con la obligación y de aquel a donde se trasladará su cumplimiento. Para este efecto, se aplicará la siguiente fórmula: </w:t>
      </w:r>
    </w:p>
    <w:p w14:paraId="17A071A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1344CC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A2=A1x (V1/V2)  </w:t>
      </w:r>
    </w:p>
    <w:p w14:paraId="4E729B4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DBCC27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Donde: </w:t>
      </w:r>
    </w:p>
    <w:p w14:paraId="6D7D77A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164C18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A2= Área de VIS o VIP trasladada a otro proyecto. </w:t>
      </w:r>
    </w:p>
    <w:p w14:paraId="1161FD6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7429D8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A1= Área de VIS o VIP a destinar en el proyecto original. </w:t>
      </w:r>
    </w:p>
    <w:p w14:paraId="51A20BD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0ADE7F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V1= Valor catastral del metro cuadrado de suelo donde se ubica el proyecto original. </w:t>
      </w:r>
    </w:p>
    <w:p w14:paraId="3AA9B26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B2EA71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V2= Valor catastral del metro cuadrado de suelo a donde se traslada la obligación. </w:t>
      </w:r>
    </w:p>
    <w:p w14:paraId="67CCC64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5DEFF4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1. Se entiende por valor catastral del metro cuadrado de suelo el resultante de dividir el valor total del predio por su área. </w:t>
      </w:r>
    </w:p>
    <w:p w14:paraId="46F4728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ADA8B2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Parágrafo 2°. Para efectos de acreditar el cumplimiento de la obligación de que trata este Artículo se deberá presentar como requisito para la expedición de la licencia de urbanización ante el curador urbano o la autoridad municipal o distrital competente, la licencia o licencias de urbanización correspondientes al suelo destinado para VIP en otros proyectos, cuyo titular sea la misma persona sobre quien recae la obligación de acreditar el cumplimiento de los porcentajes de suelo destinados a VIP. </w:t>
      </w:r>
    </w:p>
    <w:p w14:paraId="1D19E09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4C8DC6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Para efectos de verificar el cumplimiento del requisito de que trata el inciso anterior, el curador urbano o la autoridad municipal o distrital competente al expedir el acta de observaciones al proyecto de urbanización requerirá al interesado para que aporte la licencia o licencias de urbanización correspondientes al suelo destinado para VIS o VIP en otros proyectos dentro del término previsto en el artículo 2.2.6.1.2.2.4 del presente decreto. </w:t>
      </w:r>
    </w:p>
    <w:p w14:paraId="28BBA74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20CCBB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Parágrafo 3°. Los valores catastrales de que trata la fórmula definida en el presente </w:t>
      </w:r>
      <w:proofErr w:type="gramStart"/>
      <w:r w:rsidRPr="009342F9">
        <w:rPr>
          <w:rFonts w:ascii="Arial" w:eastAsia="Times New Roman" w:hAnsi="Arial" w:cs="Arial"/>
          <w:color w:val="000000"/>
          <w:lang w:eastAsia="es-CO"/>
        </w:rPr>
        <w:t>artículo,</w:t>
      </w:r>
      <w:proofErr w:type="gramEnd"/>
      <w:r w:rsidRPr="009342F9">
        <w:rPr>
          <w:rFonts w:ascii="Arial" w:eastAsia="Times New Roman" w:hAnsi="Arial" w:cs="Arial"/>
          <w:color w:val="000000"/>
          <w:lang w:eastAsia="es-CO"/>
        </w:rPr>
        <w:t xml:space="preserve"> podrán ser sustituidos por valores comerciales de referencia, siempre y cuando el municipio o distrito cuente con avalúos de referencia por zonas homogéneas tanto para la zona donde ubica el proyecto original como para aquella donde se ubica el proyecto adonde se debe trasladar la obligación. </w:t>
      </w:r>
    </w:p>
    <w:p w14:paraId="7FF040E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EF625A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ningún caso, se podrá involucrar el valor de la edificabilidad de las áreas sujetas al cumplimiento de la obligación. </w:t>
      </w:r>
    </w:p>
    <w:p w14:paraId="040F1B6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29B574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4°. La obligación de que trata este artículo también podrá cumplirse en municipios localizados dentro del área de influencia de ciudades con población urbana superior a 500.000 habitantes, siempre y cuando, previamente los municipios y/o distritos se hayan asociado, celebrado convenios interadministrativos o adoptado cualquier otro mecanismo legal que permita establecer las condiciones recíprocas entre ellos para el cumplimiento y control de esta obligación, de conformidad con lo previsto en el presente decreto. </w:t>
      </w:r>
    </w:p>
    <w:p w14:paraId="0A41BF6B" w14:textId="4FA94920"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961" w:name="ver_30072852"/>
      <w:bookmarkEnd w:id="961"/>
    </w:p>
    <w:p w14:paraId="17592FE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2.2.2.1.5.3.4 Cumplimiento de la obligación mediante la compensación en proyectos que adelanten las entidades públicas que desarrollen programas y proyectos VIS o VIP, a través de los bancos inmobiliarios, patrimonios autónomos o fondos que creen los municipios y distritos para el efecto. La obligación de destinar suelo para VIP también se podrá hacer efectiva en los programas o proyectos que adelanten las entidades públicas municipales o distritales, mediante la compra de derechos fiduciarios. </w:t>
      </w:r>
    </w:p>
    <w:p w14:paraId="538FAE6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A23489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estos casos, la estimación del área a destinar a VIS o VIP se calculará aplicando la misma fórmula descrita en el artículo anterior, pero el valor de la compra de los derechos fiduciarios se hará sobre el valor comercial del predio o predios donde se desarrollará el proyecto. </w:t>
      </w:r>
    </w:p>
    <w:p w14:paraId="46A49D2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42DA1E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Para efectos de verificar el cumplimiento de esta obligación, el curador urbano o la autoridad municipal o distrital competente requerirá al interesado, dentro del mismo término a que se refiere artículo 2.2.6.1.2.2.4 del presente decreto para que aporte la certificación expedida por la sociedad fiduciaria correspondiente en la que conste la compra de derechos fiduciarios de fideicomisos mercantiles constituidos para la ejecución de este tipo de proyectos, conforme lo dispuesto en el inciso final del artículo 36 de la Ley 388 de 1997. </w:t>
      </w:r>
    </w:p>
    <w:p w14:paraId="55A918B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3264A1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No se entenderá cumplida la obligación de que trata esta Sección cuando se haga efectiva a través de la compra de derechos fiduciarios a terceros que, a su vez, los hayan adquirido para acreditar el cumplimiento de su obligación a destinar suelo para VIS </w:t>
      </w:r>
      <w:proofErr w:type="spellStart"/>
      <w:r w:rsidRPr="009342F9">
        <w:rPr>
          <w:rFonts w:ascii="Arial" w:eastAsia="Times New Roman" w:hAnsi="Arial" w:cs="Arial"/>
          <w:color w:val="000000"/>
          <w:lang w:eastAsia="es-CO"/>
        </w:rPr>
        <w:t>oVIP</w:t>
      </w:r>
      <w:proofErr w:type="spellEnd"/>
      <w:r w:rsidRPr="009342F9">
        <w:rPr>
          <w:rFonts w:ascii="Arial" w:eastAsia="Times New Roman" w:hAnsi="Arial" w:cs="Arial"/>
          <w:color w:val="000000"/>
          <w:lang w:eastAsia="es-CO"/>
        </w:rPr>
        <w:t>. </w:t>
      </w:r>
    </w:p>
    <w:p w14:paraId="7EF47EB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4ADF4B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Parágrafo 1°. El valor de la compra de los derechos fiduciarios se hará sobre el valor comercial del predio o predios donde se desarrollará el proyecto. </w:t>
      </w:r>
    </w:p>
    <w:p w14:paraId="2092003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C1E77B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2°. Sin perjuicio de lo dispuesto en este artículo, los municipios y distritos podrán crear fondos para el desarrollo de programas VIS o VIP, como mecanismos de manejo de cuenta sin personería jurídica, que podrán ser administrados mediante contratos de fiducia mercantil. En todo caso, y con el fin de estimar el monto de la obligación de que trata este artículo, las entidades públicas deberán definir el portafolio de los proyectos VIS o VIP a los cuales se trasladará la obligación de suelo VIS o VIP. </w:t>
      </w:r>
    </w:p>
    <w:p w14:paraId="57E2D95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4B85A6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3°. Solo se permitirá, de manera excepcional, la compensación en dinero a los fondos de compensación de que tratan, entre otras disposiciones, el artículo 49 de la Ley 388 de 1997 o la norma que lo adicione, modifique o sustituya, como mecanismo para asegurar el reparto equitativo de las cargas y beneficios generados en el ordenamiento urbano, cuando en las normas urbanísticas del componente urbano del plan de ordenamiento contemplen los mecanismos que garanticen que el valor de la compensación al respectivo fondo se pueda materializar en el proyecto original objeto de la obligación de destinar suelo para VIS o VIP o en cualquier otro proyecto del urbanizador responsable del cumplimiento de la obligación. </w:t>
      </w:r>
    </w:p>
    <w:p w14:paraId="1F71416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6E66B9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estos casos, el monto de la compensación se calculará con fundamento en el valor catastral del predio que podrá ser sustituido por valores comerciales de referencia, siempre y cuando el municipio o distrito cuente con avalúos de referencia por zonas homogéneas para la zona donde ubica el proyecto original. </w:t>
      </w:r>
    </w:p>
    <w:p w14:paraId="60BAB75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618F1A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ningún caso, el valor de la compensación podrá involucrar el valor de la edificabilidad de las áreas sujetas al cumplimiento de la obligación. </w:t>
      </w:r>
    </w:p>
    <w:p w14:paraId="35FC6EF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039A99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4°. De conformidad con lo previsto en los artículos 70 y siguientes de la Ley 9ª de 1989 y 118 de la Ley 388 de 1997, cuando el municipio o distrito cuente con Banco Inmobiliario, la compensación de suelo para VIS o VIP también podrá efectuarse mediante la compra de suelo, para lo cual la estimación del área a destinar a VIS o VIP se calculará aplicando la misma fórmula descrita en el artículo anterior. </w:t>
      </w:r>
    </w:p>
    <w:p w14:paraId="76FEFBE6" w14:textId="5EA3EB9C"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962" w:name="ver_30072855"/>
      <w:bookmarkEnd w:id="962"/>
    </w:p>
    <w:p w14:paraId="2F12A84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2.2.2.1.5.3.5 Compra de derechos fiduciarios. Sin perjuicio de lo dispuesto en el artículo 117 de la Ley 1450 de 2011 o la norma que lo adicione, modifique o sustituya, las entidades públicas de que trata este capítulo celebrarán contratos de fiducia mercantil para el desarrollo de programas y proyectos VIS o VIP, a los cuales podrán vincularse quienes deban cumplir con los porcentajes de que trata la presente Sección mediante la adquisición de derechos fiduciarios. </w:t>
      </w:r>
    </w:p>
    <w:p w14:paraId="79CDAFA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2D7DAE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Con el fin de estimar el monto de la obligación de que trata este artículo, las entidades públicas deberán definir el portafolio de los proyectos VIS o VIP en los cuales se pueden comprar derechos fiduciarios y su valor comercial. </w:t>
      </w:r>
    </w:p>
    <w:p w14:paraId="0DF4BB7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0C96469" w14:textId="77777777" w:rsidR="00FC79C1" w:rsidRPr="009342F9" w:rsidRDefault="00FC79C1" w:rsidP="00FC79C1">
      <w:pPr>
        <w:spacing w:after="0" w:line="240" w:lineRule="auto"/>
        <w:jc w:val="both"/>
        <w:rPr>
          <w:rFonts w:ascii="Arial" w:eastAsia="Times New Roman" w:hAnsi="Arial" w:cs="Arial"/>
          <w:color w:val="000000"/>
          <w:lang w:eastAsia="es-CO"/>
        </w:rPr>
      </w:pPr>
      <w:proofErr w:type="gramStart"/>
      <w:r w:rsidRPr="009342F9">
        <w:rPr>
          <w:rFonts w:ascii="Arial" w:eastAsia="Times New Roman" w:hAnsi="Arial" w:cs="Arial"/>
          <w:color w:val="000000"/>
          <w:lang w:eastAsia="es-CO"/>
        </w:rPr>
        <w:t>En caso que</w:t>
      </w:r>
      <w:proofErr w:type="gramEnd"/>
      <w:r w:rsidRPr="009342F9">
        <w:rPr>
          <w:rFonts w:ascii="Arial" w:eastAsia="Times New Roman" w:hAnsi="Arial" w:cs="Arial"/>
          <w:color w:val="000000"/>
          <w:lang w:eastAsia="es-CO"/>
        </w:rPr>
        <w:t xml:space="preserve"> no esté definido el portafolio de los proyectos VIS o VIP, la compra de derechos fiduciarios se podrá hacer utilizando alguna de las siguientes formas: </w:t>
      </w:r>
    </w:p>
    <w:p w14:paraId="491DB3E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38AD79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Sobre predios que se pretendan adquirir, para lo cual la entidad pública deberá celebrar previamente las respectivas promesas de compraventa o los contratos para la adquisición del inmueble o inmuebles, o </w:t>
      </w:r>
    </w:p>
    <w:p w14:paraId="507DB62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1C1475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2. Mediante la adhesión a un patrimonio autónomo cuyo objeto sea la adquisición de suelo para destinarlo al cumplimiento de la obligación de VIS o VIP prevista en este Capítulo. En este caso, la entidad pública correspondiente deberá definir un valor comercial promedio de compra de este tipo de suelo en el municipio o distrito y la forma de calcular la participación de cada uno de los constituyentes, adherentes o beneficiarios del fideicomiso. </w:t>
      </w:r>
    </w:p>
    <w:p w14:paraId="536280CC" w14:textId="45D5B494"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963" w:name="ver_30072859"/>
      <w:bookmarkEnd w:id="963"/>
    </w:p>
    <w:p w14:paraId="04F3E59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2.2.2.1.5.3.6 Con el fin de asegurar que los porcentajes de suelo sobre área útil sean destinados a este tipo de vivienda, cuando el suelo destinado para el desarrollo de proyectos VIS o VIP se encuentre en el mismo proyecto, deberá quedar expresamente señalado y determinado en la Escritura Pública de constitución de la urbanización, la cual deberá inscribirse en el folio de matrícula inmobiliaria de cada uno de los inmuebles. Si el suelo destinado para el desarrollo de proyectos VIS o VIP se localiza en otra zona de la ciudad, esta situación deberá inscribirse en el folio de matrícula inmobiliaria de cada uno de los inmuebles. </w:t>
      </w:r>
    </w:p>
    <w:p w14:paraId="7A770CF5" w14:textId="706F63A9" w:rsidR="00FC79C1" w:rsidRPr="009342F9" w:rsidRDefault="00FC79C1" w:rsidP="008220FB">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4390E1C" w14:textId="677E1093" w:rsidR="00FC79C1" w:rsidRPr="009342F9" w:rsidRDefault="00FC79C1" w:rsidP="00683694">
      <w:pPr>
        <w:spacing w:after="0" w:line="240" w:lineRule="auto"/>
        <w:jc w:val="center"/>
        <w:rPr>
          <w:rFonts w:ascii="Arial" w:eastAsia="Times New Roman" w:hAnsi="Arial" w:cs="Arial"/>
          <w:b/>
          <w:bCs/>
          <w:color w:val="000000"/>
          <w:lang w:eastAsia="es-CO"/>
        </w:rPr>
      </w:pPr>
      <w:bookmarkStart w:id="964" w:name="ver_30072862"/>
      <w:bookmarkEnd w:id="964"/>
      <w:r w:rsidRPr="009342F9">
        <w:rPr>
          <w:rFonts w:ascii="Arial" w:eastAsia="Times New Roman" w:hAnsi="Arial" w:cs="Arial"/>
          <w:b/>
          <w:bCs/>
          <w:color w:val="000000"/>
          <w:lang w:eastAsia="es-CO"/>
        </w:rPr>
        <w:t>SUBSECCIÓN 4</w:t>
      </w:r>
    </w:p>
    <w:p w14:paraId="5BDF32CB" w14:textId="77777777" w:rsidR="00FC79C1" w:rsidRPr="009342F9" w:rsidRDefault="00FC79C1" w:rsidP="00683694">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DISPOSICIONES FINALES</w:t>
      </w:r>
    </w:p>
    <w:p w14:paraId="1CAC81CC"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965" w:name="ver_30072866"/>
      <w:bookmarkEnd w:id="965"/>
    </w:p>
    <w:p w14:paraId="20FC1FB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2.2.2.1.5.4.1 Adecuación de las normas urbanísticas. Para hacer exigibles los porcentajes de suelo para VIS o VIP, y sin perjuicio de lo previsto en el parágrafo del artículo 46 de la Ley 1537 de 2012, los municipios y distritos en la revisión de sus planes de ordenamiento ajustarán sus planes de ordenamiento territorial a lo señalado en este Capítulo. De la misma manera se deberá proceder al adoptarse nuevos planes de ordenamiento territorial. </w:t>
      </w:r>
    </w:p>
    <w:p w14:paraId="026D30D4" w14:textId="7F19BF5D"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966" w:name="ver_30072869"/>
      <w:bookmarkEnd w:id="966"/>
    </w:p>
    <w:p w14:paraId="31F6ED2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2.2.2.1.5.4.2 Licencias de urbanización por etapas. En los proyectos de urbanización por etapas se deberá garantizar para cada una de ellas el cumplimiento autónomo de los porcentajes de VIS o VIP según el tratamiento a que esté sometido el respectivo predio. </w:t>
      </w:r>
      <w:proofErr w:type="gramStart"/>
      <w:r w:rsidRPr="009342F9">
        <w:rPr>
          <w:rFonts w:ascii="Arial" w:eastAsia="Times New Roman" w:hAnsi="Arial" w:cs="Arial"/>
          <w:color w:val="000000"/>
          <w:lang w:eastAsia="es-CO"/>
        </w:rPr>
        <w:t>En caso que</w:t>
      </w:r>
      <w:proofErr w:type="gramEnd"/>
      <w:r w:rsidRPr="009342F9">
        <w:rPr>
          <w:rFonts w:ascii="Arial" w:eastAsia="Times New Roman" w:hAnsi="Arial" w:cs="Arial"/>
          <w:color w:val="000000"/>
          <w:lang w:eastAsia="es-CO"/>
        </w:rPr>
        <w:t xml:space="preserve"> el cumplimiento del porcentaje de VIS o VIP se proponga en una sola etapa y cubra las exigencias de las demás, dicho suelo deberá hacer parte de la licencia de urbanización de la primera etapa. </w:t>
      </w:r>
    </w:p>
    <w:p w14:paraId="0D6A1AEF" w14:textId="460520EA"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967" w:name="ver_30072871"/>
      <w:bookmarkEnd w:id="967"/>
    </w:p>
    <w:p w14:paraId="3A97F4F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2.2.2.1.5.4.3 Licencias de construcción. La exigencia del cumplimiento de suelo para VIS y/o VIP no será exigible en trámites de licencias de construcción en ninguna de sus modalidades. </w:t>
      </w:r>
    </w:p>
    <w:p w14:paraId="15AA8F88" w14:textId="591C59A2"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968" w:name="ver_30072872"/>
      <w:bookmarkEnd w:id="968"/>
    </w:p>
    <w:p w14:paraId="4B5119C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2.2.2.1.5.4.4 Régimen de transición. Las disposiciones contenidas en la presente Sección se aplicarán teniendo en cuenta el siguiente régimen de transición: </w:t>
      </w:r>
    </w:p>
    <w:p w14:paraId="01573BD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AA0733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Los porcentajes de suelo de que trata la Subsección 2 de la presente sección únicamente se aplicarán a las nuevas solicitudes de planes parciales o de licencias de urbanización radicadas en legal y debida forma a partir del 23 de enero de 2013. </w:t>
      </w:r>
    </w:p>
    <w:p w14:paraId="486FD37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510C8E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2. Los porcentajes de suelo de que trata la Subsección 3 de la presente sección únicamente se aplicarán a las nuevas solicitudes de planes parciales radicadas a partir de la </w:t>
      </w:r>
      <w:proofErr w:type="gramStart"/>
      <w:r w:rsidRPr="009342F9">
        <w:rPr>
          <w:rFonts w:ascii="Arial" w:eastAsia="Times New Roman" w:hAnsi="Arial" w:cs="Arial"/>
          <w:color w:val="000000"/>
          <w:lang w:eastAsia="es-CO"/>
        </w:rPr>
        <w:t>entrada en vigencia</w:t>
      </w:r>
      <w:proofErr w:type="gramEnd"/>
      <w:r w:rsidRPr="009342F9">
        <w:rPr>
          <w:rFonts w:ascii="Arial" w:eastAsia="Times New Roman" w:hAnsi="Arial" w:cs="Arial"/>
          <w:color w:val="000000"/>
          <w:lang w:eastAsia="es-CO"/>
        </w:rPr>
        <w:t xml:space="preserve"> de la modificación o ajuste del respectivo plan de ordenamiento territorial, o de la adopción de uno nuevo. </w:t>
      </w:r>
    </w:p>
    <w:p w14:paraId="6FF7EBF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524E08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Los proyectos de planes parciales que hubieren sido radicados antes de la publicación del 23 de enero de 2013, continuarán su trámite de adopción de acuerdo con las disposiciones vigentes al momento de su radicación. </w:t>
      </w:r>
    </w:p>
    <w:p w14:paraId="42C5E3D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CC1CE2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4. La exigencia de los porcentajes de suelo para VIS o VIP en planes parciales sometidos a tratamientos de desarrollo o renovación urbana en la modalidad de redesarrollo que se encontrarán vigentes el 23 de enero de 2013 o, en su caso, de la modificación de los planes de </w:t>
      </w:r>
      <w:r w:rsidRPr="009342F9">
        <w:rPr>
          <w:rFonts w:ascii="Arial" w:eastAsia="Times New Roman" w:hAnsi="Arial" w:cs="Arial"/>
          <w:color w:val="000000"/>
          <w:lang w:eastAsia="es-CO"/>
        </w:rPr>
        <w:lastRenderedPageBreak/>
        <w:t>ordenamiento, se someterá a lo previsto en el parágrafo 3 del artículo 180 del Decreto-ley 019 de 2012 o la norma que lo adicione, modifique o sustituya. </w:t>
      </w:r>
    </w:p>
    <w:p w14:paraId="720E5FF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C858B7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consecuencia, el trámite de las licencias de urbanización mediante las cuales se ejecute el respectivo plan parcial se someterá a las normas urbanísticas adoptadas con el plan parcial respectivo, salvo que los propietarios de los predios se acojan, por escrito a la nueva reglamentación. </w:t>
      </w:r>
    </w:p>
    <w:p w14:paraId="1A43EED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B2E275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 De conformidad con lo dispuesto en el inciso tercero del artículo 2.2.6.1.2.4.2 del presente decreto, en el caso de las urbanizaciones por etapas, los proyectos urbanísticos generales aprobados mediante acto administrativo antes de la entrada en vigencia del presente decreto mantendrán su vigencia y servirán de fundamento para la expedición de las licencias de urbanización de las demás etapas, siempre que la licencia de urbanización para la nueva etapa se solicite como mínimo treinta (30) días calendario antes del vencimiento de la licencia de la etapa anterior. </w:t>
      </w:r>
    </w:p>
    <w:p w14:paraId="74A8E74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EBDC6D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Las modificaciones del proyecto urbanístico general, en tanto esté vigente, se resolverán con fundamento en las normas urbanísticas y reglamentaciones con base en las cuales fue aprobado, salvo que sus titulares se acojan por escrito a la nueva reglamentación. </w:t>
      </w:r>
    </w:p>
    <w:p w14:paraId="21811DF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1673EA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6. De conformidad con lo previsto en el artículo 182 del Decreto-ley 019 de 2012, las modificaciones de licencias urbanísticas vigente se resolverán con fundamento en las normas urbanísticas y demás reglamentaciones que sirvieron de base para su expedición, por lo </w:t>
      </w:r>
      <w:proofErr w:type="gramStart"/>
      <w:r w:rsidRPr="009342F9">
        <w:rPr>
          <w:rFonts w:ascii="Arial" w:eastAsia="Times New Roman" w:hAnsi="Arial" w:cs="Arial"/>
          <w:color w:val="000000"/>
          <w:lang w:eastAsia="es-CO"/>
        </w:rPr>
        <w:t>tanto</w:t>
      </w:r>
      <w:proofErr w:type="gramEnd"/>
      <w:r w:rsidRPr="009342F9">
        <w:rPr>
          <w:rFonts w:ascii="Arial" w:eastAsia="Times New Roman" w:hAnsi="Arial" w:cs="Arial"/>
          <w:color w:val="000000"/>
          <w:lang w:eastAsia="es-CO"/>
        </w:rPr>
        <w:t xml:space="preserve"> no podrán hacerse exigibles obligaciones distintas a las contempladas en dichas normas. </w:t>
      </w:r>
    </w:p>
    <w:p w14:paraId="20DAA5A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F1167D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7. Hasta tanto los municipios y distritos implementen el mecanismo de compra de derechos fiduciarios de que trata el presente decreto, los interesados que deseen acogerse a los </w:t>
      </w:r>
      <w:proofErr w:type="gramStart"/>
      <w:r w:rsidRPr="009342F9">
        <w:rPr>
          <w:rFonts w:ascii="Arial" w:eastAsia="Times New Roman" w:hAnsi="Arial" w:cs="Arial"/>
          <w:color w:val="000000"/>
          <w:lang w:eastAsia="es-CO"/>
        </w:rPr>
        <w:t>mismos,</w:t>
      </w:r>
      <w:proofErr w:type="gramEnd"/>
      <w:r w:rsidRPr="009342F9">
        <w:rPr>
          <w:rFonts w:ascii="Arial" w:eastAsia="Times New Roman" w:hAnsi="Arial" w:cs="Arial"/>
          <w:color w:val="000000"/>
          <w:lang w:eastAsia="es-CO"/>
        </w:rPr>
        <w:t xml:space="preserve"> deberán suscribir un compromiso con la entidad pública que desarrolle programas y proyectos VIS o VIP mediante el cual se garantice el cumplimiento de dicha obligación. Las entidades respectivas establecerán las garantías para celebrar este tipo de compromiso, los cuales serán requisito para la expedición de las licencias. </w:t>
      </w:r>
    </w:p>
    <w:p w14:paraId="59CA303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CA9CC1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transitorio. Sin perjuicio de lo previsto en el numeral 7 de este artículo, y con el fin de evitar traumatismos en el trámite de las licencias de urbanización, mientras los municipios y distritos implementan el mecanismo de compra de derechos fiduciarios de que trata el presente decreto, también se permitirá, de manera transitoria, que el cumplimiento de la obligación de destinar suelos para VIP en predios sujetos al tratamiento de desarrollo, se efectúe mediante la compra de derechos fiduciarios en proyectos de terceros. </w:t>
      </w:r>
    </w:p>
    <w:p w14:paraId="5908253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889718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En estos casos, el cumplimiento de la obligación solo podrá llevarse a cabo en las áreas útiles destinadas a vivienda que superen el porcentaje mínimo de suelo a destinar a VIP en el predio receptor, según lo que se establece en este decreto. Para el trámite de licencias de urbanización, el curador urbano o la </w:t>
      </w:r>
      <w:proofErr w:type="gramStart"/>
      <w:r w:rsidRPr="009342F9">
        <w:rPr>
          <w:rFonts w:ascii="Arial" w:eastAsia="Times New Roman" w:hAnsi="Arial" w:cs="Arial"/>
          <w:color w:val="000000"/>
          <w:lang w:eastAsia="es-CO"/>
        </w:rPr>
        <w:t>autoridad pública</w:t>
      </w:r>
      <w:proofErr w:type="gramEnd"/>
      <w:r w:rsidRPr="009342F9">
        <w:rPr>
          <w:rFonts w:ascii="Arial" w:eastAsia="Times New Roman" w:hAnsi="Arial" w:cs="Arial"/>
          <w:color w:val="000000"/>
          <w:lang w:eastAsia="es-CO"/>
        </w:rPr>
        <w:t xml:space="preserve"> competente para expedir licencias, deberá verificar la compra de derechos fiduciarios y el registro en el folio de matrícula inmobiliaria del predio receptor de los suelos afectados a este tipo de vivienda, dentro del término previsto en el artículo 2.2.6.1.2.2.4 del presente decreto. </w:t>
      </w:r>
    </w:p>
    <w:p w14:paraId="3BD5E04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709C42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No se entenderá cumplida la obligación de que trata este parágrafo cuando se haga efectiva a través de la compra de derechos fiduciarios a terceros que, a su vez, los hayan adquirido para acreditar el cumplimiento de su obligación a destinar suelo para VIP. </w:t>
      </w:r>
    </w:p>
    <w:p w14:paraId="6CB70D7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58D883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Una vez los municipios y distritos implementen el mecanismo de compra de derechos fiduciarios de que trata el presente decreto, no se permitirá la compra de derechos fiduciarios a terceros para acreditar el cumplimiento de la obligación. </w:t>
      </w:r>
    </w:p>
    <w:p w14:paraId="253358C1" w14:textId="7E3C7FC4" w:rsidR="00683694"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969" w:name="ver_30072874"/>
      <w:bookmarkEnd w:id="969"/>
    </w:p>
    <w:p w14:paraId="7CD2A9AE" w14:textId="717EB6AF" w:rsidR="00FC79C1" w:rsidRPr="009342F9" w:rsidRDefault="00FC79C1" w:rsidP="00683694">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CAPÍTULO 2</w:t>
      </w:r>
    </w:p>
    <w:p w14:paraId="38C468C1" w14:textId="77777777" w:rsidR="00FC79C1" w:rsidRPr="009342F9" w:rsidRDefault="00FC79C1" w:rsidP="00683694">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ORDENAMIENTO TERRITORIAL DEL SUELO RURAL</w:t>
      </w:r>
    </w:p>
    <w:p w14:paraId="1E85BAAE" w14:textId="77777777" w:rsidR="00B86CD1" w:rsidRDefault="00B86CD1" w:rsidP="00683694">
      <w:pPr>
        <w:spacing w:after="0" w:line="240" w:lineRule="auto"/>
        <w:jc w:val="center"/>
        <w:rPr>
          <w:rFonts w:ascii="Arial" w:eastAsia="Times New Roman" w:hAnsi="Arial" w:cs="Arial"/>
          <w:b/>
          <w:bCs/>
          <w:color w:val="000000"/>
          <w:lang w:eastAsia="es-CO"/>
        </w:rPr>
      </w:pPr>
    </w:p>
    <w:p w14:paraId="61F3875B" w14:textId="6A4ECD0A" w:rsidR="00FC79C1" w:rsidRPr="009342F9" w:rsidRDefault="00FC79C1" w:rsidP="00683694">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SECCIÓN 1</w:t>
      </w:r>
    </w:p>
    <w:p w14:paraId="569CA6B1" w14:textId="77777777" w:rsidR="00FC79C1" w:rsidRPr="009342F9" w:rsidRDefault="00FC79C1" w:rsidP="00683694">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ORDENAMIENTO DEL SUELO RURAL</w:t>
      </w:r>
    </w:p>
    <w:p w14:paraId="52B3BF13"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970" w:name="ver_30072876"/>
      <w:bookmarkEnd w:id="970"/>
    </w:p>
    <w:p w14:paraId="54B60F8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2.2.2.2.1.1 Con el fin de garantizar el desarrollo sostenible del suelo rural, en los procesos de formulación, revisión y/o modificación de los planes de ordenamiento territorial, los municipios y distritos deberán dar cumplimiento a las determinantes que se desarrollan en el presente Capítulo, las cuales constituyen normas de superior jerarquía en los términos del artículo 10 de la Ley 388 de 1997. </w:t>
      </w:r>
    </w:p>
    <w:p w14:paraId="0094177C" w14:textId="5BECEEE5"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971" w:name="ver_30072879"/>
      <w:bookmarkEnd w:id="971"/>
    </w:p>
    <w:p w14:paraId="4C55AD4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2.2.2.2.1.2 Categorías del suelo rural. Para efectos de lo dispuesto en los artículos 14, 16.3 y 17 de la Ley 388 de 1997, en el componente rural del plan de ordenamiento y en su cartografía se deberán determinar y delimitar cada una de las categorías de protección y de desarrollo restringido a que se refieren los artículos siguientes, con la definición de los lineamientos de ordenamiento y la asignación de usos principales, compatibles, condicionados y prohibidos correspondientes. </w:t>
      </w:r>
    </w:p>
    <w:p w14:paraId="7984A3C9" w14:textId="3C64C59A"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972" w:name="ver_30072881"/>
      <w:bookmarkEnd w:id="972"/>
    </w:p>
    <w:p w14:paraId="708C605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2.2.2.2.1.3 Categorías de protección en suelo rural. Las categorías del suelo rural que se determinan en este artículo constituyen suelo de protección en los términos del artículo 35 de la Ley 388 de 1997 y son normas urbanísticas de carácter estructural de conformidad con lo establecido en el artículo 15 de la misma ley: </w:t>
      </w:r>
    </w:p>
    <w:p w14:paraId="5458A91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85AEBA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Áreas de conservación y protección ambiental. Incluye las áreas que deben ser objeto de especial protección ambiental de acuerdo con la legislación vigente y las que hacen parte de la estructura ecológica principal, para lo cual en el componente rural del plan de ordenamiento se deben señalar las medidas para garantizar su conservación y protección. Dentro de esta categoría, se incluyen las establecidas por la legislación vigente, tales como: </w:t>
      </w:r>
    </w:p>
    <w:p w14:paraId="031071B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8E83F5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1.1 Las áreas del sistema nacional de áreas protegidas. </w:t>
      </w:r>
    </w:p>
    <w:p w14:paraId="70D2EB1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6918CD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1.2 Las áreas de reserva forestal. </w:t>
      </w:r>
    </w:p>
    <w:p w14:paraId="78D5435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8861B2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1.3 Las áreas de manejo especial. </w:t>
      </w:r>
    </w:p>
    <w:p w14:paraId="3BCC956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28BD83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1.4 Las áreas de especial importancia ecosistémica, tales como páramos y subpáramos, nacimientos de agua, zonas de recarga de acuíferos, rondas hidráulicas de los cuerpos de agua, humedales, pantanos, lagos, lagunas, ciénagas, manglares y reservas de flora y fauna. </w:t>
      </w:r>
    </w:p>
    <w:p w14:paraId="39F2D3B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3B087C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2. Áreas para la producción agrícola y ganadera y de explotación de recursos naturales. Incluye los terrenos que deban ser mantenidos y preservados por su destinación a usos agrícolas, ganaderos, forestales o de explotación de recursos naturales. De conformidad con lo dispuesto en el parágrafo del artículo 2.2.6.2.2 del presente decreto, en estos terrenos no podrán autorizarse actuaciones urbanísticas de subdivisión, parcelación o edificación de inmuebles que impliquen la alteración o transformación de su uso actual. Dentro de esta categoría se incluirán, entre otros, y de conformidad con lo previsto en el artículo 54 del Decreto-ley 1333 de 1986, los </w:t>
      </w:r>
      <w:r w:rsidRPr="009342F9">
        <w:rPr>
          <w:rFonts w:ascii="Arial" w:eastAsia="Times New Roman" w:hAnsi="Arial" w:cs="Arial"/>
          <w:color w:val="000000"/>
          <w:lang w:eastAsia="es-CO"/>
        </w:rPr>
        <w:lastRenderedPageBreak/>
        <w:t xml:space="preserve">suelos </w:t>
      </w:r>
      <w:proofErr w:type="gramStart"/>
      <w:r w:rsidRPr="009342F9">
        <w:rPr>
          <w:rFonts w:ascii="Arial" w:eastAsia="Times New Roman" w:hAnsi="Arial" w:cs="Arial"/>
          <w:color w:val="000000"/>
          <w:lang w:eastAsia="es-CO"/>
        </w:rPr>
        <w:t>que</w:t>
      </w:r>
      <w:proofErr w:type="gramEnd"/>
      <w:r w:rsidRPr="009342F9">
        <w:rPr>
          <w:rFonts w:ascii="Arial" w:eastAsia="Times New Roman" w:hAnsi="Arial" w:cs="Arial"/>
          <w:color w:val="000000"/>
          <w:lang w:eastAsia="es-CO"/>
        </w:rPr>
        <w:t xml:space="preserve"> según la clasificación del Instituto Geográfico Agustín Codazzi, IGAC, pertenezcan a las clases I, II y III, y aquellos correspondientes a otras clases agrológicas, que sean necesarias para la conservación de los recursos de aguas, control de procesos erosivos y zonas de protección forestal. </w:t>
      </w:r>
    </w:p>
    <w:p w14:paraId="165643B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66FF26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3. Áreas e inmuebles considerados como patrimonio cultural. Incluye, entre otros, los sitios históricos y arqueológicos y las construcciones o restos de ellas que hayan sido </w:t>
      </w:r>
      <w:proofErr w:type="gramStart"/>
      <w:r w:rsidRPr="009342F9">
        <w:rPr>
          <w:rFonts w:ascii="Arial" w:eastAsia="Times New Roman" w:hAnsi="Arial" w:cs="Arial"/>
          <w:color w:val="000000"/>
          <w:lang w:eastAsia="es-CO"/>
        </w:rPr>
        <w:t>declarados como</w:t>
      </w:r>
      <w:proofErr w:type="gramEnd"/>
      <w:r w:rsidRPr="009342F9">
        <w:rPr>
          <w:rFonts w:ascii="Arial" w:eastAsia="Times New Roman" w:hAnsi="Arial" w:cs="Arial"/>
          <w:color w:val="000000"/>
          <w:lang w:eastAsia="es-CO"/>
        </w:rPr>
        <w:t xml:space="preserve"> bienes de interés cultural en los términos de la Ley 397 de 1997 y las normas que la adicionen, modifiquen o sustituyan. </w:t>
      </w:r>
    </w:p>
    <w:p w14:paraId="0FB36B7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12E1BA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Áreas del sistema de servicios públicos domiciliarios. Dentro de esta categoría se localizarán las zonas de utilidad pública para la ubicación de infraestructuras primarias para la provisión de servicios públicos domiciliarios, con la definición de las directrices de ordenamiento para sus áreas de influencia. </w:t>
      </w:r>
    </w:p>
    <w:p w14:paraId="10E7BFB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5B1C40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Deberán señalarse las áreas para la realización de actividades referidas al manejo, tratamiento y/o disposición final de residuos sólidos o líquidos, tales como rellenos sanitarios, estaciones de transferencia, plantas incineradoras de residuos, plantas de tratamiento de aguas residuales, y/o estaciones de bombeo necesarias para resolver los requerimientos propios de uno o varios municipios y que se definan de conformidad con la normativa vigente. </w:t>
      </w:r>
    </w:p>
    <w:p w14:paraId="2FBA8C3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2A14ED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 Áreas de amenaza y riesgo. Incluye las zonas que presentan alto riesgo para la localización de asentamientos humanos por amenazas o riesgos naturales o por condiciones de insalubridad. </w:t>
      </w:r>
    </w:p>
    <w:p w14:paraId="797F3035" w14:textId="57676AA2"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973" w:name="ver_30072883"/>
      <w:bookmarkEnd w:id="973"/>
    </w:p>
    <w:p w14:paraId="1F69589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2.2.2.2.1.4 Categorías de desarrollo restringido en suelo rural. Dentro de estas categorías se podrán incluir los suelos rurales que no hagan parte de alguna de las categorías de protección de que trata el artículo anterior, cuando reúnan condiciones para el desarrollo de núcleos de población rural, para la localización de actividades económicas y para la dotación de equipamientos comunitarios. Dentro de esta categoría, en el componente rural del plan de ordenamiento territorial se podrá incluir la delimitación de las siguientes áreas: </w:t>
      </w:r>
    </w:p>
    <w:p w14:paraId="2779668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75E838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Los suelos suburbanos con la definición de la unidad mínima de actuación y el señalamiento de los índices máximos de ocupación y construcción, los tratamientos y usos principales, compatibles, condicionados y prohibidos. La delimitación de los suelos suburbanos constituye norma urbanística de carácter estructural de conformidad con lo establecido 15 de la Ley 388 de 1997 y se regirá por lo previsto en la Sección 2 del presente Capítulo. </w:t>
      </w:r>
    </w:p>
    <w:p w14:paraId="7FE7FCD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1DBFCF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Los centros poblados rurales con la adopción de las previsiones necesarias para orientar la ocupación de sus suelos y la adecuada dotación de infraestructura de servicios básicos y de equipamiento comunitario, de conformidad con lo previsto en la Sección 3 del presente Capítulo. </w:t>
      </w:r>
    </w:p>
    <w:p w14:paraId="6F83FAA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534971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La identificación y delimitación de las áreas destinadas a vivienda campestre, con la definición de las normas urbanísticas de parcelación, de conformidad con lo previsto en el presente decreto para el efecto. </w:t>
      </w:r>
    </w:p>
    <w:p w14:paraId="3D96236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3D9078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La localización prevista para los equipamientos de salud, educación, bienestar social, cultural y deporte. </w:t>
      </w:r>
    </w:p>
    <w:p w14:paraId="3FEE30B5" w14:textId="0CD34E7B"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974" w:name="ver_30072886"/>
      <w:bookmarkEnd w:id="974"/>
    </w:p>
    <w:p w14:paraId="2FCF6D1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2.2.2.2.1.5 Planeamiento intermedio del suelo rural. Para desarrollar y precisar las condiciones de ordenamiento de áreas específicas del suelo rural a escala intermedia, el plan de </w:t>
      </w:r>
      <w:r w:rsidRPr="009342F9">
        <w:rPr>
          <w:rFonts w:ascii="Arial" w:eastAsia="Times New Roman" w:hAnsi="Arial" w:cs="Arial"/>
          <w:color w:val="000000"/>
          <w:lang w:eastAsia="es-CO"/>
        </w:rPr>
        <w:lastRenderedPageBreak/>
        <w:t>ordenamiento territorial podrá delimitar para la totalidad del suelo rural las unidades de planificación rural teniendo en cuenta, por lo menos, los siguientes aspectos: </w:t>
      </w:r>
    </w:p>
    <w:p w14:paraId="4399D7D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FF91E1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La división veredal. </w:t>
      </w:r>
    </w:p>
    <w:p w14:paraId="1303C51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2AD363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La red vial y de asentamientos existentes. </w:t>
      </w:r>
    </w:p>
    <w:p w14:paraId="1A057F3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FED893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La estructura ecológica principal. </w:t>
      </w:r>
    </w:p>
    <w:p w14:paraId="36B6CE7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E1B74E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La disposición de las actividades productivas. </w:t>
      </w:r>
    </w:p>
    <w:p w14:paraId="1E5FF12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1B2F99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 Las cuencas hidrográficas, cerros y planicies u otros elementos geográficos. </w:t>
      </w:r>
    </w:p>
    <w:p w14:paraId="6082EAE0" w14:textId="291A289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975" w:name="ver_30072889"/>
      <w:bookmarkEnd w:id="975"/>
    </w:p>
    <w:p w14:paraId="197985A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2.2.2.2.1.6 Contenido de la unidad de planificación rural. La unidad de planificación rural deberá contener, como mínimo, los siguientes aspectos cuando no hayan sido contemplados directamente en el plan de ordenamiento territorial: </w:t>
      </w:r>
    </w:p>
    <w:p w14:paraId="6608BE7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880C06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Las normas para el manejo y conservación de las áreas que hagan parte de las categorías de protección, de acuerdo con la normativa específica aplicable a cada una de ellas. </w:t>
      </w:r>
    </w:p>
    <w:p w14:paraId="7E6277C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299DC0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2. Las normas sobre el uso y manejo de las áreas destinadas a la producción agrícola, ganadera, forestal, de explotación de los recursos naturales, agroindustrial, ecoturística, </w:t>
      </w:r>
      <w:proofErr w:type="spellStart"/>
      <w:r w:rsidRPr="009342F9">
        <w:rPr>
          <w:rFonts w:ascii="Arial" w:eastAsia="Times New Roman" w:hAnsi="Arial" w:cs="Arial"/>
          <w:color w:val="000000"/>
          <w:lang w:eastAsia="es-CO"/>
        </w:rPr>
        <w:t>etnoturística</w:t>
      </w:r>
      <w:proofErr w:type="spellEnd"/>
      <w:r w:rsidRPr="009342F9">
        <w:rPr>
          <w:rFonts w:ascii="Arial" w:eastAsia="Times New Roman" w:hAnsi="Arial" w:cs="Arial"/>
          <w:color w:val="000000"/>
          <w:lang w:eastAsia="es-CO"/>
        </w:rPr>
        <w:t xml:space="preserve"> y demás actividades análogas que sean compatibles con la vocación del suelo rural. </w:t>
      </w:r>
    </w:p>
    <w:p w14:paraId="039B683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BFAC89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El señalamiento y localización de las infraestructuras básicas relativas a la red vial nacional y regional, puertos y aeropuertos, así como las directrices de ordenamiento para sus áreas de influencia. </w:t>
      </w:r>
    </w:p>
    <w:p w14:paraId="5EEF5B2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F887D2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En áreas pertenecientes al suelo rural suburbano, además de lo dispuesto en la Sección 2 del presente Capítulo, la definición del sistema vial, el sistema de espacios públicos, la determinación de los sistemas de aprovisionamiento de los servicios públicos de agua potable y saneamiento básico, así como de los equipamientos comunitarios. La unidad de planificación también podrá incluir la definición de los distintos tratamientos o potencialidades de utilización del suelo y las normas urbanísticas específicas sobre uso y aprovechamiento del suelo que para el desarrollo de las actuaciones de parcelación y edificación de las unidades mínimas de actuación se hayan definido en el plan de ordenamiento territorial. </w:t>
      </w:r>
    </w:p>
    <w:p w14:paraId="5234F09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3FDD08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 Las zonas o subzonas beneficiarias de las acciones urbanísticas que constituyen hechos generadores de la participación en la plusvalía, las cuales deberán ser tenidas en cuenta, en conjunto o por separado, para determinar el efecto de la plusvalía, de conformidad con lo dispuesto en el Capítulo IX de la Ley 388 de 1997 y su reglamento. </w:t>
      </w:r>
    </w:p>
    <w:p w14:paraId="4B34B8E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0A77B0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6. Las normas para impedir la urbanización de las áreas rurales que limiten con suelo urbano o de expansión urbana. </w:t>
      </w:r>
    </w:p>
    <w:p w14:paraId="7427529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399758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7. Los demás contenidos y normas urbanísticas que se requieran para orientar el desarrollo de actuaciones urbanísticas en los suelos pertenecientes a cualquiera de las categorías de desarrollo restringido de que trata el presente decreto, de acuerdo con los parámetros, procedimientos y autorizaciones emanadas de las normas urbanísticas generales consignadas en el componente rural del plan de ordenamiento. </w:t>
      </w:r>
    </w:p>
    <w:p w14:paraId="513DA45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4D571B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Parágrafo. Los contenidos de las unidades de planificación rural que se establecen en el presente decreto podrán preverse directamente en el contenido rural de los planes de ordenamiento territorial. </w:t>
      </w:r>
    </w:p>
    <w:p w14:paraId="06624C91" w14:textId="6AC54943"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976" w:name="ver_30072893"/>
      <w:bookmarkEnd w:id="976"/>
    </w:p>
    <w:p w14:paraId="042014D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2.2.2.2.1.7 Adopción de las unidades de planificación rural. Las unidades de planificación rural podrán ser formuladas por las autoridades de planeación municipal o distrital o por la comunidad, y serán adoptadas previa concertación de los asuntos ambientales con la Corporación Autónoma Regional o de Desarrollo Sostenible, mediante decreto del alcalde municipal o distrital. </w:t>
      </w:r>
    </w:p>
    <w:p w14:paraId="6CFEC3B2" w14:textId="515F3AC8" w:rsidR="00683694" w:rsidRDefault="00FC79C1" w:rsidP="00FC79C1">
      <w:pPr>
        <w:spacing w:after="0" w:line="240" w:lineRule="auto"/>
        <w:jc w:val="both"/>
        <w:rPr>
          <w:rFonts w:ascii="Arial" w:eastAsia="Times New Roman" w:hAnsi="Arial" w:cs="Arial"/>
          <w:color w:val="000000"/>
          <w:lang w:eastAsia="es-CO"/>
        </w:rPr>
      </w:pPr>
      <w:r w:rsidRPr="231E957E">
        <w:rPr>
          <w:rFonts w:ascii="Arial" w:eastAsia="Times New Roman" w:hAnsi="Arial" w:cs="Arial"/>
          <w:color w:val="000000" w:themeColor="text1"/>
          <w:lang w:eastAsia="es-CO"/>
        </w:rPr>
        <w:t>  </w:t>
      </w:r>
      <w:bookmarkStart w:id="977" w:name="ver_30072896"/>
      <w:bookmarkEnd w:id="977"/>
    </w:p>
    <w:p w14:paraId="7C81B35B" w14:textId="29E15D0A" w:rsidR="00FC79C1" w:rsidRPr="009342F9" w:rsidRDefault="00FC79C1" w:rsidP="00683694">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SECCIÓN 2</w:t>
      </w:r>
    </w:p>
    <w:p w14:paraId="16CA974F" w14:textId="77777777" w:rsidR="00FC79C1" w:rsidRPr="009342F9" w:rsidRDefault="00FC79C1" w:rsidP="00683694">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SUELO RURAL SUBURBANO</w:t>
      </w:r>
    </w:p>
    <w:p w14:paraId="751B5EE1" w14:textId="77777777" w:rsidR="00FC79C1" w:rsidRPr="009342F9" w:rsidRDefault="00FC79C1" w:rsidP="00683694">
      <w:pPr>
        <w:spacing w:after="0" w:line="240" w:lineRule="auto"/>
        <w:jc w:val="center"/>
        <w:rPr>
          <w:rFonts w:ascii="Arial" w:eastAsia="Times New Roman" w:hAnsi="Arial" w:cs="Arial"/>
          <w:b/>
          <w:bCs/>
          <w:color w:val="000000"/>
          <w:lang w:eastAsia="es-CO"/>
        </w:rPr>
      </w:pPr>
      <w:bookmarkStart w:id="978" w:name="ver_30072899"/>
      <w:bookmarkEnd w:id="978"/>
    </w:p>
    <w:p w14:paraId="3613CBE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2.2.2.2.2.1 Ordenamiento básico para el desarrollo sostenible del suelo rural suburbano. Para el ordenamiento del suelo rural suburbano, el distrito o municipio deberá incluir en la adopción, revisión y/o modificación del plan de ordenamiento territorial lo siguiente: </w:t>
      </w:r>
    </w:p>
    <w:p w14:paraId="3081778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1D3CC2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1. Determinación del umbral máximo de </w:t>
      </w:r>
      <w:proofErr w:type="spellStart"/>
      <w:r w:rsidRPr="009342F9">
        <w:rPr>
          <w:rFonts w:ascii="Arial" w:eastAsia="Times New Roman" w:hAnsi="Arial" w:cs="Arial"/>
          <w:color w:val="000000"/>
          <w:lang w:eastAsia="es-CO"/>
        </w:rPr>
        <w:t>suburbanización</w:t>
      </w:r>
      <w:proofErr w:type="spellEnd"/>
      <w:r w:rsidRPr="009342F9">
        <w:rPr>
          <w:rFonts w:ascii="Arial" w:eastAsia="Times New Roman" w:hAnsi="Arial" w:cs="Arial"/>
          <w:color w:val="000000"/>
          <w:lang w:eastAsia="es-CO"/>
        </w:rPr>
        <w:t xml:space="preserve">. Los municipios y distritos deberán determinar el umbral máximo de </w:t>
      </w:r>
      <w:proofErr w:type="spellStart"/>
      <w:r w:rsidRPr="009342F9">
        <w:rPr>
          <w:rFonts w:ascii="Arial" w:eastAsia="Times New Roman" w:hAnsi="Arial" w:cs="Arial"/>
          <w:color w:val="000000"/>
          <w:lang w:eastAsia="es-CO"/>
        </w:rPr>
        <w:t>suburbanización</w:t>
      </w:r>
      <w:proofErr w:type="spellEnd"/>
      <w:r w:rsidRPr="009342F9">
        <w:rPr>
          <w:rFonts w:ascii="Arial" w:eastAsia="Times New Roman" w:hAnsi="Arial" w:cs="Arial"/>
          <w:color w:val="000000"/>
          <w:lang w:eastAsia="es-CO"/>
        </w:rPr>
        <w:t xml:space="preserve">, teniendo en cuenta el carácter de desarrollo de </w:t>
      </w:r>
      <w:proofErr w:type="gramStart"/>
      <w:r w:rsidRPr="009342F9">
        <w:rPr>
          <w:rFonts w:ascii="Arial" w:eastAsia="Times New Roman" w:hAnsi="Arial" w:cs="Arial"/>
          <w:color w:val="000000"/>
          <w:lang w:eastAsia="es-CO"/>
        </w:rPr>
        <w:t>baja ocupación y baja densidad</w:t>
      </w:r>
      <w:proofErr w:type="gramEnd"/>
      <w:r w:rsidRPr="009342F9">
        <w:rPr>
          <w:rFonts w:ascii="Arial" w:eastAsia="Times New Roman" w:hAnsi="Arial" w:cs="Arial"/>
          <w:color w:val="000000"/>
          <w:lang w:eastAsia="es-CO"/>
        </w:rPr>
        <w:t xml:space="preserve"> del suelo suburbano, las posibilidades de suministro de agua potable y saneamiento básico y las normas de conservación y protección del medio ambiente. </w:t>
      </w:r>
    </w:p>
    <w:p w14:paraId="654D2C3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CA6580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En todo caso, en el proceso de formulación, revisión y/o modificación de los planes de ordenamiento territorial, las Corporaciones Autónomas Regionales o de Desarrollo Sostenible, de acuerdo con las características ambientales del territorio, podrán establecer las condiciones para que los municipios adopten un umbral más restrictivo y definirán las densidades máximas a las que se sujetará el desarrollo de los suelos suburbanos. La definición del umbral máximo de </w:t>
      </w:r>
      <w:proofErr w:type="spellStart"/>
      <w:r w:rsidRPr="009342F9">
        <w:rPr>
          <w:rFonts w:ascii="Arial" w:eastAsia="Times New Roman" w:hAnsi="Arial" w:cs="Arial"/>
          <w:color w:val="000000"/>
          <w:lang w:eastAsia="es-CO"/>
        </w:rPr>
        <w:t>suburbanización</w:t>
      </w:r>
      <w:proofErr w:type="spellEnd"/>
      <w:r w:rsidRPr="009342F9">
        <w:rPr>
          <w:rFonts w:ascii="Arial" w:eastAsia="Times New Roman" w:hAnsi="Arial" w:cs="Arial"/>
          <w:color w:val="000000"/>
          <w:lang w:eastAsia="es-CO"/>
        </w:rPr>
        <w:t xml:space="preserve"> constituye norma urbanística de carácter estructural y en ningún caso, salvo en el de la revisión de largo plazo del plan de ordenamiento, será objeto de modificación. </w:t>
      </w:r>
    </w:p>
    <w:p w14:paraId="748AFB4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2D68F4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Unidad mínima de actuación. En el componente rural de los planes de ordenamiento se definirá, para los distintos usos permitidos en suelo rural suburbano, la extensión de la unidad mínima de actuación para la ejecución de las obras de parcelación del predio o predios que la conforman, mediante la expedición de una única licencia de parcelación en la que se garantice la ejecución y dotación de las áreas de cesión y de las obras de infraestructura de servicios públicos definidas para la totalidad de los predios incluidos en la unidad por parte de sus propietarios. En ningún caso, la extensión de la unidad mínima de actuación que adopten los municipios podrá ser inferior a dos (2) hectáreas para todos los usos que se desarrollen en suelo rural suburbano. </w:t>
      </w:r>
    </w:p>
    <w:p w14:paraId="4C42C74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8E46CC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Las normas del componente rural del plan de ordenamiento o de las unidades de planificación rural, deberán señalar las normas a que se sujetará el desarrollo por parcelación de los predios que no puedan cumplir con la extensión de la unidad mínima de actuación, cuando se encuentren rodeados por otros desarrollos urbanísticos o predios que hayan concluido el proceso de parcelación. </w:t>
      </w:r>
    </w:p>
    <w:p w14:paraId="2E2EC52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34EF48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Definición de usos. Cada uno de los usos permitidos en suelo rural suburbano debe contar con la definición de su escala o intensidad de uso, localización y definición de usos principales, complementarios, compatibles, condicionados y prohibidos, así como las densidades e índices máximos de ocupación y construcción y demás contenidos urbanísticos y ambientales que permitan su desarrollo, respetando la vocación del suelo rural. </w:t>
      </w:r>
    </w:p>
    <w:p w14:paraId="1707230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7D78A6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Cuando un determinado uso no esté definido por las reglamentaciones municipales o distritales como principal, complementario, compatible o condicionado, se entenderá que dicho uso está prohibido. </w:t>
      </w:r>
    </w:p>
    <w:p w14:paraId="7DB29B36" w14:textId="52B0B838"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7F9615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Se exceptúa de cumplir con la extensión de la unidad mínima de actuación, únicamente la construcción individual de una sola casa de habitación del propietario, que no forme parte de una parcelación, agrupación de vivienda, condominio, unidad inmobiliaria cerrada o similares sometidas o no al régimen de propiedad horizontal. </w:t>
      </w:r>
    </w:p>
    <w:p w14:paraId="194042AF" w14:textId="0A7521D9"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979" w:name="ver_30072901"/>
      <w:bookmarkEnd w:id="979"/>
    </w:p>
    <w:p w14:paraId="514AF49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2.2.2.2.2.2 Corredores viales suburbanos. Para efectos de lo dispuesto en el artículo 34 de la Ley 388 de 1997, en los planes de ordenamiento territorial sólo se podrán clasificar como corredores viales suburbanos las áreas paralelas a las vías arteriales o de primer orden y vías intermunicipales o de segundo orden. </w:t>
      </w:r>
    </w:p>
    <w:p w14:paraId="4396F7F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1B46D4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El ancho máximo de los corredores viales suburbanos será de 300 metros medidos desde el borde exterior de las fajas mínimas de retiro obligatorio o áreas de exclusión de que tratan los numerales 1 y 2 del artículo 2° de la Ley 1228 de 2008, Y en ellos sólo se permitirá el desarrollo de actividades con restricciones de uso, intensidad y densidad, cumpliendo con lo dispuesto en el presente decreto. </w:t>
      </w:r>
    </w:p>
    <w:p w14:paraId="51D19B8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149711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Corresponderá a las Corporaciones Autónomas Regionales o de Desarrollo Sostenible definir la extensión máxima de los corredores viales suburbanos respecto del perímetro urbano. </w:t>
      </w:r>
      <w:proofErr w:type="gramStart"/>
      <w:r w:rsidRPr="009342F9">
        <w:rPr>
          <w:rFonts w:ascii="Arial" w:eastAsia="Times New Roman" w:hAnsi="Arial" w:cs="Arial"/>
          <w:color w:val="000000"/>
          <w:lang w:eastAsia="es-CO"/>
        </w:rPr>
        <w:t>Bajo ninguna circunstancia</w:t>
      </w:r>
      <w:proofErr w:type="gramEnd"/>
      <w:r w:rsidRPr="009342F9">
        <w:rPr>
          <w:rFonts w:ascii="Arial" w:eastAsia="Times New Roman" w:hAnsi="Arial" w:cs="Arial"/>
          <w:color w:val="000000"/>
          <w:lang w:eastAsia="es-CO"/>
        </w:rPr>
        <w:t xml:space="preserve"> podrán los municipios ampliar la extensión de los corredores viales que determine la autoridad ambiental competente. </w:t>
      </w:r>
    </w:p>
    <w:p w14:paraId="2984B61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34B048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No se podrán clasificar como suburbanos los corredores viales correspondientes a las vías veredales o de tercer orden. </w:t>
      </w:r>
    </w:p>
    <w:p w14:paraId="52E3C046" w14:textId="163EF3BE"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980" w:name="ver_30072904"/>
      <w:bookmarkEnd w:id="980"/>
    </w:p>
    <w:p w14:paraId="06542BA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2.2.2.2.2.3 Ordenamiento de los corredores viales suburbanos. Para el ordenamiento de los corredores viales suburbanos, en el plan de ordenamiento o en las unidades de planificación rural se deberá delimitar lo siguiente: </w:t>
      </w:r>
    </w:p>
    <w:p w14:paraId="661B608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354454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Una franja mínima de cinco (5) metros de aislamiento, contados a partir del borde exterior de las fajas mínimas de retiro obligatorio o áreas de exclusión de que tratan los numerales 1 y 2 del artículo 2 de la Ley 1228 de 2008, y </w:t>
      </w:r>
    </w:p>
    <w:p w14:paraId="12F3CF1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E5CE56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Una calzada de desaceleración para permitir el acceso a los predios resultantes de la parcelación, cuyo ancho mínimo debe ser de ocho (8) metros contados a partir del borde de la franja de aislamiento de que trata el numeral anterior. </w:t>
      </w:r>
    </w:p>
    <w:p w14:paraId="3CD9427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5D687F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Los accesos y salidas de las calzadas de desaceleración deberán ubicarse como mínimo cada trescientos (300) metros. </w:t>
      </w:r>
    </w:p>
    <w:p w14:paraId="422C1C2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140C7D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1°. La franja de aislamiento y la calzada de desaceleración deben construirse y dotarse bajo los parámetros señalados en el plan de ordenamiento o en la unidad de planificación rural y deberán entregarse como áreas de cesión pública obligatoria. En ningún caso se permitirá el cerramiento de estas áreas y la franja de aislamiento deberá ser empradizada. En los linderos de la franja de aislamiento con las áreas de exclusión, los propietarios deberán construir setos con arbustos o árboles vivos, que no impidan, dificulten u obstaculicen la visibilidad de los conductores en las curvas de las carreteras, en los términos de que trata el artículo 5 de la Ley 1228 de 2008. </w:t>
      </w:r>
    </w:p>
    <w:p w14:paraId="1D3EEAA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1BDE6D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Parágrafo 2°. Para efectos de la expedición de licencias urbanísticas, en los planos topográficos o de localización de los predios se deberán demarcar la franja de aislamiento y la calzada de desaceleración de que trata este decreto. </w:t>
      </w:r>
    </w:p>
    <w:p w14:paraId="4A91988D" w14:textId="0D2B4012"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981" w:name="ver_30072906"/>
      <w:bookmarkEnd w:id="981"/>
    </w:p>
    <w:p w14:paraId="4E9628B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2.2.2.2.2.4 Normas aplicables para el desarrollo de usos comerciales y de servicios. El otorgamiento de licencias de parcelación y construcción para el desarrollo de proyectos comerciales y de servicios con un área de construcción superior a los cinco mil metros cuadrados (5.000 m2) en suelo rural suburbano, sólo se permitirá en las áreas de actividad que para estos usos hayan sido específicamente delimitadas cartográficamente en el plan de ordenamiento territorial o en las unidades de planificación rural. </w:t>
      </w:r>
    </w:p>
    <w:p w14:paraId="71A5105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4705F8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todo caso, el plan de ordenamiento territorial o en la unidad de planificación rural se deberán adoptar las normas que definan, por lo menos, la altura máxima y las normas volumétricas a las que debe sujetarse el desarrollo de estos usos, de forma tal que se proteja el paisaje rural. </w:t>
      </w:r>
    </w:p>
    <w:p w14:paraId="460D7F0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ECE35B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Los índices de ocupación no podrán superar el treinta por ciento (30%) del área del predio y el resto se destinará, en forma prioritaria, a la conservación o recuperación de la vegetación nativa. Las normas urbanísticas también señalarán los aislamientos laterales y posteriores que deben dejar las edificaciones contra los predios vecinos a nivel del terreno, y las regulaciones para impedir que la agrupación de proyectos comerciales y de servicios, con áreas de construcción inferior a los 5.000 m2, contravenga lo dispuesto en el presente artículo. </w:t>
      </w:r>
    </w:p>
    <w:p w14:paraId="17EF539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367BFB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Las áreas para maniobras de vehículos y las cuotas de estacionamientos deberán construirse al interior del predio. </w:t>
      </w:r>
    </w:p>
    <w:p w14:paraId="4E31EDB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C78C44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ningún caso se permitirá el desarrollo de estos usos en predios adyacentes a las intersecciones viales ni en suelo rural no suburbano. </w:t>
      </w:r>
    </w:p>
    <w:p w14:paraId="700F4A0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5981E8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Parágrafo. Los servicios ecoturísticos, </w:t>
      </w:r>
      <w:proofErr w:type="spellStart"/>
      <w:r w:rsidRPr="009342F9">
        <w:rPr>
          <w:rFonts w:ascii="Arial" w:eastAsia="Times New Roman" w:hAnsi="Arial" w:cs="Arial"/>
          <w:color w:val="000000"/>
          <w:lang w:eastAsia="es-CO"/>
        </w:rPr>
        <w:t>etnoturísticos</w:t>
      </w:r>
      <w:proofErr w:type="spellEnd"/>
      <w:r w:rsidRPr="009342F9">
        <w:rPr>
          <w:rFonts w:ascii="Arial" w:eastAsia="Times New Roman" w:hAnsi="Arial" w:cs="Arial"/>
          <w:color w:val="000000"/>
          <w:lang w:eastAsia="es-CO"/>
        </w:rPr>
        <w:t xml:space="preserve">, agroturísticos y </w:t>
      </w:r>
      <w:proofErr w:type="spellStart"/>
      <w:r w:rsidRPr="009342F9">
        <w:rPr>
          <w:rFonts w:ascii="Arial" w:eastAsia="Times New Roman" w:hAnsi="Arial" w:cs="Arial"/>
          <w:color w:val="000000"/>
          <w:lang w:eastAsia="es-CO"/>
        </w:rPr>
        <w:t>acuaturísticos</w:t>
      </w:r>
      <w:proofErr w:type="spellEnd"/>
      <w:r w:rsidRPr="009342F9">
        <w:rPr>
          <w:rFonts w:ascii="Arial" w:eastAsia="Times New Roman" w:hAnsi="Arial" w:cs="Arial"/>
          <w:color w:val="000000"/>
          <w:lang w:eastAsia="es-CO"/>
        </w:rPr>
        <w:t xml:space="preserve"> podrán desarrollarse en cualquier parte del suelo rural, de acuerdo con las normas sobre usos y tratamientos adoptadas en el plan de ordenamiento territorial o en la unidad de planificación rural. </w:t>
      </w:r>
    </w:p>
    <w:p w14:paraId="568D6896" w14:textId="19F07CD8"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982" w:name="ver_30072910"/>
      <w:bookmarkEnd w:id="982"/>
    </w:p>
    <w:p w14:paraId="09F21F4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2.2.2.2.2.5 Normas para los usos industriales. El otorgamiento de licencias para el desarrollo de usos industriales en suelo rural suburbano sólo se permitirá en las áreas de actividad que para estos usos hayan sido específicamente delimitadas en el plan de ordenamiento territorial o en las unidades de planificación rural y sólo se autorizará bajo alguna de las siguientes modalidades: </w:t>
      </w:r>
    </w:p>
    <w:p w14:paraId="28A5D58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CFCAE5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La unidad mínima de actuación para usos industriales. </w:t>
      </w:r>
    </w:p>
    <w:p w14:paraId="04B9692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804728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Los parques, agrupaciones o conjuntos industriales. </w:t>
      </w:r>
    </w:p>
    <w:p w14:paraId="1BBA6396" w14:textId="49EED8C2"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983" w:name="ver_30072914"/>
      <w:bookmarkEnd w:id="983"/>
    </w:p>
    <w:p w14:paraId="588B275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2.2.2.2.2.6 Condiciones básicas para la localización de usos industriales en suelo rural suburbano. A partir del 20 de septiembre de 2007, el plan de ordenamiento territorial o las unidades de planificación rural deberán contemplar, como mínimo, la delimitación cartográfica de las áreas de actividad industrial en suelo rural suburbano, las alturas máximas y las normas volumétricas a las que debe sujetarse el desarrollo de los usos industriales, de forma tal que se proteja el paisaje rural. Las normas urbanísticas también contemplarán los aislamientos laterales y posteriores que a nivel de terreno deben dejar las edificaciones contra los predios colindantes con la unidad mínima de actuación y que no hagan parte de esta. </w:t>
      </w:r>
    </w:p>
    <w:p w14:paraId="6D720BA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B34E81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Las actividades que se desarrollen al interior de las unidades mínimas de actuación o de los parques, agrupaciones o conjuntos industriales deben funcionar con base en criterios de uso eficiente de energía, agua y aprovechamiento de residuos. </w:t>
      </w:r>
    </w:p>
    <w:p w14:paraId="47B8BB0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4EB10D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Las áreas para maniobras de vehículos de carga y las cuotas de estacionamientos destinados al correcto funcionamiento del uso, incluyendo las normas de operación de cargue y descargue, deberán realizarse al interior de los predios que conformen la unidad mínima de actuación o el parque, agrupación o conjunto industrial. </w:t>
      </w:r>
    </w:p>
    <w:p w14:paraId="18F2157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A2F799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Los índices de ocupación para el desarrollo de usos industriales en suelo rural suburbano no podrán superar el treinta por ciento (30%) del área del predio o predios que conformen la unidad mínima de actuación y el resto se destinará a la conservación o recuperación de la vegetación nativa. </w:t>
      </w:r>
    </w:p>
    <w:p w14:paraId="2A5932A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AF940D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No </w:t>
      </w:r>
      <w:proofErr w:type="gramStart"/>
      <w:r w:rsidRPr="009342F9">
        <w:rPr>
          <w:rFonts w:ascii="Arial" w:eastAsia="Times New Roman" w:hAnsi="Arial" w:cs="Arial"/>
          <w:color w:val="000000"/>
          <w:lang w:eastAsia="es-CO"/>
        </w:rPr>
        <w:t>obstante</w:t>
      </w:r>
      <w:proofErr w:type="gramEnd"/>
      <w:r w:rsidRPr="009342F9">
        <w:rPr>
          <w:rFonts w:ascii="Arial" w:eastAsia="Times New Roman" w:hAnsi="Arial" w:cs="Arial"/>
          <w:color w:val="000000"/>
          <w:lang w:eastAsia="es-CO"/>
        </w:rPr>
        <w:t xml:space="preserve"> lo anterior, en los parques, conjuntos o agrupaciones industriales se podrá alcanzar una ocupación hasta del cincuenta por ciento (50%) de su área, siempre y cuando sus propietarios realicen la transferencia de cesiones adicionales gratuitas en los términos de que trata el parágrafo 1 del artículo 2.2.6.2.4 del presente decreto. La extensión de los parques, conjuntos o agrupaciones industriales no podrá ser inferior a seis (6) hectáreas. </w:t>
      </w:r>
    </w:p>
    <w:p w14:paraId="0738F12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E87A9A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ningún caso, las actividades industriales podrán autorizarse en suelos de alta capacidad agrológica ni en áreas o suelos protegidos. Tampoco se autorizará su desarrollo en el área de influencia que definan los municipios o distritos para desarrollos residenciales aprobados o áreas verdes destinadas a usos recreativos. </w:t>
      </w:r>
    </w:p>
    <w:p w14:paraId="2585232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FA21F5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Las solicitudes de ampliación y adecuación de edificaciones existentes antes del 20 de septiembre de 2007 de para usos industriales ubicados en suelo rural suburbano, se resolverán con base en los Planes de Ordenamiento Territorial o en los instrumentos que lo desarrollen, sin superar, en ningún caso, el 50% de ocupación del predio. En este porcentaje de ocupación se incluirán las áreas de que trata el parágrafo anterior. </w:t>
      </w:r>
    </w:p>
    <w:p w14:paraId="3103C131" w14:textId="69AD9414"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817457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transitorio. En los planes de ordenamiento territorial se deberá definir la clasificación de los usos industriales, teniendo en cuenta el impacto ambiental y urbanístico que producen y estableciendo su compatibilidad respecto de los demás usos permitidos. Mientras se adopta dicha clasificación, la solicitud de licencias deberá acompañarse del concepto favorable de la autoridad municipal o distrital competente, sobre la compatibilidad del uso propuesto frente a los usos permitidos en este tipo de áreas. </w:t>
      </w:r>
    </w:p>
    <w:p w14:paraId="2FD20B0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7FDE8F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Si al 10 de diciembre de 2010 el concejo municipal o distrital, o el alcalde, según sea el caso, no ha adoptado en el plan de ordenamiento territorial la clasificación de usos industriales de que trata este parágrafo, no se podrán expedir licencias urbanísticas para usos industriales. </w:t>
      </w:r>
    </w:p>
    <w:p w14:paraId="021AF90A" w14:textId="1A43FA3F" w:rsidR="00683694" w:rsidRPr="009342F9" w:rsidRDefault="00FC79C1" w:rsidP="00D42757">
      <w:pPr>
        <w:spacing w:after="0" w:line="240" w:lineRule="auto"/>
        <w:jc w:val="both"/>
        <w:rPr>
          <w:rFonts w:ascii="Arial" w:eastAsia="Times New Roman" w:hAnsi="Arial" w:cs="Arial"/>
          <w:b/>
          <w:bCs/>
          <w:color w:val="000000"/>
          <w:lang w:eastAsia="es-CO"/>
        </w:rPr>
      </w:pPr>
      <w:r w:rsidRPr="231E957E">
        <w:rPr>
          <w:rFonts w:ascii="Arial" w:eastAsia="Times New Roman" w:hAnsi="Arial" w:cs="Arial"/>
          <w:color w:val="000000" w:themeColor="text1"/>
          <w:lang w:eastAsia="es-CO"/>
        </w:rPr>
        <w:t>  </w:t>
      </w:r>
      <w:bookmarkStart w:id="984" w:name="ver_30072919"/>
      <w:bookmarkEnd w:id="984"/>
    </w:p>
    <w:p w14:paraId="1E43936A" w14:textId="217B0454" w:rsidR="005C5EEB" w:rsidRDefault="00FC79C1" w:rsidP="00683694">
      <w:pPr>
        <w:spacing w:after="0" w:line="240" w:lineRule="auto"/>
        <w:jc w:val="center"/>
        <w:rPr>
          <w:rFonts w:ascii="Arial" w:eastAsia="Times New Roman" w:hAnsi="Arial" w:cs="Arial"/>
          <w:b/>
          <w:bCs/>
          <w:color w:val="000000"/>
          <w:lang w:eastAsia="es-CO"/>
        </w:rPr>
      </w:pPr>
      <w:r w:rsidRPr="231E957E">
        <w:rPr>
          <w:rFonts w:ascii="Arial" w:eastAsia="Times New Roman" w:hAnsi="Arial" w:cs="Arial"/>
          <w:b/>
          <w:color w:val="000000" w:themeColor="text1"/>
          <w:lang w:eastAsia="es-CO"/>
        </w:rPr>
        <w:t>SECCIÓN 3</w:t>
      </w:r>
    </w:p>
    <w:p w14:paraId="394F636B" w14:textId="77777777" w:rsidR="00FC79C1" w:rsidRPr="009342F9" w:rsidRDefault="00FC79C1" w:rsidP="00683694">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CENTROS POBLADOS RURALES</w:t>
      </w:r>
    </w:p>
    <w:p w14:paraId="35A5D43E" w14:textId="77777777" w:rsidR="00FC79C1" w:rsidRPr="009342F9" w:rsidRDefault="00FC79C1" w:rsidP="00683694">
      <w:pPr>
        <w:spacing w:after="0" w:line="240" w:lineRule="auto"/>
        <w:jc w:val="center"/>
        <w:rPr>
          <w:rFonts w:ascii="Arial" w:eastAsia="Times New Roman" w:hAnsi="Arial" w:cs="Arial"/>
          <w:b/>
          <w:bCs/>
          <w:color w:val="000000"/>
          <w:lang w:eastAsia="es-CO"/>
        </w:rPr>
      </w:pPr>
      <w:bookmarkStart w:id="985" w:name="ver_30072921"/>
      <w:bookmarkEnd w:id="985"/>
    </w:p>
    <w:p w14:paraId="35CC163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2.2.2.2.3.1 Centros poblados rurales. En el componente rural de los planes de ordenamiento o en la unidad de planificación rural se debe incluir la delimitación de los centros poblados rurales, de acuerdo con los criterios definidos en el inciso 2 del parágrafo del artículo1 de la Ley 505 de 1999. </w:t>
      </w:r>
    </w:p>
    <w:p w14:paraId="6535DC6C" w14:textId="33E531FE"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986" w:name="ver_30072923"/>
      <w:bookmarkEnd w:id="986"/>
    </w:p>
    <w:p w14:paraId="5E55F64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Artículo 2.2.2.2.3.2 Ordenamiento de los centros poblados rurales. Para asegurar el ordenamiento adecuado de los centros poblados rurales, el componente rural del plan de ordenamiento o la unidad de planificación rural deberá contener, en lo pertinente y de acuerdo con los objetivos y estrategias territoriales del municipio o distrito, por lo menos los siguientes aspectos: </w:t>
      </w:r>
    </w:p>
    <w:p w14:paraId="22D5A98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9D49E0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La delimitación del centro poblado. </w:t>
      </w:r>
    </w:p>
    <w:p w14:paraId="6CBFE03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8097E1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Las medidas de protección para evitar que se afecten la estructura ecológica principal y los suelos pertenecientes a alguna de las categorías de protección de que trata el artículo 2.2.2.2.1.3 del presente decreto. </w:t>
      </w:r>
    </w:p>
    <w:p w14:paraId="3F37FA2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185497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La definición de usos principales, compatibles, condicionados y prohibidos. </w:t>
      </w:r>
    </w:p>
    <w:p w14:paraId="515F5DA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2979A5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Las normas para la parcelación de las áreas que se puedan desarrollar de acuerdo con las normas generales y las densidades máximas definidas por la Corporación Autónoma Regional o de Desarrollo Sostenible. </w:t>
      </w:r>
    </w:p>
    <w:p w14:paraId="1D08E5E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969ABA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 La definición de las cesiones obligatorias para las diferentes actuaciones. </w:t>
      </w:r>
    </w:p>
    <w:p w14:paraId="65EA4D5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8A5638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6. La localización y dimensionamiento de la infraestructura básica de servicios públicos. </w:t>
      </w:r>
    </w:p>
    <w:p w14:paraId="2BE763D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6ED30D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7. La definición y trazado del sistema de espacio público del centro poblado. </w:t>
      </w:r>
    </w:p>
    <w:p w14:paraId="3477F29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8A1503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8. La definición y trazado del sistema vial, con la definición de los perfiles viales. </w:t>
      </w:r>
    </w:p>
    <w:p w14:paraId="5F8EEF8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988B61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9. La definición y localización de los equipamientos colectivos, tales como educación, bienestar social, salud, cultura y deporte. </w:t>
      </w:r>
    </w:p>
    <w:p w14:paraId="2760A3F1" w14:textId="64C1A9FA" w:rsidR="00D4095E" w:rsidRPr="009342F9" w:rsidRDefault="00FC79C1" w:rsidP="00D42757">
      <w:pPr>
        <w:spacing w:after="0" w:line="240" w:lineRule="auto"/>
        <w:jc w:val="both"/>
        <w:rPr>
          <w:rFonts w:ascii="Arial" w:eastAsia="Times New Roman" w:hAnsi="Arial" w:cs="Arial"/>
          <w:b/>
          <w:bCs/>
          <w:color w:val="000000"/>
          <w:lang w:eastAsia="es-CO"/>
        </w:rPr>
      </w:pPr>
      <w:r w:rsidRPr="009342F9">
        <w:rPr>
          <w:rFonts w:ascii="Arial" w:eastAsia="Times New Roman" w:hAnsi="Arial" w:cs="Arial"/>
          <w:color w:val="000000"/>
          <w:lang w:eastAsia="es-CO"/>
        </w:rPr>
        <w:t>  </w:t>
      </w:r>
      <w:bookmarkStart w:id="987" w:name="ver_30072924"/>
      <w:bookmarkEnd w:id="987"/>
    </w:p>
    <w:p w14:paraId="5EA18107" w14:textId="0761D48C" w:rsidR="00FC79C1" w:rsidRPr="009342F9" w:rsidRDefault="00FC79C1" w:rsidP="00D4095E">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SECCIÓN 4</w:t>
      </w:r>
    </w:p>
    <w:p w14:paraId="74DFC3AE" w14:textId="77777777" w:rsidR="00FC79C1" w:rsidRPr="009342F9" w:rsidRDefault="00FC79C1" w:rsidP="00D4095E">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ÁREAS DE ACTIVIDAD INDUSTRIAL EN SUELO RURAL NO SUBURBANO</w:t>
      </w:r>
    </w:p>
    <w:p w14:paraId="4762D7C2"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988" w:name="ver_30072926"/>
      <w:bookmarkEnd w:id="988"/>
    </w:p>
    <w:p w14:paraId="35FBF68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2.2.2.2.4.1 Áreas de actividad industrial en suelo rural no suburbano. A partir del 20 de septiembre de 2007, los municipios y distritos del país no podrán ampliar la extensión actual de los corredores viales de servicio rural, las áreas de actividad industrial u otras áreas destinadas a usos industriales, independientemente de la denominación que adopten en los suelos rurales no suburbanos ni crear áreas nuevas, salvo que se trate de áreas destinadas a la explotación de recursos naturales o al desarrollo aislado de usos agroindustriales, ecoturísticos, </w:t>
      </w:r>
      <w:proofErr w:type="spellStart"/>
      <w:r w:rsidRPr="009342F9">
        <w:rPr>
          <w:rFonts w:ascii="Arial" w:eastAsia="Times New Roman" w:hAnsi="Arial" w:cs="Arial"/>
          <w:color w:val="000000"/>
          <w:lang w:eastAsia="es-CO"/>
        </w:rPr>
        <w:t>etnoturísticos</w:t>
      </w:r>
      <w:proofErr w:type="spellEnd"/>
      <w:r w:rsidRPr="009342F9">
        <w:rPr>
          <w:rFonts w:ascii="Arial" w:eastAsia="Times New Roman" w:hAnsi="Arial" w:cs="Arial"/>
          <w:color w:val="000000"/>
          <w:lang w:eastAsia="es-CO"/>
        </w:rPr>
        <w:t xml:space="preserve">, agroturísticos, </w:t>
      </w:r>
      <w:proofErr w:type="spellStart"/>
      <w:r w:rsidRPr="009342F9">
        <w:rPr>
          <w:rFonts w:ascii="Arial" w:eastAsia="Times New Roman" w:hAnsi="Arial" w:cs="Arial"/>
          <w:color w:val="000000"/>
          <w:lang w:eastAsia="es-CO"/>
        </w:rPr>
        <w:t>acuaturísticos</w:t>
      </w:r>
      <w:proofErr w:type="spellEnd"/>
      <w:r w:rsidRPr="009342F9">
        <w:rPr>
          <w:rFonts w:ascii="Arial" w:eastAsia="Times New Roman" w:hAnsi="Arial" w:cs="Arial"/>
          <w:color w:val="000000"/>
          <w:lang w:eastAsia="es-CO"/>
        </w:rPr>
        <w:t xml:space="preserve"> y demás actividades análogas que sean compatibles con la vocación agrícola, pecuaria y forestal del suelo rural. </w:t>
      </w:r>
    </w:p>
    <w:p w14:paraId="1E2D9D1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6EF70F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Las normas municipales y distritales establecerán las condiciones para aislar las áreas de actividad existentes de los corredores viales, de forma tal que no produzcan conglomerados o aglomeraciones industriales que desconfiguren o transformen la vocación agrícola, pecuaria y forestal del suelo rural. </w:t>
      </w:r>
    </w:p>
    <w:p w14:paraId="3ACD7AC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7EB6C2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Los índices de ocupación no podrán superar el treinta (30%) del área del predio y el resto se destinará a la conservación o recuperación de la vegetación nativa. </w:t>
      </w:r>
    </w:p>
    <w:p w14:paraId="1DA1ABF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E4E6CB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Las normas municipales y distritales establecerán las condiciones para impedir el desarrollo de usos industriales en suelo rural no suburbano por fuera de los corredores viales de servicio rural y de las áreas de actividad industrial u otras destinadas a usos industriales. </w:t>
      </w:r>
    </w:p>
    <w:p w14:paraId="01AD370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D24776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los planes de ordenamiento territorial se deberá definir la clasificación de los usos industriales, teniendo en cuenta el impacto ambiental y urbanístico que producen y establecido su compatibilidad respecto de los demás usos permitidos. En los municipios y distritos que no han adoptado en sus planes de ordenamiento la clasificación de usos industriales de que el presente artículo, no se podrán expedir licencias urbanísticas para usos industriales. </w:t>
      </w:r>
    </w:p>
    <w:p w14:paraId="2B06B52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B60128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ningún caso, podrá autorizarse el desarrollo de actividades industriales en suelos de alta capacidad agrológica ni en áreas o suelos protegidos. </w:t>
      </w:r>
    </w:p>
    <w:p w14:paraId="6FB28BF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FB0904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Lo dispuesto en el presente decreto para los parques, conjuntos o agrupaciones industriales, también será de aplicación para declarar zonas francas. </w:t>
      </w:r>
    </w:p>
    <w:p w14:paraId="033DB041" w14:textId="37900AC5"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989" w:name="ver_30072929"/>
      <w:bookmarkEnd w:id="989"/>
    </w:p>
    <w:p w14:paraId="709F6CB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2.2.2.2.4.2 Áreas de actividad industrial en la Sabana de Bogotá. En desarrollo de lo dispuesto en el artículo 61 de la Ley 99 de 1993, a partir del 20 de septiembre de 2007, no se podrán otorgar licencias de parcelación y/o construcción para el desarrollo de usos industriales en las áreas de actividad industrial, zonas múltiples con actividad industrial u otras destinadas a fines similares, independientemente de la denominación que adopten en los suelos rurales no suburbanos de los municipios de la Sabana de Bogotá. Tampoco se podrá ampliar la extensión actual de dichas áreas ni crear otras nuevas. </w:t>
      </w:r>
    </w:p>
    <w:p w14:paraId="2F1A0CF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570F6F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La prohibición de expedir licencias de que trata el inciso anterior no se aplicará tratándose de proyectos destinados a la explotación de recursos naturales; al desarrollo aislado de usos agroindustriales, ecoturísticos, </w:t>
      </w:r>
      <w:proofErr w:type="spellStart"/>
      <w:r w:rsidRPr="009342F9">
        <w:rPr>
          <w:rFonts w:ascii="Arial" w:eastAsia="Times New Roman" w:hAnsi="Arial" w:cs="Arial"/>
          <w:color w:val="000000"/>
          <w:lang w:eastAsia="es-CO"/>
        </w:rPr>
        <w:t>etnoturísticos</w:t>
      </w:r>
      <w:proofErr w:type="spellEnd"/>
      <w:r w:rsidRPr="009342F9">
        <w:rPr>
          <w:rFonts w:ascii="Arial" w:eastAsia="Times New Roman" w:hAnsi="Arial" w:cs="Arial"/>
          <w:color w:val="000000"/>
          <w:lang w:eastAsia="es-CO"/>
        </w:rPr>
        <w:t xml:space="preserve">, agroturísticos, </w:t>
      </w:r>
      <w:proofErr w:type="spellStart"/>
      <w:r w:rsidRPr="009342F9">
        <w:rPr>
          <w:rFonts w:ascii="Arial" w:eastAsia="Times New Roman" w:hAnsi="Arial" w:cs="Arial"/>
          <w:color w:val="000000"/>
          <w:lang w:eastAsia="es-CO"/>
        </w:rPr>
        <w:t>acuaturísticos</w:t>
      </w:r>
      <w:proofErr w:type="spellEnd"/>
      <w:r w:rsidRPr="009342F9">
        <w:rPr>
          <w:rFonts w:ascii="Arial" w:eastAsia="Times New Roman" w:hAnsi="Arial" w:cs="Arial"/>
          <w:color w:val="000000"/>
          <w:lang w:eastAsia="es-CO"/>
        </w:rPr>
        <w:t xml:space="preserve"> y demás actividades análogas que sean compatibles con la vocación agrícola, pecuaria y forestal del suelo rural, de acuerdo con la normativa vigente; a las solicitudes de licencia radicadas en legal y debida forma que se encontraran en trámite el 20 de septiembre de 2007, o cuando se presente alguna de las circunstancias de que trata el parágrafo 4° del artículo 2.2.6.1.1.7 del presente decreto. </w:t>
      </w:r>
    </w:p>
    <w:p w14:paraId="29C020C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AB6361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No obstante lo anterior, en las áreas consolidadas de actividad industrial, zonas múltiples con actividad industrial u otras similares en suelos rurales no suburbanos de los municipios de la Sabana de Bogotá, que se encontraban delimitadas en la cartografía oficial de los respectivos planes de ordenamiento territorial antes del 20 de septiembre de 2007, se podrán definir las zonas a las cuales se podrá asignar el tratamiento de consolidación urbanística con patrón de baja densidad, para permitir el otorgamiento de licencias urbanísticas. </w:t>
      </w:r>
    </w:p>
    <w:p w14:paraId="4B466C0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7ABD1B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Para la asignación de este tratamiento se deberá cumplir con las siguientes condiciones: </w:t>
      </w:r>
    </w:p>
    <w:p w14:paraId="45992CA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052CDF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Por lo menos el 60% de la superficie de las áreas de actividad industrial, zonas múltiples con actividad industrial u otras destinadas a fines similares delimitadas en la cartografía oficial de los respectivos planes de ordenamiento territorial antes del 20 de septiembre de 2007, debe haber concluido las obras de parcelación o construcción o contar con licencias urbanísticas vigentes. Para el efecto, se delimitarán cartográficamente a escala 1:5000 o 1:10.000 con apoyo en aerofotografías y verificación en campo. </w:t>
      </w:r>
    </w:p>
    <w:p w14:paraId="23B491F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1516A2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2. En el plan de ordenamiento territorial o en los instrumentos que lo desarrollen o complementen se adoptarán las normas de planificación complementaria para dichas áreas, con el fin de mejorar </w:t>
      </w:r>
      <w:r w:rsidRPr="009342F9">
        <w:rPr>
          <w:rFonts w:ascii="Arial" w:eastAsia="Times New Roman" w:hAnsi="Arial" w:cs="Arial"/>
          <w:color w:val="000000"/>
          <w:lang w:eastAsia="es-CO"/>
        </w:rPr>
        <w:lastRenderedPageBreak/>
        <w:t>la calidad ambiental y disminuir el impacto paisajístico. Las normas deberán contener por lo menos: </w:t>
      </w:r>
    </w:p>
    <w:p w14:paraId="0B6252C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60F6D3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2.1 La delimitación de los elementos que por sus valores naturales, ambientales o paisajísticos deben ser conservados, estableciendo las medidas específicas de protección, prevención y mitigación de impactos ambientales producto de los usos industriales. </w:t>
      </w:r>
    </w:p>
    <w:p w14:paraId="28DEDD8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8E492F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2.2. La definición del sistema vial, el sistema de espacios públicos y su equipamiento; la determinación de los sistemas de aprovisionamiento de servicios públicos de agua potable y saneamiento básico, así como de los equipamientos necesarios para el buen funcionamiento de los usos permitidos y el señalamiento de las cesiones obligatorias correspondientes a dichas infraestructuras. </w:t>
      </w:r>
    </w:p>
    <w:p w14:paraId="43E756F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D00FD6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2.3. Los demás contenidos y normas urbanísticas necesarias para orientar el desarrollo de estas áreas con un patrón de baja ocupación, siempre y cuando no supere el índice de ocupación del 30%, según lo previsto en el artículo 2.2.2.2.4.1 del presente decreto. </w:t>
      </w:r>
    </w:p>
    <w:p w14:paraId="4A063BE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C35AEF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No podrán hacer parte de las zonas de consolidación las áreas pertenecientes a alguna de las categorías de protección de que tratan los numerales 1, 2 y 5 del artículo 2.2.2.2.1.3 del presente decreto. </w:t>
      </w:r>
    </w:p>
    <w:p w14:paraId="6286189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D6A313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Las disposiciones de que trata este artículo se aplicarán al Distrito Capital y a los municipios de Bojacá, Cajicá, Chía, Chocontá, Cogua, Cota, Cucunubá, El Rosal, Facatativá, Funza, Gachancipá, Guasca, Guatavita, La Calera, Madrid, Mosquera, Nemocón, Sesquilé, Sibaté, Soacha, Sopó, Subachoque, Suesca, Tabio, Tausa, Tenjo, Tocancipá, Villapinzón y Zipaquirá. </w:t>
      </w:r>
    </w:p>
    <w:p w14:paraId="34F17ED2" w14:textId="2AD62E75" w:rsidR="00FC79C1" w:rsidRPr="009342F9" w:rsidRDefault="00FC79C1" w:rsidP="00D42757">
      <w:pPr>
        <w:spacing w:after="0" w:line="240" w:lineRule="auto"/>
        <w:jc w:val="both"/>
        <w:rPr>
          <w:rFonts w:ascii="Arial" w:eastAsia="Times New Roman" w:hAnsi="Arial" w:cs="Arial"/>
          <w:color w:val="000000"/>
          <w:lang w:eastAsia="es-CO"/>
        </w:rPr>
      </w:pPr>
      <w:r w:rsidRPr="231E957E">
        <w:rPr>
          <w:rFonts w:ascii="Arial" w:eastAsia="Times New Roman" w:hAnsi="Arial" w:cs="Arial"/>
          <w:color w:val="000000" w:themeColor="text1"/>
          <w:lang w:eastAsia="es-CO"/>
        </w:rPr>
        <w:t>  </w:t>
      </w:r>
    </w:p>
    <w:p w14:paraId="2F9B0519" w14:textId="4F23C405" w:rsidR="00FC79C1" w:rsidRPr="009342F9" w:rsidRDefault="00FC79C1" w:rsidP="00D4095E">
      <w:pPr>
        <w:spacing w:after="0" w:line="240" w:lineRule="auto"/>
        <w:jc w:val="center"/>
        <w:rPr>
          <w:rFonts w:ascii="Arial" w:eastAsia="Times New Roman" w:hAnsi="Arial" w:cs="Arial"/>
          <w:b/>
          <w:bCs/>
          <w:color w:val="000000"/>
          <w:lang w:eastAsia="es-CO"/>
        </w:rPr>
      </w:pPr>
      <w:bookmarkStart w:id="990" w:name="ver_30072936"/>
      <w:bookmarkEnd w:id="990"/>
      <w:r w:rsidRPr="009342F9">
        <w:rPr>
          <w:rFonts w:ascii="Arial" w:eastAsia="Times New Roman" w:hAnsi="Arial" w:cs="Arial"/>
          <w:b/>
          <w:bCs/>
          <w:color w:val="000000"/>
          <w:lang w:eastAsia="es-CO"/>
        </w:rPr>
        <w:t>SECCIÓN 5</w:t>
      </w:r>
    </w:p>
    <w:p w14:paraId="691F5C82" w14:textId="77777777" w:rsidR="00FC79C1" w:rsidRPr="009342F9" w:rsidRDefault="00FC79C1" w:rsidP="00D4095E">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DISPOSICIONES FINALES</w:t>
      </w:r>
    </w:p>
    <w:p w14:paraId="732CCB8E"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991" w:name="ver_30072938"/>
      <w:bookmarkEnd w:id="991"/>
    </w:p>
    <w:p w14:paraId="1889E8B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2.2.2.2.5.1 Productores marginales. De conformidad con lo previsto en los artículos 15.2, 16 y 87.3 de la Ley 142 de 1994, los usuarios de servicios suministrados por productores de servicios marginales independientes o para uso particular, y ellos mismos en los casos de autoabastecimiento, en usos comerciales e industriales en cualquier clase de suelo y de vivienda campestre en suelo rural y rural suburbano, deberán hacer los aportes de contribución al fondo de solidaridad y redistribución del ingreso. </w:t>
      </w:r>
    </w:p>
    <w:p w14:paraId="04AC24CC"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992" w:name="ver_30072940"/>
      <w:bookmarkEnd w:id="992"/>
      <w:r w:rsidRPr="009342F9">
        <w:rPr>
          <w:rFonts w:ascii="Arial" w:eastAsia="Times New Roman" w:hAnsi="Arial" w:cs="Arial"/>
          <w:color w:val="000000"/>
          <w:lang w:eastAsia="es-CO"/>
        </w:rPr>
        <w:t>Artículo 2.2.2.2.5.2 Adecuación de las normas urbanísticas. Los municipios y distritos ajustarán sus planes de ordenamiento territorial a lo dispuesto en este decreto mediante su revisión y/o modificación. </w:t>
      </w:r>
    </w:p>
    <w:p w14:paraId="243862DC" w14:textId="2B62AEF5"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993" w:name="ver_30072942"/>
      <w:bookmarkEnd w:id="993"/>
    </w:p>
    <w:p w14:paraId="2235643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2.2.2.2.5.3 Macroproyectos de interés social nacional. La formulación y adopción de los macroproyectos de interés social nacional de que trata el artículo 79 de la Ley 1151 de 2007 no se sujetará a lo dispuesto en el presente capítulo, salvo lo establecido para las categorías de protección. </w:t>
      </w:r>
    </w:p>
    <w:p w14:paraId="488E1E48" w14:textId="4466C8DB" w:rsidR="00D4095E"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994" w:name="ver_30072946"/>
      <w:bookmarkEnd w:id="994"/>
    </w:p>
    <w:p w14:paraId="053E8830" w14:textId="479C0C3B" w:rsidR="00FC79C1" w:rsidRPr="009342F9" w:rsidRDefault="00FC79C1" w:rsidP="00D4095E">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TÍTULO 3</w:t>
      </w:r>
    </w:p>
    <w:p w14:paraId="4AFB4CB0" w14:textId="77777777" w:rsidR="00FC79C1" w:rsidRDefault="00FC79C1" w:rsidP="00D4095E">
      <w:pPr>
        <w:spacing w:after="0" w:line="240" w:lineRule="auto"/>
        <w:jc w:val="center"/>
        <w:rPr>
          <w:rFonts w:ascii="Arial" w:eastAsia="Times New Roman" w:hAnsi="Arial" w:cs="Arial"/>
          <w:b/>
          <w:bCs/>
          <w:color w:val="000000"/>
          <w:lang w:eastAsia="es-CO"/>
        </w:rPr>
      </w:pPr>
      <w:r w:rsidRPr="231E957E">
        <w:rPr>
          <w:rFonts w:ascii="Arial" w:eastAsia="Times New Roman" w:hAnsi="Arial" w:cs="Arial"/>
          <w:b/>
          <w:color w:val="000000" w:themeColor="text1"/>
          <w:lang w:eastAsia="es-CO"/>
        </w:rPr>
        <w:t>ESPACIO PÚBLICO Y ESTÁNDARES URBANÍSTICOS</w:t>
      </w:r>
    </w:p>
    <w:p w14:paraId="3B400BFE" w14:textId="77777777" w:rsidR="005C5EEB" w:rsidRPr="009342F9" w:rsidRDefault="005C5EEB" w:rsidP="00D4095E">
      <w:pPr>
        <w:spacing w:after="0" w:line="240" w:lineRule="auto"/>
        <w:jc w:val="center"/>
        <w:rPr>
          <w:rFonts w:ascii="Arial" w:eastAsia="Times New Roman" w:hAnsi="Arial" w:cs="Arial"/>
          <w:b/>
          <w:bCs/>
          <w:color w:val="000000"/>
          <w:lang w:eastAsia="es-CO"/>
        </w:rPr>
      </w:pPr>
    </w:p>
    <w:p w14:paraId="25B9DF12" w14:textId="2318E48B" w:rsidR="00FC79C1" w:rsidRPr="009342F9" w:rsidRDefault="00FC79C1" w:rsidP="00D4095E">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CAPÍTULO 1</w:t>
      </w:r>
    </w:p>
    <w:p w14:paraId="66AF74ED" w14:textId="77777777" w:rsidR="00FC79C1" w:rsidRPr="009342F9" w:rsidRDefault="00FC79C1" w:rsidP="00D4095E">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DISPOSICIONES GENERALES</w:t>
      </w:r>
    </w:p>
    <w:p w14:paraId="74259B8F"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995" w:name="ver_30072947"/>
      <w:bookmarkEnd w:id="995"/>
    </w:p>
    <w:p w14:paraId="61CDB9A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Artículo 2.2.3.1.1 Protección del Espacio público. Es deber del Estado velar por la protección de la integridad del espacio público y por su destinación al uso común, el cual prevalece sobre el interés particular. En el cumplimiento de la función pública del urbanismo, los municipios y distritos deberán dar prelación a la planeación, construcción, mantenimiento y protección del espacio público sobre los demás usos del suelo. </w:t>
      </w:r>
    </w:p>
    <w:p w14:paraId="1B1AABD6" w14:textId="6346F006"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996" w:name="ver_30072949"/>
      <w:bookmarkEnd w:id="996"/>
    </w:p>
    <w:p w14:paraId="693EE231" w14:textId="00D49FB8" w:rsidR="00FC79C1" w:rsidRPr="009342F9" w:rsidRDefault="00FC79C1" w:rsidP="00FC79C1">
      <w:pPr>
        <w:spacing w:after="0" w:line="240" w:lineRule="auto"/>
        <w:jc w:val="both"/>
        <w:rPr>
          <w:rFonts w:ascii="Arial" w:eastAsia="Times New Roman" w:hAnsi="Arial" w:cs="Arial"/>
          <w:color w:val="000000"/>
          <w:lang w:eastAsia="es-CO"/>
        </w:rPr>
      </w:pPr>
      <w:bookmarkStart w:id="997" w:name="_Hlk47878489"/>
      <w:r w:rsidRPr="009342F9">
        <w:rPr>
          <w:rFonts w:ascii="Arial" w:eastAsia="Times New Roman" w:hAnsi="Arial" w:cs="Arial"/>
          <w:color w:val="000000"/>
          <w:lang w:eastAsia="es-CO"/>
        </w:rPr>
        <w:t>Artículo 2.2.3.1.2 </w:t>
      </w:r>
      <w:bookmarkEnd w:id="997"/>
      <w:r w:rsidRPr="009342F9">
        <w:rPr>
          <w:rFonts w:ascii="Arial" w:eastAsia="Times New Roman" w:hAnsi="Arial" w:cs="Arial"/>
          <w:color w:val="000000"/>
          <w:lang w:eastAsia="es-CO"/>
        </w:rPr>
        <w:t>Definición de espacio público. El espacio público es el conjunto de inmuebles públicos y los elementos arquitectónicos y naturales de los inmuebles privados destinados por naturaleza, usos o afectación a la satisfacción de necesidades urbanas colectivas que transcienden los límites de los intereses individuales de los habitantes. </w:t>
      </w:r>
    </w:p>
    <w:p w14:paraId="78000C8A" w14:textId="34EDFAE7" w:rsidR="00F647A1" w:rsidRPr="009342F9" w:rsidRDefault="00F647A1" w:rsidP="00FC79C1">
      <w:pPr>
        <w:spacing w:after="0" w:line="240" w:lineRule="auto"/>
        <w:jc w:val="both"/>
        <w:rPr>
          <w:rFonts w:ascii="Arial" w:eastAsia="Times New Roman" w:hAnsi="Arial" w:cs="Arial"/>
          <w:color w:val="000000"/>
          <w:sz w:val="20"/>
          <w:szCs w:val="20"/>
          <w:lang w:eastAsia="es-CO"/>
        </w:rPr>
      </w:pPr>
    </w:p>
    <w:p w14:paraId="12976F21" w14:textId="433CA427" w:rsidR="00F647A1" w:rsidRPr="00DA08A0" w:rsidRDefault="00F647A1" w:rsidP="00F647A1">
      <w:pPr>
        <w:spacing w:after="0"/>
        <w:rPr>
          <w:rFonts w:ascii="Arial" w:hAnsi="Arial" w:cs="Arial"/>
          <w:sz w:val="20"/>
          <w:szCs w:val="20"/>
        </w:rPr>
      </w:pPr>
      <w:r w:rsidRPr="00DA08A0">
        <w:rPr>
          <w:rFonts w:ascii="Arial" w:hAnsi="Arial" w:cs="Arial"/>
          <w:w w:val="105"/>
          <w:sz w:val="20"/>
          <w:szCs w:val="20"/>
        </w:rPr>
        <w:t xml:space="preserve">(Ver conceptos: </w:t>
      </w:r>
      <w:hyperlink r:id="rId17" w:history="1">
        <w:r w:rsidRPr="00DA08A0">
          <w:rPr>
            <w:rStyle w:val="Hipervnculo"/>
            <w:rFonts w:ascii="Arial" w:hAnsi="Arial" w:cs="Arial"/>
            <w:w w:val="105"/>
            <w:sz w:val="20"/>
            <w:szCs w:val="20"/>
          </w:rPr>
          <w:t>4201912000007614 del 06/12/2019</w:t>
        </w:r>
      </w:hyperlink>
      <w:r w:rsidRPr="00DA08A0">
        <w:rPr>
          <w:rFonts w:ascii="Arial" w:hAnsi="Arial" w:cs="Arial"/>
          <w:w w:val="105"/>
          <w:sz w:val="20"/>
          <w:szCs w:val="20"/>
        </w:rPr>
        <w:t>)</w:t>
      </w:r>
    </w:p>
    <w:p w14:paraId="67CEFB38" w14:textId="603A5B72"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998" w:name="ver_30072951"/>
      <w:bookmarkEnd w:id="998"/>
    </w:p>
    <w:p w14:paraId="0A887175"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999" w:name="_Hlk47879308"/>
      <w:r w:rsidRPr="009342F9">
        <w:rPr>
          <w:rFonts w:ascii="Arial" w:eastAsia="Times New Roman" w:hAnsi="Arial" w:cs="Arial"/>
          <w:color w:val="000000"/>
          <w:lang w:eastAsia="es-CO"/>
        </w:rPr>
        <w:t>Artículo 2.2.3.1.3 </w:t>
      </w:r>
      <w:bookmarkEnd w:id="999"/>
      <w:r w:rsidRPr="009342F9">
        <w:rPr>
          <w:rFonts w:ascii="Arial" w:eastAsia="Times New Roman" w:hAnsi="Arial" w:cs="Arial"/>
          <w:color w:val="000000"/>
          <w:lang w:eastAsia="es-CO"/>
        </w:rPr>
        <w:t>Componentes del espacio público. El espacio público comprende, entre otros, los siguientes aspectos: </w:t>
      </w:r>
    </w:p>
    <w:p w14:paraId="2F754E6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24C8D8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Los bienes de uso público, es decir aquellos inmuebles de dominio público cuyo uso pertenece a todos los habitantes del territorio nacional, destinados al uso o disfrute colectivo. </w:t>
      </w:r>
    </w:p>
    <w:p w14:paraId="0DDEF11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CD34F1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Los elementos arquitectónicos, espaciales y naturales de los inmuebles de propiedad privada que por su naturaleza, uso o afectación satisfacen necesidades de uso público. </w:t>
      </w:r>
    </w:p>
    <w:p w14:paraId="118E733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0E5AAA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Las áreas requeridas para la conformación del sistema de espacio público en los términos establecidos en este Título. </w:t>
      </w:r>
    </w:p>
    <w:p w14:paraId="5AC513B9" w14:textId="51632B10"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000" w:name="ver_30072953"/>
      <w:bookmarkEnd w:id="1000"/>
    </w:p>
    <w:p w14:paraId="5592817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2.2.3.1.4 Destinación de los bienes de uso público. El destino de los bienes de uso público incluidos en el espacio público no podrá ser variado sino por los Concejos Municipales o Distritales a través de los planes de ordenamiento territorial o de los instrumentos que los desarrollen aprobados por la autoridad competente, siempre que sean sustituidos por otros de características y dimensiones equivalente o superiores. La sustitución debe efectuarse atendiendo criterios, entre otros, de calidad, accesibilidad y localización. </w:t>
      </w:r>
    </w:p>
    <w:p w14:paraId="5FCA01E8" w14:textId="60C142DD"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001" w:name="ver_30072955"/>
      <w:bookmarkEnd w:id="1001"/>
    </w:p>
    <w:p w14:paraId="63B8100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2.2.3.1.5 Elementos del espacio público. El espacio público está conformado por el conjunto de los siguientes elementos constitutivos y complementarios: </w:t>
      </w:r>
    </w:p>
    <w:p w14:paraId="274BA1D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B8D02B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Elementos constitutivos </w:t>
      </w:r>
    </w:p>
    <w:p w14:paraId="0BADC3C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43C83F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1.1. Elementos constitutivos naturales: </w:t>
      </w:r>
    </w:p>
    <w:p w14:paraId="409F1F9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38C295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1.1.1 Áreas para la conservación y preservación del sistema orográfico o de montañas, tales como: cerros, montañas, colinas, volcanes y nevados. </w:t>
      </w:r>
    </w:p>
    <w:p w14:paraId="231BCD7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CA74C8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1.1.2 Áreas para la conservación y preservación del sistema hídrico: conformado por: </w:t>
      </w:r>
    </w:p>
    <w:p w14:paraId="392F337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2D5B85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1.1.2.1 Elementos naturales, relacionados con corrientes de agua, tales como: cuencas y microcuencas, manantiales, ríos, quebradas, arroyos, playas fluviales, rondas hídricas, zonas de manejo, zonas de bajamar y protección ambiental, y relacionados con cuerpos de agua, tales como mares, playas marinas, arenas y corales, ciénagas, lagos, lagunas, pantanos, humedales, rondas hídricas, zonas de manejo y protección ambiental; </w:t>
      </w:r>
    </w:p>
    <w:p w14:paraId="3C0DBB3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5D4367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1.1.2.2 Elementos artificiales o construidos, relacionados con corrientes de agua, tales como: canales de desagüe, alcantarillas, aliviaderos, diques, presas, represas, rondas hídricas, zonas de manejo y protección ambiental, y relacionados con cuerpos de agua tales como: embalses, lagos, muelles, puertos, tajamares, rompeolas, escolleras, rondas hídricas, zonas de manejo y protección ambiental; </w:t>
      </w:r>
    </w:p>
    <w:p w14:paraId="693AA5B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9F4045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1.1.3 Áreas de especial interés ambiental, científico y paisajístico, tales como: </w:t>
      </w:r>
    </w:p>
    <w:p w14:paraId="71586E6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890409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1.1.3.1 Parques naturales del nivel nacional, regional, departamental y municipal; y </w:t>
      </w:r>
    </w:p>
    <w:p w14:paraId="010B566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AFE439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1.1.3.2 Áreas de reserva natural, santuarios de fauna y flora. </w:t>
      </w:r>
    </w:p>
    <w:p w14:paraId="7774156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B6701E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1.2. Elementos constitutivos artificiales o construidos: </w:t>
      </w:r>
    </w:p>
    <w:p w14:paraId="79C1C4F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9AE898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1.2.1. Áreas integrantes de los perfiles viales peatonal y vehicular, constituidas por: </w:t>
      </w:r>
    </w:p>
    <w:p w14:paraId="57DEF0A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EC35D7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1.2.1.1. Los componentes de los perfiles viales tales como: áreas de control ambiental, zonas de mobiliario urbano y señalización, cárcamos y ductos, túneles peatonales, puentes peatonales, escalinatas, bulevares, alamedas, rampas para discapacitados, andenes, malecones, paseos marítimos, camellones, sardinales, cunetas, </w:t>
      </w:r>
      <w:proofErr w:type="spellStart"/>
      <w:r w:rsidRPr="009342F9">
        <w:rPr>
          <w:rFonts w:ascii="Arial" w:eastAsia="Times New Roman" w:hAnsi="Arial" w:cs="Arial"/>
          <w:color w:val="000000"/>
          <w:lang w:eastAsia="es-CO"/>
        </w:rPr>
        <w:t>ciclopistas</w:t>
      </w:r>
      <w:proofErr w:type="spellEnd"/>
      <w:r w:rsidRPr="009342F9">
        <w:rPr>
          <w:rFonts w:ascii="Arial" w:eastAsia="Times New Roman" w:hAnsi="Arial" w:cs="Arial"/>
          <w:color w:val="000000"/>
          <w:lang w:eastAsia="es-CO"/>
        </w:rPr>
        <w:t>, ciclovías, estacionamiento para bicicletas, estacionamiento para motocicletas, estacionamientos bajo espacio público, zonas azules, bahías de estacionamiento, bermas, separadores, reductores de velocidad, calzadas, carriles. </w:t>
      </w:r>
    </w:p>
    <w:p w14:paraId="47E5381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FA54AA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1.2.1.2. Los componentes de los cruces o intersecciones, tales como: esquinas, glorietas orejas, puentes vehiculares, túneles y viaductos. </w:t>
      </w:r>
    </w:p>
    <w:p w14:paraId="432DDE6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1B916C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1.2.2. Áreas articuladoras de espacio público y de encuentro, tales como: parques urbanos, zonas de cesión gratuita al municipio o distrito, plazas, plazoletas, escenarios deportivos, escenarios culturales y de espectáculos al aire libre. </w:t>
      </w:r>
    </w:p>
    <w:p w14:paraId="44AC1E4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A12239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1.2.3. Áreas para la conservación y preservación de las obras de interés público y los elementos urbanísticos, arquitectónicos, históricos, culturales, recreativos, artísticos y arqueológicos, las cuales pueden ser sectores de ciudad, manzanas, costados de manzanas, inmuebles individuales, monumentos nacionales, murales, esculturales, fuentes ornamentales y zonas arqueológicas o accidentes geográficos. </w:t>
      </w:r>
    </w:p>
    <w:p w14:paraId="44EB5E1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485B88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1.2.4. Son también elementos constitutivos del espacio público las áreas y elementos arquitectónicos espaciales y naturales de propiedad privada </w:t>
      </w:r>
      <w:proofErr w:type="gramStart"/>
      <w:r w:rsidRPr="009342F9">
        <w:rPr>
          <w:rFonts w:ascii="Arial" w:eastAsia="Times New Roman" w:hAnsi="Arial" w:cs="Arial"/>
          <w:color w:val="000000"/>
          <w:lang w:eastAsia="es-CO"/>
        </w:rPr>
        <w:t>que</w:t>
      </w:r>
      <w:proofErr w:type="gramEnd"/>
      <w:r w:rsidRPr="009342F9">
        <w:rPr>
          <w:rFonts w:ascii="Arial" w:eastAsia="Times New Roman" w:hAnsi="Arial" w:cs="Arial"/>
          <w:color w:val="000000"/>
          <w:lang w:eastAsia="es-CO"/>
        </w:rPr>
        <w:t xml:space="preserve"> por su localización y condiciones ambientales y paisajísticas, sean incorporadas como tales en los planes de ordenamiento territorial y los instrumentos que lo desarrollen, tales como cubiertas, fachadas, paramentos, pórticos, antejardines, cerramientos; </w:t>
      </w:r>
    </w:p>
    <w:p w14:paraId="6905E06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17E877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1.2.5. De igual forma se considera parte integral del perfil vial, y por ende del espacio público, los antejardines de propiedad privada. </w:t>
      </w:r>
    </w:p>
    <w:p w14:paraId="0E1FB4F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16E9F0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Elementos complementarios </w:t>
      </w:r>
    </w:p>
    <w:p w14:paraId="3BD6CE7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ABAA03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2.1 Componente de la vegetación natural e intervenida. Elementos para jardines, arborización y protección del paisaje, tales como: vegetación, herbácea o césped, jardines, arbustos, setos o matorrales, árboles o bosques. </w:t>
      </w:r>
    </w:p>
    <w:p w14:paraId="24A2202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w:t>
      </w:r>
    </w:p>
    <w:p w14:paraId="7AB913E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2.2 Componentes del amoblamiento urbano </w:t>
      </w:r>
    </w:p>
    <w:p w14:paraId="293E19B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E6CE7A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2.2.1 Mobiliario </w:t>
      </w:r>
    </w:p>
    <w:p w14:paraId="42FEF22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99C231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2.2.1.1 Elementos de comunicación tales como: mapas de localización del municipio, planos de inmuebles históricos o lugares de interés, informadores de temperatura, contaminación ambiental, decibeles y mensajes, teléfonos, carteleras locales, pendones, pasacalles, </w:t>
      </w:r>
      <w:proofErr w:type="spellStart"/>
      <w:r w:rsidRPr="009342F9">
        <w:rPr>
          <w:rFonts w:ascii="Arial" w:eastAsia="Times New Roman" w:hAnsi="Arial" w:cs="Arial"/>
          <w:color w:val="000000"/>
          <w:lang w:eastAsia="es-CO"/>
        </w:rPr>
        <w:t>mogadores</w:t>
      </w:r>
      <w:proofErr w:type="spellEnd"/>
      <w:r w:rsidRPr="009342F9">
        <w:rPr>
          <w:rFonts w:ascii="Arial" w:eastAsia="Times New Roman" w:hAnsi="Arial" w:cs="Arial"/>
          <w:color w:val="000000"/>
          <w:lang w:eastAsia="es-CO"/>
        </w:rPr>
        <w:t xml:space="preserve"> y buzones. </w:t>
      </w:r>
    </w:p>
    <w:p w14:paraId="05FA5B2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086E8E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2.2.1.2 Elementos de organización tales como: bolardos, paraderos, tope llantas y semáforos. </w:t>
      </w:r>
    </w:p>
    <w:p w14:paraId="02A2306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326A4E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2.2.1.3 Elementos de ambientación tales como: luminarias peatonales, luminarias vehiculares, protectores de árboles, rejillas de árboles, materas, bancas, relojes, pérgolas, parasoles, esculturas y murales. </w:t>
      </w:r>
    </w:p>
    <w:p w14:paraId="1C91C79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FA355E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2.2.1.4 Elementos de recreación tales como: juegos para adultos juegos infantiles. </w:t>
      </w:r>
    </w:p>
    <w:p w14:paraId="5824766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9DE6F2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2.2.1.5 Elementos de servicio tales como: parquímetros, bicicleteros, surtidores de agua, casetas de ventas, casetas de turismo, muebles de emboladores. </w:t>
      </w:r>
    </w:p>
    <w:p w14:paraId="355B3E6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875CC5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2.2.1.6 Elementos de salud e higiene tales como: baños públicos, canecas para reciclar las basuras. </w:t>
      </w:r>
    </w:p>
    <w:p w14:paraId="2A2CCDB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3DBDFF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2.2.1.7 Elementos de seguridad, tales como: barandas, pasamanos, cámaras de televisión para seguridad, cámaras de televisión para el tráfico, sirenas, hidrantes, equipos contra incendios. </w:t>
      </w:r>
    </w:p>
    <w:p w14:paraId="752B9FF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5A5423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2.2.2 Señalización </w:t>
      </w:r>
    </w:p>
    <w:p w14:paraId="4FE91BC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CDA9FA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2.2.2.1 Elementos de nomenclatura domiciliaria o urbana. </w:t>
      </w:r>
    </w:p>
    <w:p w14:paraId="2A2C33D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CCCCAD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2.2.2.2 Elementos de señalización vial para prevención, reglamentación, información, marcas y varias. </w:t>
      </w:r>
    </w:p>
    <w:p w14:paraId="578D915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D0E63B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2.2.2.3 Elementos de señalización fluvial para prevención reglamentación, información, especiales, verticales, horizontales y balizaje. </w:t>
      </w:r>
    </w:p>
    <w:p w14:paraId="5C154A6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7D3943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2.2.2.4 Elementos de señalización férrea tales como: semáforos eléctricos, discos con vástago o para hincar en la tierra, discos con mango, tableros con vástago para hincar en la tierra, lámparas, linternas de mano y banderas. </w:t>
      </w:r>
    </w:p>
    <w:p w14:paraId="4AE9595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5165A1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2.2.2.5 Elementos de señalización aérea. </w:t>
      </w:r>
    </w:p>
    <w:p w14:paraId="758C0B1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89325B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Los elementos constitutivos del espacio público, de acuerdo con su área de influencia, manejo administrativo, cobertura espacial y de población, se clasifican en: </w:t>
      </w:r>
    </w:p>
    <w:p w14:paraId="601995C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0948A2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Elementos del nivel estructural o de influencia general, nacional, departamental, metropolitano, municipal, o distrital de ciudad. </w:t>
      </w:r>
    </w:p>
    <w:p w14:paraId="6D85BCB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EA650B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Elementos del nivel municipal o distrital, local, zonal y barrial al interior del municipio o distrito. </w:t>
      </w:r>
    </w:p>
    <w:p w14:paraId="0D733CD9" w14:textId="552E6615"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87100DD" w14:textId="756CCB01" w:rsidR="00B91BA0" w:rsidRPr="00DA08A0" w:rsidRDefault="00B91BA0" w:rsidP="00B91BA0">
      <w:pPr>
        <w:pStyle w:val="Textoindependiente"/>
        <w:spacing w:before="2" w:line="259" w:lineRule="auto"/>
        <w:rPr>
          <w:b/>
          <w:bCs/>
          <w:sz w:val="20"/>
          <w:szCs w:val="20"/>
        </w:rPr>
      </w:pPr>
      <w:r w:rsidRPr="00DA08A0">
        <w:rPr>
          <w:sz w:val="20"/>
          <w:szCs w:val="20"/>
        </w:rPr>
        <w:lastRenderedPageBreak/>
        <w:t xml:space="preserve">(Ver concepto </w:t>
      </w:r>
      <w:hyperlink r:id="rId18">
        <w:r w:rsidRPr="00DA08A0">
          <w:rPr>
            <w:rStyle w:val="Hipervnculo"/>
            <w:sz w:val="20"/>
            <w:szCs w:val="20"/>
          </w:rPr>
          <w:t>C−065 del 2/03/2020</w:t>
        </w:r>
      </w:hyperlink>
      <w:r w:rsidRPr="00DA08A0">
        <w:rPr>
          <w:sz w:val="20"/>
          <w:szCs w:val="20"/>
        </w:rPr>
        <w:t xml:space="preserve">) </w:t>
      </w:r>
    </w:p>
    <w:p w14:paraId="3AD38C04" w14:textId="28750C79" w:rsidR="00D4095E" w:rsidRPr="009342F9" w:rsidRDefault="00D4095E" w:rsidP="00137660">
      <w:pPr>
        <w:spacing w:after="0" w:line="240" w:lineRule="auto"/>
        <w:jc w:val="both"/>
        <w:rPr>
          <w:rFonts w:ascii="Arial" w:eastAsia="Times New Roman" w:hAnsi="Arial" w:cs="Arial"/>
          <w:b/>
          <w:bCs/>
          <w:color w:val="000000"/>
          <w:lang w:eastAsia="es-CO"/>
        </w:rPr>
      </w:pPr>
      <w:bookmarkStart w:id="1002" w:name="ver_30072959"/>
      <w:bookmarkEnd w:id="1002"/>
    </w:p>
    <w:p w14:paraId="17C73A6F" w14:textId="0F2C8ABF" w:rsidR="00FC79C1" w:rsidRPr="009342F9" w:rsidRDefault="00FC79C1" w:rsidP="00D4095E">
      <w:pPr>
        <w:spacing w:after="0" w:line="240" w:lineRule="auto"/>
        <w:jc w:val="center"/>
        <w:rPr>
          <w:rFonts w:ascii="Arial" w:eastAsia="Times New Roman" w:hAnsi="Arial" w:cs="Arial"/>
          <w:b/>
          <w:bCs/>
          <w:color w:val="000000"/>
          <w:lang w:eastAsia="es-CO"/>
        </w:rPr>
      </w:pPr>
      <w:r w:rsidRPr="231E957E">
        <w:rPr>
          <w:rFonts w:ascii="Arial" w:eastAsia="Times New Roman" w:hAnsi="Arial" w:cs="Arial"/>
          <w:b/>
          <w:color w:val="000000" w:themeColor="text1"/>
          <w:lang w:eastAsia="es-CO"/>
        </w:rPr>
        <w:t>CAPÍTULO 2</w:t>
      </w:r>
    </w:p>
    <w:p w14:paraId="51197643" w14:textId="77777777" w:rsidR="00FC79C1" w:rsidRPr="009342F9" w:rsidRDefault="00FC79C1" w:rsidP="00D4095E">
      <w:pPr>
        <w:spacing w:after="0" w:line="240" w:lineRule="auto"/>
        <w:jc w:val="center"/>
        <w:rPr>
          <w:rFonts w:ascii="Arial" w:eastAsia="Times New Roman" w:hAnsi="Arial" w:cs="Arial"/>
          <w:b/>
          <w:bCs/>
          <w:color w:val="000000"/>
          <w:lang w:eastAsia="es-CO"/>
        </w:rPr>
      </w:pPr>
      <w:r w:rsidRPr="231E957E">
        <w:rPr>
          <w:rFonts w:ascii="Arial" w:eastAsia="Times New Roman" w:hAnsi="Arial" w:cs="Arial"/>
          <w:b/>
          <w:color w:val="000000" w:themeColor="text1"/>
          <w:lang w:eastAsia="es-CO"/>
        </w:rPr>
        <w:t>EL ESPACIO PÚBLICO EN LOS PLANES DE ORDENAMIENTO TERRITORIAL</w:t>
      </w:r>
    </w:p>
    <w:p w14:paraId="58DABC2F"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003" w:name="ver_30072960"/>
      <w:bookmarkEnd w:id="1003"/>
    </w:p>
    <w:p w14:paraId="5A723AB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2.2.3.2.1 Elemento estructural del plan de ordenamiento territorial. El espacio público es el elemento articulador y estructurante fundamental del espacio en la ciudad, así como el regulador de las condiciones ambientales de la misma, y por lo tanto se constituye en uno de los principales elementos estructurales de los Planes de Ordenamiento Territorial. </w:t>
      </w:r>
    </w:p>
    <w:p w14:paraId="498A0ABC" w14:textId="0CCC424F"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004" w:name="ver_30072962"/>
      <w:bookmarkEnd w:id="1004"/>
    </w:p>
    <w:p w14:paraId="4FCA991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2.2.3.2.2 Elementos en el plan de ordenamiento territorial. En los Planes de Ordenamiento Territorial debe incorporarse los siguientes elementos de acuerdo con el componente establecido: </w:t>
      </w:r>
    </w:p>
    <w:p w14:paraId="2A5F526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5E8435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En el componente general debe incluirse: </w:t>
      </w:r>
    </w:p>
    <w:p w14:paraId="5A6BE38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8048F1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1.1. La definición de políticas, estrategias y objetivos del espacio público en el territorio municipal o distrital. </w:t>
      </w:r>
    </w:p>
    <w:p w14:paraId="61F2C93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A1E04B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1.2. La definición del sistema del espacio público y delimitación de los elementos que lo constituyen en el nivel estructural. </w:t>
      </w:r>
    </w:p>
    <w:p w14:paraId="2CA6DF9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8DD06F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1.3. Las prioridades del ordenamiento del territorio, de acuerdo con lo previsto en el presente decreto. </w:t>
      </w:r>
    </w:p>
    <w:p w14:paraId="7260FA6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D736F5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En el componente urbano debe incluirse: </w:t>
      </w:r>
    </w:p>
    <w:p w14:paraId="2082B39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131A6E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2.1 La conformación del inventario general de los elementos constitutivos del espacio público en el área urbana en los tres niveles establecidos en el parágrafo del artículo que hace referencia a los elementos del espacio público del capítulo anterior. </w:t>
      </w:r>
    </w:p>
    <w:p w14:paraId="78DC414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4C159C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2.2 La definición del sistema de enlace y articulación entre los diferentes niveles y las acciones y proyectos necesarios para consolidar y complementar este sistema. </w:t>
      </w:r>
    </w:p>
    <w:p w14:paraId="789EBDA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CDE81A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2.3 La definición de la cobertura de espacio público por habitante y del déficit cualitativo y cuantitativo, existente y proyectado. </w:t>
      </w:r>
    </w:p>
    <w:p w14:paraId="7F203FA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335CF3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2.4 La definición de proyectos y programas estratégicos que permitan suplir las necesidades y desequilibrios del espacio público en el área urbana en el mediano y largo plazo con sus respectivos presupuestos y destinación de recursos. </w:t>
      </w:r>
    </w:p>
    <w:p w14:paraId="125C499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97F744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2.5 La definición del espacio público del nivel sectorial y local dentro de los planes parciales y las unidades de actuación. </w:t>
      </w:r>
    </w:p>
    <w:p w14:paraId="299BB20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508F32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En el componente rural debe incluirse: </w:t>
      </w:r>
    </w:p>
    <w:p w14:paraId="5366209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FFD753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3.1 La conformación del inventario general de los elementos constitutivos del espacio público en el área rural en el nivel estructural o de influencia general en el municipio o distrito. </w:t>
      </w:r>
    </w:p>
    <w:p w14:paraId="0986541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155988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3.2 La definición del sistema rural regional de espacio público y de los elementos de interacción y enlace entre el espacio público urbano y rural. </w:t>
      </w:r>
    </w:p>
    <w:p w14:paraId="4BCA460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w:t>
      </w:r>
    </w:p>
    <w:p w14:paraId="29ECFDC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3.3 La definición de estrategias para su preservación y mantenimiento. </w:t>
      </w:r>
    </w:p>
    <w:p w14:paraId="39FD9063" w14:textId="6766CB7C"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005" w:name="ver_30072964"/>
      <w:bookmarkEnd w:id="1005"/>
    </w:p>
    <w:p w14:paraId="4F99092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2.2.3.2.3 Espacio público en el programa de ejecución. En el programa de ejecución se deben incorporar las definiciones con carácter obligatorio de las actuaciones sobre el espacio público. </w:t>
      </w:r>
    </w:p>
    <w:p w14:paraId="071053F9" w14:textId="672E428A"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006" w:name="ver_30072968"/>
      <w:bookmarkEnd w:id="1006"/>
    </w:p>
    <w:p w14:paraId="1872310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2.2.3.2.4 Diagnóstico del espacio público. El diagnóstico deberá comprender un análisis de la oferta y la demanda de espacio público que permita establecer y proyectar el déficit cuantitativo y cualitativo del mismo. </w:t>
      </w:r>
    </w:p>
    <w:p w14:paraId="54BDB5E9" w14:textId="59054F81"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007" w:name="ver_30072970"/>
      <w:bookmarkEnd w:id="1007"/>
    </w:p>
    <w:p w14:paraId="0CF88B2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2.2.3.2.5 Déficit cuantitativo de espacio público. Para la situación actual y en el marco del desarrollo futuro del municipio o distrito, el déficit cuantitativo es la carencia o insuficiente disponibilidad de elementos de espacio público con relación al número de habitantes permanentes del territorio. Para el caso de lugares turísticos con alta incidencia de población flotante, el monto de habitantes cubiertos debe incorporar una porción correspondiente a esta población transitoria. </w:t>
      </w:r>
    </w:p>
    <w:p w14:paraId="36002DE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FED56E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 medición del déficit cuantitativo se hará con base en un índice mínimo de espacio público efectivo, es decir el espacio público de carácter permanente, conformado por zonas verdes, parques, plazas y plazoletas. </w:t>
      </w:r>
    </w:p>
    <w:p w14:paraId="161A75B2" w14:textId="09E1DB49"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008" w:name="ver_30072972"/>
      <w:bookmarkEnd w:id="1008"/>
    </w:p>
    <w:p w14:paraId="1021DD1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2.2.3.2.6 Déficit cualitativo de espacio público El déficit cualitativo está definido por las condiciones inadecuadas para el uso, goce y disfrute de los elementos del espacio público que satisfacen necesidades, colectivas por parte de los residentes y visitantes del territorio, con especial énfasis en las situaciones de inaccesibilidad debido a condiciones de deterioro, inseguridad o imposibilidad física de acceso, cuando éste se requiere, y al desequilibrio generado por las condiciones de localización de los elementos con relación a la ubicación de la población que los disfruta. </w:t>
      </w:r>
    </w:p>
    <w:p w14:paraId="2D4DD66E" w14:textId="7503FAD1"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009" w:name="ver_30072973"/>
      <w:bookmarkEnd w:id="1009"/>
    </w:p>
    <w:p w14:paraId="1E280B1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2.2.3.2.7 Índice mínimo de espacio público efectivo. Se considera como índice mínimo de espacio público efectivo, para ser obtenido por las áreas urbanas de los municipios y distritos dentro de las metas y programa de largo plazo establecidos por el Plan de Ordenamiento Territorial, un mínimo de quince (15m2) metros cuadrados y por habitante, para ser alcanzado durante la vigencia del plan respectivo. </w:t>
      </w:r>
    </w:p>
    <w:p w14:paraId="013F002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64268B8"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010" w:name="ver_30072975"/>
      <w:bookmarkEnd w:id="1010"/>
      <w:r w:rsidRPr="009342F9">
        <w:rPr>
          <w:rFonts w:ascii="Arial" w:eastAsia="Times New Roman" w:hAnsi="Arial" w:cs="Arial"/>
          <w:color w:val="000000"/>
          <w:lang w:eastAsia="es-CO"/>
        </w:rPr>
        <w:t>Artículo 2.2.3.2.8 Base para definir las áreas de intervención para la generación preservación, conservación, mejoramiento y mantenimiento de los elementos del espacio público. En la formulación del Plan de Ordenamiento Territorial la estimación del déficit cualitativo y cuantitativo será la base para definir las áreas de intervención con políticas, programas y proyectos para la generación preservación, conservación, mejoramiento y mantenimiento de los elementos del espacio público. </w:t>
      </w:r>
    </w:p>
    <w:p w14:paraId="4003479C" w14:textId="77777777" w:rsidR="00D4095E" w:rsidRPr="009342F9" w:rsidRDefault="00D4095E" w:rsidP="00D4095E">
      <w:pPr>
        <w:spacing w:after="0" w:line="240" w:lineRule="auto"/>
        <w:jc w:val="center"/>
        <w:rPr>
          <w:rFonts w:ascii="Arial" w:eastAsia="Times New Roman" w:hAnsi="Arial" w:cs="Arial"/>
          <w:b/>
          <w:bCs/>
          <w:color w:val="000000"/>
          <w:lang w:eastAsia="es-CO"/>
        </w:rPr>
      </w:pPr>
      <w:bookmarkStart w:id="1011" w:name="ver_30072977"/>
      <w:bookmarkEnd w:id="1011"/>
    </w:p>
    <w:p w14:paraId="625A841C" w14:textId="318054CD" w:rsidR="00FC79C1" w:rsidRPr="009342F9" w:rsidRDefault="00FC79C1" w:rsidP="00D4095E">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CAPÍTULO 3</w:t>
      </w:r>
    </w:p>
    <w:p w14:paraId="458B1118" w14:textId="77777777" w:rsidR="00FC79C1" w:rsidRPr="009342F9" w:rsidRDefault="00FC79C1" w:rsidP="00D4095E">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DEL MANEJO DEL ESPACIO PÚBLICO</w:t>
      </w:r>
    </w:p>
    <w:p w14:paraId="031BA748" w14:textId="77777777" w:rsidR="00FC79C1" w:rsidRPr="009342F9" w:rsidRDefault="00FC79C1" w:rsidP="00D4095E">
      <w:pPr>
        <w:spacing w:after="0" w:line="240" w:lineRule="auto"/>
        <w:jc w:val="center"/>
        <w:rPr>
          <w:rFonts w:ascii="Arial" w:eastAsia="Times New Roman" w:hAnsi="Arial" w:cs="Arial"/>
          <w:b/>
          <w:bCs/>
          <w:color w:val="000000"/>
          <w:lang w:eastAsia="es-CO"/>
        </w:rPr>
      </w:pPr>
      <w:bookmarkStart w:id="1012" w:name="ver_30072978"/>
      <w:bookmarkEnd w:id="1012"/>
    </w:p>
    <w:p w14:paraId="56ED154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2.2.3.3.1 Coordinación de políticas relacionadas con la gestión del espacio público. El Ministerio de Vivienda, Ciudad y Territorio deberá coordinar las políticas nacionales relacionadas con la gestión del espacio público en el marco de la planeación del ordenamiento del territorio con el apoyo técnico a las entidades territoriales y áreas metropolitanas. </w:t>
      </w:r>
    </w:p>
    <w:p w14:paraId="169D3AC0" w14:textId="60666A3A"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013" w:name="ver_30072981"/>
      <w:bookmarkEnd w:id="1013"/>
    </w:p>
    <w:p w14:paraId="28E3983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Artículo 2.2.3.3.2 Funciones de las entidades responsables del espacio público. Los municipios y distritos podrán crear de acuerdo con su organización legal entidades responsables de la administración, desarrollo, mantenimiento y apoyo financiero del espacio público, que cumplirán entre otras las siguientes funciones: </w:t>
      </w:r>
    </w:p>
    <w:p w14:paraId="3E524B5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6223E7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Elaboración del inventario del espacio público. </w:t>
      </w:r>
    </w:p>
    <w:p w14:paraId="1AC476D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E0ED9F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Definición de políticas y estrategias del espacio público. </w:t>
      </w:r>
    </w:p>
    <w:p w14:paraId="1ACC886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399058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Articulación entre las distintas entidades cuya gestión involucra directa o indirectamente la planeación, diseño, construcción, mantenimiento, conservación restitución, financiación y regulación del espacio público. </w:t>
      </w:r>
    </w:p>
    <w:p w14:paraId="1075AB1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D30664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Elaboración y coordinación del sistema general de espacio público como parte del plan de ordenamiento territorial. </w:t>
      </w:r>
    </w:p>
    <w:p w14:paraId="14D1312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85759D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 Diseño de los subsistemas, enlaces y elementos del espacio público. </w:t>
      </w:r>
    </w:p>
    <w:p w14:paraId="0A1E818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F5C95A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6. Definición de escalas y criterios de intervención en el espacio público. </w:t>
      </w:r>
    </w:p>
    <w:p w14:paraId="2DE6E21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D7B865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7. Desarrollo de mecanismos de participación y gestión. </w:t>
      </w:r>
    </w:p>
    <w:p w14:paraId="56DC604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F65C2D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8. Desarrollo de la </w:t>
      </w:r>
      <w:proofErr w:type="spellStart"/>
      <w:r w:rsidRPr="009342F9">
        <w:rPr>
          <w:rFonts w:ascii="Arial" w:eastAsia="Times New Roman" w:hAnsi="Arial" w:cs="Arial"/>
          <w:color w:val="000000"/>
          <w:lang w:eastAsia="es-CO"/>
        </w:rPr>
        <w:t>normatización</w:t>
      </w:r>
      <w:proofErr w:type="spellEnd"/>
      <w:r w:rsidRPr="009342F9">
        <w:rPr>
          <w:rFonts w:ascii="Arial" w:eastAsia="Times New Roman" w:hAnsi="Arial" w:cs="Arial"/>
          <w:color w:val="000000"/>
          <w:lang w:eastAsia="es-CO"/>
        </w:rPr>
        <w:t xml:space="preserve"> y estandarización de los elementos del espacio público. </w:t>
      </w:r>
    </w:p>
    <w:p w14:paraId="5DF02CB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1F018F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Las corporaciones autónomas regionales y las autoridades ambientales de las entidades territoriales, establecidas por la Ley 99 de 1993, tendrán a su cargo la definición de las políticas ambientales, el manejo de los elementos naturales, las normas técnicas para la conservación, preservación y recuperación de los elementos naturales del espacio público. </w:t>
      </w:r>
    </w:p>
    <w:p w14:paraId="58B7A746" w14:textId="6B6A24BD"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014" w:name="ver_30072983"/>
      <w:bookmarkEnd w:id="1014"/>
    </w:p>
    <w:p w14:paraId="18990DF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2.2.3.3.3 Administración, mantenimiento y el aprovechamiento económico del espacio público. Los municipios y distritos podrán contratar con entidades privadas la administración, mantenimiento y el aprovechamiento económico para el municipio o distrito del espacio público, sin que impida a la ciudadanía de su uso, goce, disfrute visual y libre tránsito. </w:t>
      </w:r>
    </w:p>
    <w:p w14:paraId="78500E94" w14:textId="2C9B0DC3"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015" w:name="ver_30072984"/>
      <w:bookmarkEnd w:id="1015"/>
    </w:p>
    <w:p w14:paraId="324C299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2.2.3.3.4 Áreas públicas de uso activo o pasivo. En el caso de áreas públicas de uso activo o pasivo, en especial parques, plazas y plazoletas, los municipios y distritos podrán autorizar su uso por parte de entidades privadas para usos compatibles con la condición del espacio mediante contratos. En ningún caso estos contratos generarán derechos reales para las entidades privadas y deberán dar estricto cumplimiento a la prevalencia del interés general sobre el particular. </w:t>
      </w:r>
    </w:p>
    <w:p w14:paraId="718471F5" w14:textId="1394E161"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016" w:name="ver_30072993"/>
      <w:bookmarkEnd w:id="1016"/>
    </w:p>
    <w:p w14:paraId="0114C27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2.2.3.3.5 Espacio público en áreas desarrolladas. Con el objeto de generar espacio público en áreas desarrolladas, el municipio o distrito podrá crear áreas generadoras de derechos transferibles de construcción y desarrollo, para ser incorporadas como elementos del espacio público al Plan de Ordenamiento Territorial o a los Planes Parciales que lo desarrollen, de conformidad con lo establecido en el Decreto-ley 151 de 1998. </w:t>
      </w:r>
    </w:p>
    <w:p w14:paraId="7CB24F78" w14:textId="11EE069C"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017" w:name="ver_30072996"/>
      <w:bookmarkEnd w:id="1017"/>
    </w:p>
    <w:p w14:paraId="5F9FB3A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2.2.3.3.6 Parques y zonas verdes. Los parques y zonas verdes que tengan el carácter de bienes de uso público no podrán ser encerrados en forma tal que priven a la ciudadanía de su uso, goce, disfrute visual y libre tránsito. </w:t>
      </w:r>
    </w:p>
    <w:p w14:paraId="0CBB017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D3484E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xml:space="preserve">Para el efecto de parques y zonas del nivel local o de barrio que tengan carácter de bienes de uso público la entidad competente de su manejo </w:t>
      </w:r>
      <w:proofErr w:type="gramStart"/>
      <w:r w:rsidRPr="009342F9">
        <w:rPr>
          <w:rFonts w:ascii="Arial" w:eastAsia="Times New Roman" w:hAnsi="Arial" w:cs="Arial"/>
          <w:color w:val="000000"/>
          <w:lang w:eastAsia="es-CO"/>
        </w:rPr>
        <w:t>administrativo,</w:t>
      </w:r>
      <w:proofErr w:type="gramEnd"/>
      <w:r w:rsidRPr="009342F9">
        <w:rPr>
          <w:rFonts w:ascii="Arial" w:eastAsia="Times New Roman" w:hAnsi="Arial" w:cs="Arial"/>
          <w:color w:val="000000"/>
          <w:lang w:eastAsia="es-CO"/>
        </w:rPr>
        <w:t xml:space="preserve"> podrá encargar a organizaciones particulares sin ánimo de lucro y que representen los intereses del barrio o localidad la administración, mantenimiento, dotación y siempre y cuando garanticen el acceso al mismo de la población, en especial la permanente de su área de influencia. </w:t>
      </w:r>
    </w:p>
    <w:p w14:paraId="044DBEE3" w14:textId="550AE585"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018" w:name="ver_30072999"/>
      <w:bookmarkEnd w:id="1018"/>
    </w:p>
    <w:p w14:paraId="35A0CF7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2.2.3.3.7 Acción Popular. Los elementos constitutivos del espacio público y el medio ambiente tendrán para su defensa la acción popular consagrada en el artículo 1005 del Código Civil, de acuerdo con lo dispuesto en la Ley 472 de 1998. Esta acción también podrá dirigirse contra cualquier persona pública o privada, para la defensa de la integridad y condiciones de uso, goce y disfrute visual de dichos bienes mediante la remoción, suspensión o prevención de los conductos que comprometen el interés público o la seguridad de los usuarios. </w:t>
      </w:r>
    </w:p>
    <w:p w14:paraId="754439F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570668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El incumplimiento de las órdenes que expida el juez en desarrollo de la acción de que trata el inciso anterior configura “Fraude a resolución judicial”, de acuerdo con la normatividad penal vigente. </w:t>
      </w:r>
    </w:p>
    <w:p w14:paraId="541988D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2A313A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 acción popular de que trata el artículo 1005 del Código Civil podrá interponerse en cualquier tiempo. </w:t>
      </w:r>
    </w:p>
    <w:p w14:paraId="0F34E880" w14:textId="1D27F4E8"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019" w:name="ver_30073002"/>
      <w:bookmarkEnd w:id="1019"/>
    </w:p>
    <w:p w14:paraId="7BC82A5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2.2.3.3.8 Ocupación de bienes de uso público. La ocupación en forma permanente de los parques públicos, zonas verdes y demás bienes de uso público, el encerramiento sin la debida autorización de las autoridades municipales o distrital, la realización de intervenciones en áreas que formen parte del espacio público, sin la debida licencia o contraviniéndola y la ocupación temporal o permanente del espacio público con cualquier tipo de amoblamiento o instalaciones dará lugar a la imposición de las sanciones urbanísticas que señala el artículo 104 de la Ley 388 de 1997, modificado por el artículo 2 de la Ley 810 de 2003. </w:t>
      </w:r>
    </w:p>
    <w:p w14:paraId="036FCE5F" w14:textId="6BAD8B51"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020" w:name="ver_30073003"/>
      <w:bookmarkEnd w:id="1020"/>
    </w:p>
    <w:p w14:paraId="734CC88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2.2.3.3.9. Áreas de </w:t>
      </w:r>
      <w:proofErr w:type="gramStart"/>
      <w:r w:rsidRPr="009342F9">
        <w:rPr>
          <w:rFonts w:ascii="Arial" w:eastAsia="Times New Roman" w:hAnsi="Arial" w:cs="Arial"/>
          <w:color w:val="000000"/>
          <w:lang w:eastAsia="es-CO"/>
        </w:rPr>
        <w:t>cesión pública y espacio público</w:t>
      </w:r>
      <w:proofErr w:type="gramEnd"/>
      <w:r w:rsidRPr="009342F9">
        <w:rPr>
          <w:rFonts w:ascii="Arial" w:eastAsia="Times New Roman" w:hAnsi="Arial" w:cs="Arial"/>
          <w:color w:val="000000"/>
          <w:lang w:eastAsia="es-CO"/>
        </w:rPr>
        <w:t>. Además de lo dispuesto en el artículo 2.2.6.1.4.5 del presente decreto o las normas que lo adicionen, modifiquen o sustituyan, para la determinación y configuración de las áreas de cesión pública, en las licencias de urbanización y en los proyectos urbanísticos generales se deberá garantizar la continuidad de la red vial y de las áreas de espacio público destinadas a parques, plazas y zonas verdes con las redes viales existentes o proyectadas y/o con las áreas de cesión obligatoria existentes o autorizadas en las licencias vigentes en predios colindantes. </w:t>
      </w:r>
    </w:p>
    <w:p w14:paraId="63B6082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D046870" w14:textId="2341F8F1" w:rsidR="00FC79C1" w:rsidRPr="009342F9" w:rsidRDefault="00FC79C1" w:rsidP="00D4095E">
      <w:pPr>
        <w:spacing w:after="0" w:line="240" w:lineRule="auto"/>
        <w:jc w:val="center"/>
        <w:rPr>
          <w:rFonts w:ascii="Arial" w:eastAsia="Times New Roman" w:hAnsi="Arial" w:cs="Arial"/>
          <w:b/>
          <w:bCs/>
          <w:color w:val="000000"/>
          <w:lang w:eastAsia="es-CO"/>
        </w:rPr>
      </w:pPr>
      <w:bookmarkStart w:id="1021" w:name="ver_30073004"/>
      <w:bookmarkEnd w:id="1021"/>
      <w:r w:rsidRPr="009342F9">
        <w:rPr>
          <w:rFonts w:ascii="Arial" w:eastAsia="Times New Roman" w:hAnsi="Arial" w:cs="Arial"/>
          <w:b/>
          <w:bCs/>
          <w:color w:val="000000"/>
          <w:lang w:eastAsia="es-CO"/>
        </w:rPr>
        <w:t>CAPÍTULO 4</w:t>
      </w:r>
    </w:p>
    <w:p w14:paraId="7D2757CB" w14:textId="77777777" w:rsidR="00FC79C1" w:rsidRPr="009342F9" w:rsidRDefault="00FC79C1" w:rsidP="00D4095E">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ACCESIBILIDAD AL MEDIO FÍSICO</w:t>
      </w:r>
    </w:p>
    <w:p w14:paraId="695FEF0B"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022" w:name="ver_30073007"/>
      <w:bookmarkEnd w:id="1022"/>
    </w:p>
    <w:p w14:paraId="2062733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2.2.3.4.1 Ámbito de aplicación. Las disposiciones contenidas en el presente capítulo serán aplicables para: </w:t>
      </w:r>
    </w:p>
    <w:p w14:paraId="7BEA758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CAC45A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El diseño, construcción, ampliación, modificación y en general, cualquier intervención y/u ocupación de vías públicas, mobiliario urbano y demás espacios de uso público. </w:t>
      </w:r>
    </w:p>
    <w:p w14:paraId="27F9617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51C58C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El diseño y ejecución de obras de construcción, ampliación, adecuación y modificación de edificios, establecimientos e instalaciones de propiedad pública o privada, abiertos y de uso al público. </w:t>
      </w:r>
    </w:p>
    <w:p w14:paraId="3EF1F950" w14:textId="03DACD03"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023" w:name="ver_30073008"/>
      <w:bookmarkEnd w:id="1023"/>
    </w:p>
    <w:p w14:paraId="63F6501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2.2.3.4.2 Accesibilidad en el espacio público. El espacio público debe planearse, diseñarse, construirse y adecuarse de tal manera que facilite la accesibilidad a las personas con </w:t>
      </w:r>
      <w:r w:rsidRPr="009342F9">
        <w:rPr>
          <w:rFonts w:ascii="Arial" w:eastAsia="Times New Roman" w:hAnsi="Arial" w:cs="Arial"/>
          <w:color w:val="000000"/>
          <w:lang w:eastAsia="es-CO"/>
        </w:rPr>
        <w:lastRenderedPageBreak/>
        <w:t>movilidad reducida, sea ésta temporal o permanente, o cuya capacidad de orientación se encuentre disminuida por la edad, analfabetismo, limitación o enfermedad, de conformidad con las normas establecidas en la Ley 361 de 1997 y aquellas que la reglamenten. </w:t>
      </w:r>
    </w:p>
    <w:p w14:paraId="515FBA8A" w14:textId="72790356"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024" w:name="ver_30073010"/>
      <w:bookmarkEnd w:id="1024"/>
    </w:p>
    <w:p w14:paraId="608433E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2.2.3.4.3 Licencias. Para efectos de la expedición de licencias de urbanización y/o construcción, la autoridad competente verificará el cumplimiento de las normas previstas en el presente decreto. </w:t>
      </w:r>
    </w:p>
    <w:p w14:paraId="766BAB9E" w14:textId="59EB772A"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025" w:name="ver_30073012"/>
      <w:bookmarkEnd w:id="1025"/>
    </w:p>
    <w:p w14:paraId="1BA3C7C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2.2.3.4.4 Instrumentos de planeación territorial. Las disposiciones contenidas en la Ley 361 de 1997 y en el presente capítulo se entenderán incorporadas en los Planes de Ordenamiento Territorial y en los instrumentos que los desarrollen o complementen y serán de inmediata aplicación. </w:t>
      </w:r>
    </w:p>
    <w:p w14:paraId="4E58E7AC" w14:textId="5C09B7AB"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026" w:name="ver_30073014"/>
      <w:bookmarkEnd w:id="1026"/>
    </w:p>
    <w:p w14:paraId="43BC86C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2.2.3.4.5 Símbolos de accesibilidad. El símbolo gráfico de accesibilidad de que trata la Norma Técnica Icontec NTC-4139 “Accesibilidad de las personas al medio físico. Símbolo Gráfico. Características Generales”, serán de obligatoria instalación en los espacios públicos y edificios de uso público, donde se cumplan las condiciones de accesibilidad previstas en el presente decreto. </w:t>
      </w:r>
    </w:p>
    <w:p w14:paraId="65EEAFDA" w14:textId="45F9320B"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027" w:name="ver_30073015"/>
      <w:bookmarkEnd w:id="1027"/>
    </w:p>
    <w:p w14:paraId="10DD20F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2.2.3.4.6 Adaptación del espacio público. Los espacios de uso público de que trata el presente Capítulo serán adaptados en la forma que establezcan los municipios y distritos, de conformidad con lo previsto en sus Planes de Adaptación para Espacios Públicos, Edificios, Servicios e Instalaciones Dependientes, de conformidad con lo previsto en el artículo 57 de la Ley 361 de 1997. </w:t>
      </w:r>
    </w:p>
    <w:p w14:paraId="679B0056" w14:textId="26203A0F"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028" w:name="ver_30073018"/>
      <w:bookmarkEnd w:id="1028"/>
    </w:p>
    <w:p w14:paraId="4068D83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2.2.3.4.7 Adaptación de bienes de interés cultural. La adecuación o adaptación de inmuebles declarados como bienes de interés cultural de conformidad con la Ley 397 de 1997, se someterán a las regulaciones de conservación aplicables a tales bienes, las cuales prevalecerán en todos los casos sobre esta reglamentación. </w:t>
      </w:r>
    </w:p>
    <w:p w14:paraId="1C49F1A2" w14:textId="77777777" w:rsidR="00D4095E" w:rsidRPr="009342F9" w:rsidRDefault="00D4095E" w:rsidP="00FC79C1">
      <w:pPr>
        <w:spacing w:after="0" w:line="240" w:lineRule="auto"/>
        <w:jc w:val="both"/>
        <w:rPr>
          <w:rFonts w:ascii="Arial" w:eastAsia="Times New Roman" w:hAnsi="Arial" w:cs="Arial"/>
          <w:color w:val="000000"/>
          <w:lang w:eastAsia="es-CO"/>
        </w:rPr>
      </w:pPr>
      <w:bookmarkStart w:id="1029" w:name="ver_30073019"/>
      <w:bookmarkEnd w:id="1029"/>
    </w:p>
    <w:p w14:paraId="6A29BE69" w14:textId="0B9633B2" w:rsidR="00FC79C1" w:rsidRPr="009342F9" w:rsidRDefault="00FC79C1" w:rsidP="00D4095E">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SECCIÓN 1</w:t>
      </w:r>
    </w:p>
    <w:p w14:paraId="5E7AAB6B" w14:textId="77777777" w:rsidR="00FC79C1" w:rsidRPr="009342F9" w:rsidRDefault="00FC79C1" w:rsidP="00D4095E">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ACCESIBILIDAD A LOS ESPACIOS DE USO PÚBLICO</w:t>
      </w:r>
    </w:p>
    <w:p w14:paraId="230F0994" w14:textId="77777777" w:rsidR="00FC79C1" w:rsidRPr="009342F9" w:rsidRDefault="00FC79C1" w:rsidP="00D4095E">
      <w:pPr>
        <w:spacing w:after="0" w:line="240" w:lineRule="auto"/>
        <w:jc w:val="center"/>
        <w:rPr>
          <w:rFonts w:ascii="Arial" w:eastAsia="Times New Roman" w:hAnsi="Arial" w:cs="Arial"/>
          <w:b/>
          <w:bCs/>
          <w:color w:val="000000"/>
          <w:lang w:eastAsia="es-CO"/>
        </w:rPr>
      </w:pPr>
      <w:bookmarkStart w:id="1030" w:name="ver_30073021"/>
      <w:bookmarkEnd w:id="1030"/>
    </w:p>
    <w:p w14:paraId="12EF473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2.2.3.4.1.1 Accesibilidad al espacio público. Los elementos del espacio público deberán ser diseñados y construidos dando cumplimiento a los siguientes parámetros: </w:t>
      </w:r>
    </w:p>
    <w:p w14:paraId="008BB14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A1D597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Vías de circulación peatonal </w:t>
      </w:r>
    </w:p>
    <w:p w14:paraId="22FD440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927AF2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1.1 Los andenes deben ser continuos y a nivel, sin generar obstáculos con los predios colindantes y deben ser tratados con materiales duros y antideslizantes en seco y en mojado. </w:t>
      </w:r>
    </w:p>
    <w:p w14:paraId="32781F6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558E67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1.2 Para permitir la continuidad entre los andenes y/o senderos peatonales se dispondrán los elementos necesarios que superen los cambios de nivel en los cruces de calzadas, ciclorrutas y otros. En estos casos se utilizarán vados, rampas, senderos escalonados, puentes y túneles. </w:t>
      </w:r>
    </w:p>
    <w:p w14:paraId="7E8D4FD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E3D06A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1.3 En los cruces peatonales los vados deben conectar directamente con la cebra o zona demarcada para el tránsito de peatones. </w:t>
      </w:r>
    </w:p>
    <w:p w14:paraId="5635382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2B89AF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1.4 Sobre la superficie correspondiente a la franja de circulación peatonal se debe diseñar y construir una guía de diferente textura al material de la superficie de la vía de circulación peatonal que oriente el desplazamiento de las personas invidentes o de baja visión. </w:t>
      </w:r>
    </w:p>
    <w:p w14:paraId="0F1EE62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w:t>
      </w:r>
    </w:p>
    <w:p w14:paraId="2F7044E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1.5 Para garantizar la continuidad de la circulación peatonal sobre la cebra, en los separadores viales se salvarán los desniveles existentes con vados o nivelando el separador con la calzada. </w:t>
      </w:r>
    </w:p>
    <w:p w14:paraId="010F35F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F972B5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1.6 Cuando se integre el andén con la calzada, se debe prever el diseño y la construcción de una franja de textura diferente y la instalación de elementos de protección para los peatones, para delimitar la circulación peatonal de la vehicular. </w:t>
      </w:r>
    </w:p>
    <w:p w14:paraId="256668D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4D018C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1.7 Las rampas de acceso a los sótanos de las edificaciones deberán iniciarse a partir del paramento de construcción y en ningún caso sobre la franja de circulación peatonal del andén. </w:t>
      </w:r>
    </w:p>
    <w:p w14:paraId="1E5377F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32EFBC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1.8 Se deberán eliminar todos los elementos y estructuras que obstaculicen la continuidad de la franja de circulación peatonal. </w:t>
      </w:r>
    </w:p>
    <w:p w14:paraId="3C7CE29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E0DC60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1.9 Los espacios públicos peatonales no se podrán cerrar ni obstaculizar con ningún tipo de elemento que impida el libre tránsito peatonal. </w:t>
      </w:r>
    </w:p>
    <w:p w14:paraId="1171C43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4825AF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Mobiliario urbano </w:t>
      </w:r>
    </w:p>
    <w:p w14:paraId="27E954E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D6C111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2.1 El mobiliario se debe localizar única y exclusivamente en la franja de amoblamiento, garantizando que la franja de circulación peatonal permanezca libre y continua. </w:t>
      </w:r>
    </w:p>
    <w:p w14:paraId="75D7948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A694F8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2.2 Los elementos del mobiliario urbano instalados a lo largo de las vías peatonales, deben ser fácilmente detectables por todas las personas, en especial por las personas invidentes o de baja visión, para ello se instalará una franja sobre la superficie del piso, de diferente textura al material de la superficie del andén. </w:t>
      </w:r>
    </w:p>
    <w:p w14:paraId="651D34F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C863E7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Cruces a desnivel: Puentes y túneles peatonales </w:t>
      </w:r>
    </w:p>
    <w:p w14:paraId="3517982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533DA3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3.1 Los recorridos del tráfico de la franja de circulación peatonal deben conducir hacia las escaleras y rampas de estos elementos. </w:t>
      </w:r>
    </w:p>
    <w:p w14:paraId="1148557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F03810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3.2 Los puentes peatonales deberán contar con un sistema de acceso de rampas. Si en el espacio en el que está prevista la construcción de un puente peatonal no se puede desarrollar las soluciones de acceso peatonal mediante rampas, se deberá instalar un sistema alterno eficiente que cumpla la misma función y que garantice el acceso autónomo de las personas con movilidad reducida. </w:t>
      </w:r>
    </w:p>
    <w:p w14:paraId="64790E3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322D0F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3.3 Los puentes peatonales deberán contar con un bordillo contenedor a lo largo de toda su extensión para prevenir que las ruedas de los coches, sillas de ruedas, entre otras, se salgan de los límites de este. Además, deben contar con elementos de protección como barandas y pasamanos que garanticen la circulación segura de los usuarios. </w:t>
      </w:r>
    </w:p>
    <w:p w14:paraId="39B8233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82B123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3.4 El pavimento y las superficies de los cruces a desnivel deben ser antideslizantes en seco y en mojado. </w:t>
      </w:r>
    </w:p>
    <w:p w14:paraId="5767057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649DAF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3.5 Al inicio de los cruces a desnivel se debe diseñar y construir un cambio de textura en el piso que permita la detección de </w:t>
      </w:r>
      <w:proofErr w:type="gramStart"/>
      <w:r w:rsidRPr="009342F9">
        <w:rPr>
          <w:rFonts w:ascii="Arial" w:eastAsia="Times New Roman" w:hAnsi="Arial" w:cs="Arial"/>
          <w:color w:val="000000"/>
          <w:lang w:eastAsia="es-CO"/>
        </w:rPr>
        <w:t>los mismos</w:t>
      </w:r>
      <w:proofErr w:type="gramEnd"/>
      <w:r w:rsidRPr="009342F9">
        <w:rPr>
          <w:rFonts w:ascii="Arial" w:eastAsia="Times New Roman" w:hAnsi="Arial" w:cs="Arial"/>
          <w:color w:val="000000"/>
          <w:lang w:eastAsia="es-CO"/>
        </w:rPr>
        <w:t xml:space="preserve"> por parte de los invidentes o de las personas de baja visión. </w:t>
      </w:r>
    </w:p>
    <w:p w14:paraId="7A61C75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429226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Parques, plazas y plazoletas </w:t>
      </w:r>
    </w:p>
    <w:p w14:paraId="0918D21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w:t>
      </w:r>
    </w:p>
    <w:p w14:paraId="183F55B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4.1 Los espejos de agua, estanques, depresiones y otros componentes del ambiente y del paisaje que impliquen un cambio entre el sendero peatonal y el entorno, deberán contar con elementos de protección que garanticen la seguridad de las personas. </w:t>
      </w:r>
    </w:p>
    <w:p w14:paraId="50C896F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A5445C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2.2 Los elementos de protección y de delimitación en parques, zonas verdes, jardines y espacios de circulación en general, no deben tener aristas vivas, ni elementos sobresalientes o proyectados peligrosamente sobre la franja de circulación peatonal. </w:t>
      </w:r>
    </w:p>
    <w:p w14:paraId="4E05475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B8EDE5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1°. En ningún caso las normas municipales o distritales podrán permitir la ocupación, uso temporal o reducción de la franja de circulación peatonal para localizar elementos de mobiliario urbano, tales como quioscos, casetas, carpas o construcciones móviles, temporales o con anclajes, los cuales solo podrán ubicarse dentro de la franja de amoblamiento. </w:t>
      </w:r>
    </w:p>
    <w:p w14:paraId="72F3EA7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275FE8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2°. Además de lo dispuesto en el presente artículo, serán de obligatoria aplicación, en lo pertinente, las siguientes Normas Técnicas Colombianas para el diseño y construcción de los elementos del espacio público: </w:t>
      </w:r>
    </w:p>
    <w:p w14:paraId="53B1E56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ABA2C8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NTC 4279: “Accesibilidad de las personas al medio físico. Espacios urbanos y rurales. Vías de circulación peatonales planas”. </w:t>
      </w:r>
    </w:p>
    <w:p w14:paraId="034C2DC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C84541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NTC 4774: “Accesibilidad de las personas al medio físico. Espacios urbanos y rurales. Cruces peatonales a nivel y elevados o puentes peatonales”. </w:t>
      </w:r>
    </w:p>
    <w:p w14:paraId="35D90E6D" w14:textId="5DA3AC61"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031" w:name="ver_30073023"/>
      <w:bookmarkEnd w:id="1031"/>
    </w:p>
    <w:p w14:paraId="630B34F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2.2.3.4.1.2 Accesibilidad en las vías públicas. Las vías públicas que se construyan al interior del perímetro </w:t>
      </w:r>
      <w:proofErr w:type="gramStart"/>
      <w:r w:rsidRPr="009342F9">
        <w:rPr>
          <w:rFonts w:ascii="Arial" w:eastAsia="Times New Roman" w:hAnsi="Arial" w:cs="Arial"/>
          <w:color w:val="000000"/>
          <w:lang w:eastAsia="es-CO"/>
        </w:rPr>
        <w:t>urbano,</w:t>
      </w:r>
      <w:proofErr w:type="gramEnd"/>
      <w:r w:rsidRPr="009342F9">
        <w:rPr>
          <w:rFonts w:ascii="Arial" w:eastAsia="Times New Roman" w:hAnsi="Arial" w:cs="Arial"/>
          <w:color w:val="000000"/>
          <w:lang w:eastAsia="es-CO"/>
        </w:rPr>
        <w:t xml:space="preserve"> deben contemplar la construcción de la totalidad de los elementos del perfil vial, en especial, las calzadas, los separadores, los andenes, los sardineles, las zonas verdes y demás elementos que lo conforman, según lo que establezca el Plan de Ordenamiento Territorial del municipio o distrito. </w:t>
      </w:r>
    </w:p>
    <w:p w14:paraId="3FFB47D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5FEC1D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Las vías públicas existentes al interior del perímetro urbano, que a 19 de mayo de 2005 no cuenten con la totalidad de los elementos del perfil vial, deberán adecuarse de acuerdo con lo dispuesto en los planes de adaptación del espacio público del respectivo municipio o distrito, y con sujeción a las condiciones de accesibilidad establecidas en las normas vigentes y a las normas del perfil vial establecidas por el respectivo municipio o distrito dentro del término de vigencia del Plan de Ordenamiento Territorial. </w:t>
      </w:r>
    </w:p>
    <w:p w14:paraId="11DE84D6" w14:textId="2FDE8DF6" w:rsidR="00D4095E"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032" w:name="ver_30073025"/>
      <w:bookmarkEnd w:id="1032"/>
    </w:p>
    <w:p w14:paraId="4007FE47" w14:textId="34F7FF6E" w:rsidR="00FC79C1" w:rsidRPr="009342F9" w:rsidRDefault="00FC79C1" w:rsidP="00D4095E">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SECCIÓN 2</w:t>
      </w:r>
    </w:p>
    <w:p w14:paraId="0DB2AE35" w14:textId="77777777" w:rsidR="00FC79C1" w:rsidRPr="009342F9" w:rsidRDefault="00FC79C1" w:rsidP="00D4095E">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ACCESIBILIDAD A EDIFICIOS ABIERTOS AL PÚBLICO</w:t>
      </w:r>
    </w:p>
    <w:p w14:paraId="1AD1D483"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033" w:name="ver_30073027"/>
      <w:bookmarkEnd w:id="1033"/>
    </w:p>
    <w:p w14:paraId="7ED2745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2.2.3.4.2.1 Características de los edificios abiertos al público. Para el diseño, construcción o adecuación de los edificios de uso público en general, se dará cumplimiento a los siguientes parámetros de accesibilidad: </w:t>
      </w:r>
    </w:p>
    <w:p w14:paraId="6AC603C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98B989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Acceso a las edificaciones </w:t>
      </w:r>
    </w:p>
    <w:p w14:paraId="0B690A8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7C6CA8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1.1 Se permitirá el acceso de perros guía, sillas de ruedas, bastones y demás elementos o ayudas necesarias, por parte de las personas que presenten dificultad o limitación para su movilidad y desplazamiento. </w:t>
      </w:r>
    </w:p>
    <w:p w14:paraId="005511F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A9FC21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1.2 Se dispondrá de sistemas de guías e información para las personas invidentes o con visión disminuida que facilite y agilice su desplazamiento seguro y efectivo. </w:t>
      </w:r>
    </w:p>
    <w:p w14:paraId="3DE4F7F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40AB02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Entorno de las edificaciones </w:t>
      </w:r>
    </w:p>
    <w:p w14:paraId="7913A83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228679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2.1 Las hojas de las ventanas del primer piso, que colinden con andenes o sendas peatonales, no podrán abrir hacia afuera. </w:t>
      </w:r>
    </w:p>
    <w:p w14:paraId="631A2AF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DEF719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2.2 Los desniveles que se presenten en edificios de uso público, desde el </w:t>
      </w:r>
      <w:proofErr w:type="spellStart"/>
      <w:r w:rsidRPr="009342F9">
        <w:rPr>
          <w:rFonts w:ascii="Arial" w:eastAsia="Times New Roman" w:hAnsi="Arial" w:cs="Arial"/>
          <w:color w:val="000000"/>
          <w:lang w:eastAsia="es-CO"/>
        </w:rPr>
        <w:t>anden</w:t>
      </w:r>
      <w:proofErr w:type="spellEnd"/>
      <w:r w:rsidRPr="009342F9">
        <w:rPr>
          <w:rFonts w:ascii="Arial" w:eastAsia="Times New Roman" w:hAnsi="Arial" w:cs="Arial"/>
          <w:color w:val="000000"/>
          <w:lang w:eastAsia="es-CO"/>
        </w:rPr>
        <w:t xml:space="preserve"> hasta el acceso </w:t>
      </w:r>
      <w:proofErr w:type="gramStart"/>
      <w:r w:rsidRPr="009342F9">
        <w:rPr>
          <w:rFonts w:ascii="Arial" w:eastAsia="Times New Roman" w:hAnsi="Arial" w:cs="Arial"/>
          <w:color w:val="000000"/>
          <w:lang w:eastAsia="es-CO"/>
        </w:rPr>
        <w:t>del mismo</w:t>
      </w:r>
      <w:proofErr w:type="gramEnd"/>
      <w:r w:rsidRPr="009342F9">
        <w:rPr>
          <w:rFonts w:ascii="Arial" w:eastAsia="Times New Roman" w:hAnsi="Arial" w:cs="Arial"/>
          <w:color w:val="000000"/>
          <w:lang w:eastAsia="es-CO"/>
        </w:rPr>
        <w:t>, deben ser superados por medio de vados, rampas o similares. </w:t>
      </w:r>
    </w:p>
    <w:p w14:paraId="65E69F1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B72871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2.3 Cuando se trate de un conjunto de edificios o instalaciones de uso público, deberá garantizarse por lo menos que una de las rutas peatonales que los unan entre sí y con la vía pública, se construya según las condiciones establecidas en el Capítulo Segundo de este decreto. </w:t>
      </w:r>
    </w:p>
    <w:p w14:paraId="53B4F3E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FFE363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Acceso al interior de las edificaciones de uso público </w:t>
      </w:r>
    </w:p>
    <w:p w14:paraId="3671DC0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911E2E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3.1 Al menos uno de los accesos al interior de la edificación, debe ser construido de tal forma que permita el ingreso de personas con algún tipo de movilidad reducida y deberá contar con un ancho mínimo que garantice la libre circulación de una persona en silla de ruedas. </w:t>
      </w:r>
    </w:p>
    <w:p w14:paraId="4E3AE89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4FA1B4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3.2 Cuando el diseño contemple ascensores, el ancho de </w:t>
      </w:r>
      <w:proofErr w:type="gramStart"/>
      <w:r w:rsidRPr="009342F9">
        <w:rPr>
          <w:rFonts w:ascii="Arial" w:eastAsia="Times New Roman" w:hAnsi="Arial" w:cs="Arial"/>
          <w:color w:val="000000"/>
          <w:lang w:eastAsia="es-CO"/>
        </w:rPr>
        <w:t>los mismos</w:t>
      </w:r>
      <w:proofErr w:type="gramEnd"/>
      <w:r w:rsidRPr="009342F9">
        <w:rPr>
          <w:rFonts w:ascii="Arial" w:eastAsia="Times New Roman" w:hAnsi="Arial" w:cs="Arial"/>
          <w:color w:val="000000"/>
          <w:lang w:eastAsia="es-CO"/>
        </w:rPr>
        <w:t xml:space="preserve"> debe garantizar el libre acceso y maniobrabilidad de las personas con movilidad reducida y/o en sillas de ruedas. </w:t>
      </w:r>
    </w:p>
    <w:p w14:paraId="49F49F7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896BF6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3.3 Las puertas principales de acceso a toda construcción, sea esta pública o privada, se deberán abrir hacia el exterior o en ambos sentidos, deberán así mismo contar con manijas automáticas al empujar. En ningún caso, pueden invadir las áreas de circulación peatonal. </w:t>
      </w:r>
    </w:p>
    <w:p w14:paraId="5A3968B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774462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3.4 Las puertas de vidrio siempre llevarán franjas anaranjadas o </w:t>
      </w:r>
      <w:proofErr w:type="spellStart"/>
      <w:r w:rsidRPr="009342F9">
        <w:rPr>
          <w:rFonts w:ascii="Arial" w:eastAsia="Times New Roman" w:hAnsi="Arial" w:cs="Arial"/>
          <w:color w:val="000000"/>
          <w:lang w:eastAsia="es-CO"/>
        </w:rPr>
        <w:t>blancofluorescente</w:t>
      </w:r>
      <w:proofErr w:type="spellEnd"/>
      <w:r w:rsidRPr="009342F9">
        <w:rPr>
          <w:rFonts w:ascii="Arial" w:eastAsia="Times New Roman" w:hAnsi="Arial" w:cs="Arial"/>
          <w:color w:val="000000"/>
          <w:lang w:eastAsia="es-CO"/>
        </w:rPr>
        <w:t xml:space="preserve"> a la altura indicada. </w:t>
      </w:r>
    </w:p>
    <w:p w14:paraId="72B4D73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EB0E23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3.5 En caso de que el acceso al inmueble se haga mediante puertas giratorias, torniquetes o similares, que dificulten el tránsito de las personas en sillas de ruedas o con movilidad reducida, se deberá disponer de un acceso alterno que les facilite su ingreso. </w:t>
      </w:r>
    </w:p>
    <w:p w14:paraId="02E27F3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6364B4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3.6 Todas las puertas contarán con mecanismos de fácil apertura manual para garantizar una segura y fácil evacuación en cualquier emergencia, incluyendo los sistemas de apertura eléctricos y de sensores. Para tal efecto, todos los niveles de la edificación contarán con planos de ruta de emergencia y la señalización de emergencia de acuerdo con los parámetros adoptados por el Ministerio de Salud. </w:t>
      </w:r>
    </w:p>
    <w:p w14:paraId="2BF2996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4F4785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3.7 Se dispondrá de al menos un servicio sanitario accesible. </w:t>
      </w:r>
    </w:p>
    <w:p w14:paraId="01B851C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72537E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Espacios de recepción o vestíbulo </w:t>
      </w:r>
    </w:p>
    <w:p w14:paraId="09DE43C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EDB163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4.1 El área que ocupe el mobiliario de recepción debe ser independiente del área de circulación. </w:t>
      </w:r>
    </w:p>
    <w:p w14:paraId="25F1000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99B96B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4.2 En las salas de espera o descanso, se dispondrán espacios para los usuarios en silla de ruedas, que permitan su permanencia sin obstruir las zonas de circulación. </w:t>
      </w:r>
    </w:p>
    <w:p w14:paraId="50F0BEF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EDB128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4.3 Las edificaciones de uso público que dispongan de áreas para la espera o estancia de personas y que colinden con vacíos sobre otros niveles, deberán garantizar la seguridad a través de la construcción de protecciones como muros, rejas o barandas sólidas. </w:t>
      </w:r>
    </w:p>
    <w:p w14:paraId="7563789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4175DF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Además de lo dispuesto en el presente artículo, serán de obligatoria aplicación, en lo pertinente, las siguientes Normas Técnicas Colombianas para el diseño, construcción o adecuación de los edificios de uso público: </w:t>
      </w:r>
    </w:p>
    <w:p w14:paraId="0F7C2C9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9C7534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NTC 4140: “Accesibilidad de las personas al medio físico. Edificios, pasillos, corredores. Características Generales”. </w:t>
      </w:r>
    </w:p>
    <w:p w14:paraId="5ED1B98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EC6825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NTC 4143: “Accesibilidad de las personas al medio físico. Edificios, rampas fijas”. </w:t>
      </w:r>
    </w:p>
    <w:p w14:paraId="10836D2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CFFE67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NTC 4145: “Accesibilidad de las personas al medio físico. Edificios. Escaleras”. </w:t>
      </w:r>
    </w:p>
    <w:p w14:paraId="2039F10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9E1369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NTC 4201: “Accesibilidad de las personas al medio físico. Edificios. Equipamientos. Bordillos, pasamanos y agarraderas”. </w:t>
      </w:r>
    </w:p>
    <w:p w14:paraId="7FF7576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EE003F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 NTC 4349: “Accesibilidad de las personas al medio físico. Edificios. Ascensores”. </w:t>
      </w:r>
    </w:p>
    <w:p w14:paraId="1AA265CC" w14:textId="1690C373"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034" w:name="ver_30109355"/>
      <w:bookmarkStart w:id="1035" w:name="ver_30109354"/>
      <w:bookmarkEnd w:id="1034"/>
    </w:p>
    <w:p w14:paraId="6327F69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2.2.3.4.2.2. Accesibilidad a edificaciones para vivienda. Independientemente de lo dispuesto en el parágrafo 2° del artículo 29 de la Ley 546 de 1999, subrogado por el parágrafo 3° del artículo 1° de la Ley 1114 de 2006, para el diseño y construcción de vivienda nueva, se dará aplicación en lo pertinente, a las normas técnicas previstas en el artículo anterior. </w:t>
      </w:r>
    </w:p>
    <w:p w14:paraId="0F2BAA2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92BE6A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1°. En los eventos de vivienda multifamiliar o bifamiliar, al menos uno de los accesos a la edificación debe ser construido de tal forma, que permita el ingreso de personas con algún tipo de movilidad reducida. </w:t>
      </w:r>
    </w:p>
    <w:p w14:paraId="443C3C8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5EAF92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2°. Cuando se trate de un conjunto residencial de una o varias edificaciones, las rutas peatonales deben cumplir las condiciones de accesibilidad establecidas en la presente sección a fin de que se asegure la conexión de la vía pública con los salones comunales y las zonas comunes destinadas a la recreación y deporte del conjunto o agrupación. </w:t>
      </w:r>
    </w:p>
    <w:p w14:paraId="326565D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701FCE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3°. En aquellos casos en que por las condiciones topográficas del terreno existan vías con pendientes iguales o superiores al 18%, en los respectivos proyectos urbanísticos se deberá asegurar que el acceso a las viviendas que estén destinadas a cumplir lo dispuesto en el parágrafo 2° del artículo 29 de la Ley 546 de 1999 subrogado por el parágrafo 3º del artículo 1° de la Ley 1114 de 2006, se permita el ingreso de personas con algún tipo de movilidad reducida. </w:t>
      </w:r>
    </w:p>
    <w:p w14:paraId="224FB1B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66168C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las vías que contemplen pendientes menores al 18%, se dará aplicación en lo pertinente, a las normas técnicas previstas en el artículo anterior”. </w:t>
      </w:r>
    </w:p>
    <w:p w14:paraId="1EB91D10" w14:textId="77777777" w:rsidR="00FC79C1" w:rsidRPr="009342F9" w:rsidRDefault="00FC79C1" w:rsidP="00FC79C1">
      <w:pPr>
        <w:spacing w:after="0" w:line="240" w:lineRule="auto"/>
        <w:jc w:val="both"/>
        <w:rPr>
          <w:rFonts w:ascii="Arial" w:eastAsia="Times New Roman" w:hAnsi="Arial" w:cs="Arial"/>
          <w:color w:val="000000"/>
          <w:lang w:eastAsia="es-CO"/>
        </w:rPr>
      </w:pPr>
    </w:p>
    <w:p w14:paraId="3E9CB386" w14:textId="77777777" w:rsidR="00FC79C1" w:rsidRPr="009342F9" w:rsidRDefault="00FC79C1" w:rsidP="00D4095E">
      <w:pPr>
        <w:spacing w:after="0" w:line="240" w:lineRule="auto"/>
        <w:jc w:val="center"/>
        <w:rPr>
          <w:rFonts w:ascii="Arial" w:eastAsia="Times New Roman" w:hAnsi="Arial" w:cs="Arial"/>
          <w:b/>
          <w:bCs/>
          <w:color w:val="000000"/>
          <w:lang w:eastAsia="es-CO"/>
        </w:rPr>
      </w:pPr>
      <w:bookmarkStart w:id="1036" w:name="ver_30073047"/>
      <w:bookmarkEnd w:id="1035"/>
      <w:bookmarkEnd w:id="1036"/>
      <w:r w:rsidRPr="009342F9">
        <w:rPr>
          <w:rFonts w:ascii="Arial" w:eastAsia="Times New Roman" w:hAnsi="Arial" w:cs="Arial"/>
          <w:b/>
          <w:bCs/>
          <w:color w:val="000000"/>
          <w:lang w:eastAsia="es-CO"/>
        </w:rPr>
        <w:t>SECCIÓN 3</w:t>
      </w:r>
    </w:p>
    <w:p w14:paraId="1C9FE4D0" w14:textId="77777777" w:rsidR="00FC79C1" w:rsidRPr="009342F9" w:rsidRDefault="00FC79C1" w:rsidP="00D4095E">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ACCESIBILIDAD EN LOS ESTACIONAMIENTOS</w:t>
      </w:r>
    </w:p>
    <w:p w14:paraId="3D19BDD4"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037" w:name="ver_30073049"/>
      <w:bookmarkEnd w:id="1037"/>
    </w:p>
    <w:p w14:paraId="1F9445A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2.2.3.4.3.1 Reserva de estacionamientos accesibles en zonas de parqueo. En todos los sitios abiertos al público como edificios de uso público, centros comerciales, nuevas urbanizaciones y unidades residenciales y en general en todo sitio donde existan parqueaderos habilitados para visitantes, se dispondrá de sitios de parqueo para personas con movilidad reducida, debidamente señalizados y con las dimensiones internacionales. </w:t>
      </w:r>
    </w:p>
    <w:p w14:paraId="164211F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w:t>
      </w:r>
    </w:p>
    <w:p w14:paraId="7FB8A7F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estos espacios se garantizará como mínimo un porcentaje equivalente al dos por ciento (2%) del total de parqueaderos habilitados. En ningún caso, podrá haber menos de un (1) espacio habilitado, debidamente señalizado con el símbolo gráfico de accesibilidad. </w:t>
      </w:r>
    </w:p>
    <w:p w14:paraId="6A11A4F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1F3AFD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Las autoridades municipales y distritales competentes, determinarán en las normas urbanísticas del Plan de Ordenamiento Territorial, la reserva para estacionamientos accesibles, contiguos a todo centro de interés público, sea este de tipo administrativo, comercial, cultural, recreativo, deportivo, o de servicios; dicha reserva no podrá ser menor de 2 estacionamientos por cada 100. </w:t>
      </w:r>
    </w:p>
    <w:p w14:paraId="364C60CE" w14:textId="473FA694"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038" w:name="ver_30073053"/>
      <w:bookmarkEnd w:id="1038"/>
    </w:p>
    <w:p w14:paraId="2B2A8C6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2.2.3.4.3.2 Características de los estacionamientos para personas con movilidad reducida. El diseño, construcción o adecuación de zonas de parqueo para las personas con movilidad reducida en espacio público o edificaciones deberá cumplir con las siguientes características: </w:t>
      </w:r>
    </w:p>
    <w:p w14:paraId="1A588BB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1F54FA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Se ubicarán frente al acceso de las edificaciones o lo más cercano a ellas y contiguos a senderos o rutas peatonales. </w:t>
      </w:r>
    </w:p>
    <w:p w14:paraId="4AFCFDB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69E966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Las diferencias de nivel existentes entre los puestos de estacionamiento accesibles y los senderos o rutas peatonales, serán resueltas mediante la construcción de vados o rampas, a fin de facilitar la circulación autónoma de las personas con movilidad reducida. </w:t>
      </w:r>
    </w:p>
    <w:p w14:paraId="6B1F46BF" w14:textId="03C37D0D" w:rsidR="00D4095E"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039" w:name="ver_30073054"/>
      <w:bookmarkEnd w:id="1039"/>
    </w:p>
    <w:p w14:paraId="56539FA3" w14:textId="5FE5260C" w:rsidR="00A7403B" w:rsidRPr="009342F9" w:rsidRDefault="00FC79C1" w:rsidP="00A7403B">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CAPÍTULO 5</w:t>
      </w:r>
    </w:p>
    <w:p w14:paraId="704B6A40" w14:textId="77777777" w:rsidR="00FC79C1" w:rsidRPr="009342F9" w:rsidRDefault="00FC79C1" w:rsidP="00D4095E">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ESTÁNDARES URBANÍSTICOS</w:t>
      </w:r>
    </w:p>
    <w:p w14:paraId="18380513"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040" w:name="ver_30073057"/>
      <w:bookmarkEnd w:id="1040"/>
    </w:p>
    <w:p w14:paraId="38276C1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2.2.3.5.1 Ámbito de aplicación. Las disposiciones contenidas en el presente capítulo reglamentan los estándares urbanísticos básicos para el desarrollo de la vivienda, los equipamientos y los espacios públicos, necesarios para su articulación con los sistemas de movilidad, principalmente con la red peatonal y de ciclorrutas que complementen el sistema de transporte y se establecen las condiciones mínimas de los perfiles viales al interior del perímetro urbano de los municipios y distritos que hayan adoptado plan de ordenamiento territorial, en los términos del literal a) del artículo 9° de la Ley 388 de 1997. </w:t>
      </w:r>
    </w:p>
    <w:p w14:paraId="5B698A9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AF58D9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Las disposiciones contenidas en el presente capítulo sólo se aplicarán a las zonas y predios urbanizables no urbanizados sujetos a las actuaciones de urbanización a los que se les haya asignado el tratamiento urbanístico de desarrollo en suelo urbano o de expansión urbana. Las disposiciones del presente capítulo también se aplicarán para la planificación, diseño, construcción y/o adaptación de las vías del perímetro urbano del respectivo municipio o distrito. </w:t>
      </w:r>
    </w:p>
    <w:p w14:paraId="4999DD78" w14:textId="20CC31F8"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041" w:name="ver_30073061"/>
      <w:bookmarkEnd w:id="1041"/>
    </w:p>
    <w:p w14:paraId="2ED214F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2.2.3.5.2 Estándares urbanísticos. Se conciben como el conjunto de patrones de medida o referentes que orientan la planificación, diseño y construcción de los desarrollos de vivienda, equipamientos y espacios públicos, así como de los elementos que constituyen los perfiles viales. </w:t>
      </w:r>
    </w:p>
    <w:p w14:paraId="4C7C2A4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26F46C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Los municipios y distritos podrán adoptar los estándares urbanísticos como parámetro mínimo de calidad para la ejecución de las actuaciones urbanísticas relacionadas con el ordenamiento del territorio. </w:t>
      </w:r>
    </w:p>
    <w:p w14:paraId="11FC123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E53CFD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Sin perjuicio de lo dispuesto en el parágrafo 1 del artículo 15 de la Ley 388 de 1997 o la norma que la adicione, modifique o sustituya, los municipios y distritos podrán establecer en sus planes </w:t>
      </w:r>
      <w:r w:rsidRPr="009342F9">
        <w:rPr>
          <w:rFonts w:ascii="Arial" w:eastAsia="Times New Roman" w:hAnsi="Arial" w:cs="Arial"/>
          <w:color w:val="000000"/>
          <w:lang w:eastAsia="es-CO"/>
        </w:rPr>
        <w:lastRenderedPageBreak/>
        <w:t>de ordenamiento territorial o en los instrumentos que lo desarrollen y complementen, condiciones urbanísticas de calidades superiores a las previstas en el presente decreto. </w:t>
      </w:r>
    </w:p>
    <w:p w14:paraId="0FE4F08A" w14:textId="21ED65D2" w:rsidR="00D4095E" w:rsidRPr="009342F9" w:rsidRDefault="00FC79C1" w:rsidP="00A57EE6">
      <w:pPr>
        <w:spacing w:after="0" w:line="240" w:lineRule="auto"/>
        <w:jc w:val="both"/>
        <w:rPr>
          <w:rFonts w:ascii="Arial" w:eastAsia="Times New Roman" w:hAnsi="Arial" w:cs="Arial"/>
          <w:b/>
          <w:bCs/>
          <w:color w:val="000000"/>
          <w:lang w:eastAsia="es-CO"/>
        </w:rPr>
      </w:pPr>
      <w:r w:rsidRPr="009342F9">
        <w:rPr>
          <w:rFonts w:ascii="Arial" w:eastAsia="Times New Roman" w:hAnsi="Arial" w:cs="Arial"/>
          <w:color w:val="000000"/>
          <w:lang w:eastAsia="es-CO"/>
        </w:rPr>
        <w:t>  </w:t>
      </w:r>
      <w:bookmarkStart w:id="1042" w:name="ver_30073063"/>
      <w:bookmarkEnd w:id="1042"/>
    </w:p>
    <w:p w14:paraId="1559D134" w14:textId="29E9F83C" w:rsidR="00FC79C1" w:rsidRDefault="00FC79C1" w:rsidP="00D4095E">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SECCIÓN 1</w:t>
      </w:r>
    </w:p>
    <w:p w14:paraId="5B9A1628" w14:textId="77777777" w:rsidR="00A7403B" w:rsidRPr="009342F9" w:rsidRDefault="00A7403B" w:rsidP="00D4095E">
      <w:pPr>
        <w:spacing w:after="0" w:line="240" w:lineRule="auto"/>
        <w:jc w:val="center"/>
        <w:rPr>
          <w:rFonts w:ascii="Arial" w:eastAsia="Times New Roman" w:hAnsi="Arial" w:cs="Arial"/>
          <w:b/>
          <w:bCs/>
          <w:color w:val="000000"/>
          <w:lang w:eastAsia="es-CO"/>
        </w:rPr>
      </w:pPr>
    </w:p>
    <w:p w14:paraId="31BB75B5" w14:textId="77777777" w:rsidR="00FC79C1" w:rsidRPr="009342F9" w:rsidRDefault="00FC79C1" w:rsidP="00D4095E">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ESTÁNDARES URBANÍSTICOS PARA EL DESARROLLO DE VIVIENDA, EQUIPAMIENTOS Y ESPACIOS PÚBLICOS NECESARIOS PARA ARTICULAR LOS SISTEMAS DE MOVILIDAD CON LA ESTRUCTURA URBANA PROPUESTA EN LOS PLANES DE ORDENAMIENTO TERRITORIAL</w:t>
      </w:r>
    </w:p>
    <w:p w14:paraId="7F9F74F8"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043" w:name="ver_30073065"/>
      <w:bookmarkEnd w:id="1043"/>
    </w:p>
    <w:p w14:paraId="2357549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2.2.3.5.1.1 Articulación de los desarrollos de vivienda con los sistemas de movilidad. Se podrán adoptar los siguientes estándares para el desarrollo de nuevos proyectos residenciales en zonas y predios urbanizables no urbanizados a los que se les haya asignado el tratamiento urbanístico de desarrollo en suelo urbano o de expansión urbana: </w:t>
      </w:r>
    </w:p>
    <w:p w14:paraId="6855007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000C13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El costado de mayor extensión de una manzana destinada a uso residencial será igual o inferior a 250 metros. </w:t>
      </w:r>
    </w:p>
    <w:p w14:paraId="5801DE0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AAEC9F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Las manzanas se delimitarán por vías públicas peatonales o vehiculares. En todo caso, al menos dos de estas vías serán vehiculares. La dimensión mínima de la franja de circulación peatonal será la establecida en el artículo 2.2.3.5.2.2 del presente decreto. </w:t>
      </w:r>
    </w:p>
    <w:p w14:paraId="1F7C8B7D" w14:textId="24C9FC0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044" w:name="ver_30073067"/>
      <w:bookmarkEnd w:id="1044"/>
    </w:p>
    <w:p w14:paraId="07FFF5F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2.2.3.5.1.2 Articulación del espacio público con los sistemas de movilidad. Los parques, zonas verdes y plazas públicas que se desarrollen en zonas y predios urbanizables no urbanizados a los que se les haya asignado el tratamiento urbanístico de desarrollo en suelo urbano o de expansión urbana, se podrán delimitar por vías públicas peatonales o vehiculares, garantizando la continuidad de la franja de circulación peatonal. Las dimensiones mínimas del andén y de la franja de circulación peatonal serán las establecidas en el artículo 2.2.3.5.2.2 del presente decreto. </w:t>
      </w:r>
    </w:p>
    <w:p w14:paraId="0A510EF0" w14:textId="5DA8AB4F"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045" w:name="ver_30073068"/>
      <w:bookmarkEnd w:id="1045"/>
    </w:p>
    <w:p w14:paraId="62B6C15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2.2.3.5.1.3 Articulación de las áreas destinadas a equipamientos con los sistemas de movilidad. Se podrán adoptar los siguientes estándares para la articulación de las áreas destinadas a equipamientos con los sistemas de movilidad en zonas y predios urbanizables no urbanizados a los que se les haya asignado el tratamiento urbanístico de desarrollo en suelo urbano o de expansión urbana: </w:t>
      </w:r>
    </w:p>
    <w:p w14:paraId="1825433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89025F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Todos los nuevos equipamientos resultantes de procesos de urbanización deberán estar rodeados totalmente con vías públicas peatonales o vehiculares. La dimensión mínima de la franja de circulación peatonal será de 1.60 metros. </w:t>
      </w:r>
    </w:p>
    <w:p w14:paraId="7D0E3DA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6608C0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De los equipamientos resultantes de procesos de urbanización, al menos uno deberá estar conectado con un parque, plaza o zona verde derivada de la cesión urbanística obligatoria. </w:t>
      </w:r>
    </w:p>
    <w:p w14:paraId="7A6A018A" w14:textId="7D44387A" w:rsidR="00D4095E"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046" w:name="ver_30073069"/>
      <w:bookmarkEnd w:id="1046"/>
    </w:p>
    <w:p w14:paraId="6B31263F" w14:textId="290EFC8C" w:rsidR="00FC79C1" w:rsidRPr="009342F9" w:rsidRDefault="00FC79C1" w:rsidP="00D4095E">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SECCIÓN 2</w:t>
      </w:r>
    </w:p>
    <w:p w14:paraId="579534D3" w14:textId="77777777" w:rsidR="00FC79C1" w:rsidRPr="009342F9" w:rsidRDefault="00FC79C1" w:rsidP="00D4095E">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CONDICIONES MÍNIMAS DE LOS PERFILES VIALES AL INTERIOR DEL PERÍMETRO</w:t>
      </w:r>
    </w:p>
    <w:p w14:paraId="121858E6" w14:textId="77777777" w:rsidR="00FC79C1" w:rsidRPr="009342F9" w:rsidRDefault="00FC79C1" w:rsidP="00D4095E">
      <w:pPr>
        <w:spacing w:after="0" w:line="240" w:lineRule="auto"/>
        <w:jc w:val="center"/>
        <w:rPr>
          <w:rFonts w:ascii="Arial" w:eastAsia="Times New Roman" w:hAnsi="Arial" w:cs="Arial"/>
          <w:b/>
          <w:bCs/>
          <w:color w:val="000000"/>
          <w:lang w:eastAsia="es-CO"/>
        </w:rPr>
      </w:pPr>
      <w:bookmarkStart w:id="1047" w:name="ver_30073070"/>
      <w:bookmarkEnd w:id="1047"/>
    </w:p>
    <w:p w14:paraId="4B1725A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2.2.3.5.2.1 Elementos de los perfiles viales. En la planificación, diseño, construcción y/o adaptación de las vías del perímetro urbano los municipios o distritos podrán establecer que los perfiles viales vehiculares se conformen como mínimo por el andén y la calzada. Adicionalmente podrán contener los componentes del perfil vial señalados en el numeral 2.1 artículo 2.2.3.1.5 del </w:t>
      </w:r>
      <w:r w:rsidRPr="009342F9">
        <w:rPr>
          <w:rFonts w:ascii="Arial" w:eastAsia="Times New Roman" w:hAnsi="Arial" w:cs="Arial"/>
          <w:color w:val="000000"/>
          <w:lang w:eastAsia="es-CO"/>
        </w:rPr>
        <w:lastRenderedPageBreak/>
        <w:t>presente decreto, según lo establecido en el plan de ordenamiento territorial y en las normas que regulen la materia. </w:t>
      </w:r>
    </w:p>
    <w:p w14:paraId="520C570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E74705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 vía de circulación peatonal se podrá conformar como mínimo por la franja de circulación peatonal y la franja de amoblamiento. </w:t>
      </w:r>
    </w:p>
    <w:p w14:paraId="140621D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A4D922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Los elementos del perfil de los pasos urbanos se sujetarán a las reglamentaciones que sobre fajas de retiro expida el Gobierno Nacional, según lo dispuesto por la Ley 1228 de 2008. </w:t>
      </w:r>
    </w:p>
    <w:p w14:paraId="35CA295F" w14:textId="4D3E46F6"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048" w:name="ver_30073071"/>
      <w:bookmarkEnd w:id="1048"/>
    </w:p>
    <w:p w14:paraId="27A1F76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2.2.3.5.2.2 Estándares para los andenes. Se podrán adoptar los siguientes estándares para la planificación, diseño, construcción y/o adaptación de los andenes de las vías del perímetro urbano de los municipios o distritos: </w:t>
      </w:r>
    </w:p>
    <w:p w14:paraId="0B9C243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0266C5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El andén se compone de la franja de circulación peatonal y de la franja de amoblamiento. </w:t>
      </w:r>
    </w:p>
    <w:p w14:paraId="5D16D99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0A7229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La dimensión mínima de la franja de circulación peatonal de los andenes será de 1.20 metros. </w:t>
      </w:r>
    </w:p>
    <w:p w14:paraId="36E7F3A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B7BD30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La dimensión mínima de la franja de amoblamiento cuando se contemple arborización será de 1.20 metros y sin arborización 0.70 metros. </w:t>
      </w:r>
    </w:p>
    <w:p w14:paraId="585B2FD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D485BB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Para el diseño y la construcción de vados y rampas se aplicará en lo pertinente la Norma Técnica Colombiana NTC 4143 “Accesibilidad de las personas al medio físico. Edificios, Rampas Fijas”. </w:t>
      </w:r>
    </w:p>
    <w:p w14:paraId="1BF4912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070FB5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 Para orientar el desplazamiento de las personas invidentes o de baja visión en el diseño y construcción de los andenes se aplicará, en lo pertinente, la Norma Técnica Colombiana NTC 5610 “Accesibilidad de las personas al medio físico. Señalización Táctil”. </w:t>
      </w:r>
    </w:p>
    <w:p w14:paraId="7ECAF8F5" w14:textId="485A5F01"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049" w:name="ver_30073073"/>
      <w:bookmarkEnd w:id="1049"/>
    </w:p>
    <w:p w14:paraId="4BBDC4B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2.2.3.5.2.3 Estándares para las ciclorrutas. Para garantizar la seguridad, comodidad y maniobrabilidad de los usuarios de las ciclorrutas, se podrán adoptar los siguientes estándares para la planificación, diseño, construcción y/o adaptación de las ciclorrutas en el perímetro urbano de los municipios o distritos: </w:t>
      </w:r>
    </w:p>
    <w:p w14:paraId="4A30881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2E255A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La ciclorruta hará parte integral del perfil vial de las vías que determine el correspondiente plan de movilidad y en todos los casos su dimensión será independiente a la del andén o la calzada. </w:t>
      </w:r>
    </w:p>
    <w:p w14:paraId="7FFD3D2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11F548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El ancho mínimo de las ciclorrutas será de 1.20 metros por cada sentido. </w:t>
      </w:r>
    </w:p>
    <w:p w14:paraId="19F9F58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54D81B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La ciclorruta debe estar aislada de la calzada vehicular mínimo a 0.60 metros de distancia. Cuando la ciclorruta se proyecte a nivel del andén, se debe garantizar una distancia mínima de 0.60 metros libre de obstáculos sobre la franja de amoblamiento. </w:t>
      </w:r>
    </w:p>
    <w:p w14:paraId="2975B6A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3EDCDF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Se debe mantener la continuidad en las ciclorrutas mediante la instalación de elementos necesarios que superen los cambios de nivel. </w:t>
      </w:r>
    </w:p>
    <w:p w14:paraId="3A3945C0" w14:textId="1B3A276C"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050" w:name="ver_30073075"/>
      <w:bookmarkEnd w:id="1050"/>
    </w:p>
    <w:p w14:paraId="4235A95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2.2.3.5.2.4 Estándares para el carril. Se podrán adoptar los siguientes estándares para la planificación, diseño, construcción y/o adaptación de los carriles de las vías del perímetro urbano de los municipios o distritos: </w:t>
      </w:r>
    </w:p>
    <w:p w14:paraId="1FAD8F1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0568F0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1. En las vías urbanas los anchos de carriles sin transporte público colectivo tendrán una dimensión mínima de 3.00 metros. </w:t>
      </w:r>
    </w:p>
    <w:p w14:paraId="73BA42E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BA4A02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En las vías urbanas los anchos de carriles con transporte público colectivo tendrán una dimensión mínima de 3.20 metros. </w:t>
      </w:r>
    </w:p>
    <w:p w14:paraId="05A1FB0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227E7C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Cuando se planteen carriles de aceleración o desaceleración, la dimensión mínima de estos será de 3.00 metros. Tratándose de pasos urbanos la dimensión mínima será de 3.65 metros. </w:t>
      </w:r>
    </w:p>
    <w:p w14:paraId="3FF2910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7B2C96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Cuando los carriles sean de uso mixto tendrán una dimensión mínima de 3.20 metros. </w:t>
      </w:r>
    </w:p>
    <w:p w14:paraId="00E56B0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C47D9F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 Cuando se contemple carril de estacionamiento paralelo a la vía, su ancho mínimo será de 2.50 metros. En los pasos urbanos no se permitirá carril de estacionamiento paralelo a la vía. </w:t>
      </w:r>
    </w:p>
    <w:p w14:paraId="2A465A4E" w14:textId="3BACABDA"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051" w:name="ver_30073076"/>
      <w:bookmarkEnd w:id="1051"/>
    </w:p>
    <w:p w14:paraId="6803391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2.2.3.5.2.5 Estándares para los cruces peatonales a desnivel. Se podrán adoptar los siguientes estándares para la planificación, diseño, construcción y/o adaptación de los cruces peatonales a desnivel, de las vías del perímetro urbano de los municipios o distritos: </w:t>
      </w:r>
    </w:p>
    <w:p w14:paraId="5EB2815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1180FB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Para el diseño y construcción de los elementos de protección de los cruces a desnivel, puentes y túneles peatonales, se aplicará en lo pertinente la Norma Técnica Colombiana NTC 4201 “Accesibilidad de las personas al medio físico. Edificios. Equipamientos. Bordillos, pasamanos y agarraderas”. </w:t>
      </w:r>
    </w:p>
    <w:p w14:paraId="131EB82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C8C0C5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El Gálibo para puentes peatonales sobre pasos urbanos tendrá una altura mínima de 5.00 metros. </w:t>
      </w:r>
    </w:p>
    <w:p w14:paraId="43C10B0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FCFEE7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El Gálibo para puentes peatonales sobre vías férreas tendrá una altura mínima de 5.50 metros. </w:t>
      </w:r>
    </w:p>
    <w:p w14:paraId="24369D5B" w14:textId="7F3B9903"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052" w:name="ver_30073078"/>
      <w:bookmarkEnd w:id="1052"/>
    </w:p>
    <w:p w14:paraId="5E3F651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2.2.3.5.2.6 Construcción del perfil vial. Con el fin de dar cumplimiento al artículo 3° de la Ley 1083 de 2006, cuando en las vías de la red vial principal se planteen calzadas con más de dos carriles por sentido, la construcción de las calzadas se podrá realizar de conformidad con el programa de ejecución del plan de desarrollo municipal o distrital, el plan de ordenamiento territorial o los instrumentos que lo desarrollen o el plan de movilidad, garantizando en todo caso, que por lo menos se construya en su primera fase una calzada por cada sentido propuesto y la totalidad de los andenes. </w:t>
      </w:r>
    </w:p>
    <w:p w14:paraId="1410A034" w14:textId="5FA027D7" w:rsidR="00D4095E" w:rsidRDefault="00FC79C1" w:rsidP="00A57EE6">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053" w:name="ver_30073079"/>
      <w:bookmarkEnd w:id="1053"/>
    </w:p>
    <w:p w14:paraId="630608A3" w14:textId="77777777" w:rsidR="00287A00" w:rsidRPr="009342F9" w:rsidRDefault="00287A00" w:rsidP="00A57EE6">
      <w:pPr>
        <w:spacing w:after="0" w:line="240" w:lineRule="auto"/>
        <w:jc w:val="both"/>
        <w:rPr>
          <w:rFonts w:ascii="Arial" w:eastAsia="Times New Roman" w:hAnsi="Arial" w:cs="Arial"/>
          <w:b/>
          <w:bCs/>
          <w:color w:val="000000"/>
          <w:lang w:eastAsia="es-CO"/>
        </w:rPr>
      </w:pPr>
    </w:p>
    <w:p w14:paraId="4E075048" w14:textId="4FCA0437" w:rsidR="00FC79C1" w:rsidRPr="009342F9" w:rsidRDefault="00FC79C1" w:rsidP="00D4095E">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TÍTULO 4</w:t>
      </w:r>
    </w:p>
    <w:p w14:paraId="099FAE01" w14:textId="77777777" w:rsidR="00FC79C1" w:rsidRPr="009342F9" w:rsidRDefault="00FC79C1" w:rsidP="00D4095E">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INSTRUMENTOS DE PLANEACIÓN Y GESTIÓN DEL DESARROLLO TERRITORIAL</w:t>
      </w:r>
    </w:p>
    <w:p w14:paraId="2F00F8A5" w14:textId="77777777" w:rsidR="00287A00" w:rsidRDefault="00287A00" w:rsidP="00D4095E">
      <w:pPr>
        <w:spacing w:after="0" w:line="240" w:lineRule="auto"/>
        <w:jc w:val="center"/>
        <w:rPr>
          <w:rFonts w:ascii="Arial" w:eastAsia="Times New Roman" w:hAnsi="Arial" w:cs="Arial"/>
          <w:b/>
          <w:bCs/>
          <w:color w:val="000000"/>
          <w:lang w:eastAsia="es-CO"/>
        </w:rPr>
      </w:pPr>
    </w:p>
    <w:p w14:paraId="4DE319A7" w14:textId="3EFB5BAE" w:rsidR="00FC79C1" w:rsidRPr="009342F9" w:rsidRDefault="00FC79C1" w:rsidP="00D4095E">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CAPÍTULO 1</w:t>
      </w:r>
    </w:p>
    <w:p w14:paraId="1C5C0BD7" w14:textId="77777777" w:rsidR="00FC79C1" w:rsidRPr="009342F9" w:rsidRDefault="00FC79C1" w:rsidP="00D4095E">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PLANES PARCIALES</w:t>
      </w:r>
    </w:p>
    <w:p w14:paraId="123EE75D" w14:textId="77777777" w:rsidR="00FC79C1" w:rsidRPr="009342F9" w:rsidRDefault="00FC79C1" w:rsidP="00D4095E">
      <w:pPr>
        <w:spacing w:after="0" w:line="240" w:lineRule="auto"/>
        <w:jc w:val="center"/>
        <w:rPr>
          <w:rFonts w:ascii="Arial" w:eastAsia="Times New Roman" w:hAnsi="Arial" w:cs="Arial"/>
          <w:b/>
          <w:bCs/>
          <w:color w:val="000000"/>
          <w:lang w:eastAsia="es-CO"/>
        </w:rPr>
      </w:pPr>
      <w:bookmarkStart w:id="1054" w:name="ver_30073081"/>
      <w:bookmarkEnd w:id="1054"/>
    </w:p>
    <w:p w14:paraId="123E8D5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2.2.4.1.1. Las disposiciones contenidas en el presente Capítulo reglamentan, de manera general, el procedimiento para la formulación y adopción de todo tipo de planes parciales y, de manera especial, el contenido de los planes parciales para las áreas sujetas a tratamiento de desarrollo dentro del perímetro urbano y las áreas comprendidas en el suelo de expansión urbana para su incorporación al perímetro urbano, en concordancia con las determinaciones de los planes de ordenamiento territorial y los instrumentos que lo desarrollen o complementen. </w:t>
      </w:r>
    </w:p>
    <w:p w14:paraId="04C1F39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FA9BFCB" w14:textId="77777777" w:rsidR="00FC79C1" w:rsidRPr="009342F9" w:rsidRDefault="00FC79C1" w:rsidP="00FC79C1">
      <w:pPr>
        <w:spacing w:after="0" w:line="240" w:lineRule="auto"/>
        <w:jc w:val="both"/>
        <w:rPr>
          <w:rFonts w:ascii="Arial" w:eastAsia="Times New Roman" w:hAnsi="Arial" w:cs="Arial"/>
          <w:color w:val="000000"/>
          <w:lang w:eastAsia="es-CO"/>
        </w:rPr>
      </w:pPr>
      <w:r w:rsidRPr="231E957E">
        <w:rPr>
          <w:rFonts w:ascii="Arial" w:eastAsia="Times New Roman" w:hAnsi="Arial" w:cs="Arial"/>
          <w:color w:val="000000" w:themeColor="text1"/>
          <w:lang w:eastAsia="es-CO"/>
        </w:rPr>
        <w:lastRenderedPageBreak/>
        <w:t>Parágrafo. Los planes parciales no podrán en ningún caso, modificar la clasificación del suelo, ni las determinaciones y demás normas urbanísticas adoptadas en los planes de ordenamiento territorial. </w:t>
      </w:r>
    </w:p>
    <w:p w14:paraId="648AE104" w14:textId="2B3DE81D" w:rsidR="00D4095E"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055" w:name="ver_30073083"/>
      <w:bookmarkEnd w:id="1055"/>
    </w:p>
    <w:p w14:paraId="017DBA29" w14:textId="4BF8ED5D" w:rsidR="00FC79C1" w:rsidRPr="009342F9" w:rsidRDefault="00FC79C1" w:rsidP="00D4095E">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SECCIÓN 1</w:t>
      </w:r>
    </w:p>
    <w:p w14:paraId="4F5B5AEF" w14:textId="77777777" w:rsidR="00FC79C1" w:rsidRPr="009342F9" w:rsidRDefault="00FC79C1" w:rsidP="00D4095E">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FORMULACIÓN Y ADOPCIÓN DE PLANES PARCIALES</w:t>
      </w:r>
    </w:p>
    <w:p w14:paraId="7EBC6AD3" w14:textId="77777777" w:rsidR="00FC79C1" w:rsidRPr="009342F9" w:rsidRDefault="00FC79C1" w:rsidP="00D4095E">
      <w:pPr>
        <w:spacing w:after="0" w:line="240" w:lineRule="auto"/>
        <w:jc w:val="center"/>
        <w:rPr>
          <w:rFonts w:ascii="Arial" w:eastAsia="Times New Roman" w:hAnsi="Arial" w:cs="Arial"/>
          <w:b/>
          <w:bCs/>
          <w:color w:val="000000"/>
          <w:lang w:eastAsia="es-CO"/>
        </w:rPr>
      </w:pPr>
      <w:bookmarkStart w:id="1056" w:name="ver_30073086"/>
      <w:bookmarkEnd w:id="1056"/>
    </w:p>
    <w:p w14:paraId="1D5B0A7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2.2.4.1.1.1 Iniciativa de los planes parciales. Los proyectos de planes parciales serán elaborados por las autoridades municipales o distritales de planeación, por las comunidades o por los particulares interesados, de acuerdo con los parámetros que al respecto determine el plan de ordenamiento territorial. </w:t>
      </w:r>
    </w:p>
    <w:p w14:paraId="18FF4B41" w14:textId="7B34BA05"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057" w:name="ver_30073088"/>
      <w:bookmarkEnd w:id="1057"/>
    </w:p>
    <w:p w14:paraId="14F6B32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2.2.4.1.1.2 Etapas para la formulación y adopción de los planes parciales. Para la formulación y adopción de los planes parciales se seguirá la siguiente secuencia de tres etapas, conforme con lo dispuesto en los artículos siguientes: </w:t>
      </w:r>
    </w:p>
    <w:p w14:paraId="57440EB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8F5BF7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Etapa de formulación y revisión. </w:t>
      </w:r>
    </w:p>
    <w:p w14:paraId="36BE7C5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4B5D09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Etapa de concertación y consulta. </w:t>
      </w:r>
    </w:p>
    <w:p w14:paraId="0E10957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D42B0D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Etapa de adopción. </w:t>
      </w:r>
    </w:p>
    <w:p w14:paraId="6290B765" w14:textId="58C07C0C"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058" w:name="ver_30073090"/>
      <w:bookmarkEnd w:id="1058"/>
    </w:p>
    <w:p w14:paraId="64D89A8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2.2.4.1.1.3 Determinantes para la formulación. Los interesados podrán optar por solicitar a la oficina de planeación municipal o distrital o la entidad que haga sus veces, que informe sobre las determinantes para la formulación del plan parcial en lo concerniente a la delimitación, las condiciones técnicas y las normas urbanísticas aplicables para la formulación del mismo, de acuerdo con los parámetros que al respecto determine el plan de ordenamiento territorial o el Macroproyecto de Interés Social Nacional, cuando este último así lo prevea. </w:t>
      </w:r>
    </w:p>
    <w:p w14:paraId="64ACD1A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4F4F99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Dicha solicitud de concepto de determinantes para la formulación del plan parcial deberá acompañarse de los siguientes documentos: </w:t>
      </w:r>
    </w:p>
    <w:p w14:paraId="55181FF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98E7E0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Si es persona natural, identificación del propietario o propietarios de los predios que hacen la solicitud. Si es persona jurídica debe acreditar su existencia y representación legal mediante el documento legal idóneo, cuya fecha de expedición no sea superior a un mes. </w:t>
      </w:r>
    </w:p>
    <w:p w14:paraId="0A868B3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697BCA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Poder debidamente otorgado, cuando se actúe mediante apoderado o promotor. </w:t>
      </w:r>
    </w:p>
    <w:p w14:paraId="662D66A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6C7E48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Plancha IGAC o plano georreferenciado disponible en el municipio o distrito que haga sus veces a escala 1:2000 o 1:5000 con la localización del predio o predios objeto de la solicitud e indicando la propuesta de delimitación del plan parcial. </w:t>
      </w:r>
    </w:p>
    <w:p w14:paraId="6D97741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64DC78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La relación e identificación de los predios incluidos en la propuesta de delimitación y sus propietarios, localizándolos sobre el medio cartográfico de que trata el numeral anterior, además de los respectivos certificados de tradición y libertad, cuya fecha de expedición no sea superior a un mes, así como la información catastral disponible de los predios objeto de la solicitud. </w:t>
      </w:r>
    </w:p>
    <w:p w14:paraId="50EDA91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87DBA8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 La factibilidad para extender o ampliar las redes de servicios públicos domiciliarios y las condiciones específicas para su prestación efectiva. </w:t>
      </w:r>
    </w:p>
    <w:p w14:paraId="1A6932E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0D245F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Parágrafo. De conformidad con lo dispuesto en el artículo 37 de la Ley 388 de 1997, corresponderá a los municipios y distritos señalar el procedimiento previo para establecer la factibilidad para la prestación de los servicios públicos domiciliarios. </w:t>
      </w:r>
    </w:p>
    <w:p w14:paraId="1B642C01" w14:textId="2A11D991"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CF8D90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2.2.4.1.1.4 Coordinación interinstitucional. La autoridad de planeación municipal o distrital, dentro de los cinco (5) días hábiles siguientes a la radicación de la solicitud de determinantes para la elaboración del plan parcial, deberá solicitar el pronunciamiento de las autoridades ambientales, con base en los cuales se adelantará la concertación del proyecto de plan parcial. Dentro del mismo término podrá solicitar a las empresas de servicios públicos domiciliarios, a las demás dependencias y entidades municipales o distritales que tengan incidencia o responsabilidad en el desarrollo del plan parcial, la información y conceptos relacionados y necesarios para dar respuesta a la solicitud de determinantes. </w:t>
      </w:r>
    </w:p>
    <w:p w14:paraId="21AC053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F50F70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Las autoridades, dependencias y entidades a que se refiere el inciso anterior, dispondrán de un término de quince (15) días hábiles para remitir la información y los conceptos a la autoridad de planeación municipal o distrital. Durante este término se suspenderá el plazo de que dispone la autoridad de planeación municipal o distrital para responder la solicitud de determinantes. </w:t>
      </w:r>
    </w:p>
    <w:p w14:paraId="4022B96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F2EFAF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Recibida la totalidad de la información y los conceptos requeridos a que se refiere el inciso anterior, la autoridad de planeación municipal o </w:t>
      </w:r>
      <w:proofErr w:type="gramStart"/>
      <w:r w:rsidRPr="009342F9">
        <w:rPr>
          <w:rFonts w:ascii="Arial" w:eastAsia="Times New Roman" w:hAnsi="Arial" w:cs="Arial"/>
          <w:color w:val="000000"/>
          <w:lang w:eastAsia="es-CO"/>
        </w:rPr>
        <w:t>distrital,</w:t>
      </w:r>
      <w:proofErr w:type="gramEnd"/>
      <w:r w:rsidRPr="009342F9">
        <w:rPr>
          <w:rFonts w:ascii="Arial" w:eastAsia="Times New Roman" w:hAnsi="Arial" w:cs="Arial"/>
          <w:color w:val="000000"/>
          <w:lang w:eastAsia="es-CO"/>
        </w:rPr>
        <w:t xml:space="preserve"> dispondrá de un término de quince (15) días para dar respuesta a la solicitud de determinantes para la formulación del respectivo plan parcial, sin perjuicio de la responsabilidad administrativa para los funcionarios que incumplan con los términos previstos en el presente artículo. </w:t>
      </w:r>
    </w:p>
    <w:p w14:paraId="52DF5FA4"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059" w:name="ver_30073092"/>
      <w:bookmarkEnd w:id="1059"/>
    </w:p>
    <w:p w14:paraId="5E65021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2.2.4.1.1.5 Respuesta a la solicitud de determinantes. La oficina de planeación municipal o distrital o la entidad que haga sus </w:t>
      </w:r>
      <w:proofErr w:type="gramStart"/>
      <w:r w:rsidRPr="009342F9">
        <w:rPr>
          <w:rFonts w:ascii="Arial" w:eastAsia="Times New Roman" w:hAnsi="Arial" w:cs="Arial"/>
          <w:color w:val="000000"/>
          <w:lang w:eastAsia="es-CO"/>
        </w:rPr>
        <w:t>veces,</w:t>
      </w:r>
      <w:proofErr w:type="gramEnd"/>
      <w:r w:rsidRPr="009342F9">
        <w:rPr>
          <w:rFonts w:ascii="Arial" w:eastAsia="Times New Roman" w:hAnsi="Arial" w:cs="Arial"/>
          <w:color w:val="000000"/>
          <w:lang w:eastAsia="es-CO"/>
        </w:rPr>
        <w:t xml:space="preserve"> dispondrá de un término máximo de quince (15) días para responder mediante concepto la solicitud de que trata el artículo anterior, el cual incluirá, por lo menos, la siguiente información: </w:t>
      </w:r>
    </w:p>
    <w:p w14:paraId="640E6C0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852EE1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Las normas urbanísticas aplicables para la formulación del plan parcial. </w:t>
      </w:r>
    </w:p>
    <w:p w14:paraId="4084758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49E2E2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La indicación y reglamentación de las áreas de reserva y protección ambiental, las zonas de amenaza y riesgo y las condiciones específicas para su manejo definidas por el plan de ordenamiento territorial y la entidad ambiental competente. </w:t>
      </w:r>
    </w:p>
    <w:p w14:paraId="335CC9F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9BD972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La delimitación de las afectaciones urbanísticas y la indicación y reglamentación de las zonas de reserva para la construcción de las infraestructuras primarias viales, de transporte, las redes matrices de servicios públicos, así como los espacios públicos de carácter estructural. </w:t>
      </w:r>
    </w:p>
    <w:p w14:paraId="495C550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637180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Las áreas o inmuebles declarados como bienes de interés cultural y las condiciones para su manejo. </w:t>
      </w:r>
    </w:p>
    <w:p w14:paraId="3AA0C11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41D855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 La delimitación del área de planificación del plan parcial de acuerdo con lo previsto en este capítulo. </w:t>
      </w:r>
    </w:p>
    <w:p w14:paraId="3B908A6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31B908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El concepto sobre las determinantes del plan parcial emitido por la oficina de planeación municipal o distrital o la entidad que haga sus veces servirán de base para la formulación del proyecto de plan parcial y no otorga derechos ni obligaciones a su peticionario. </w:t>
      </w:r>
    </w:p>
    <w:p w14:paraId="65A51D84" w14:textId="5BFA37E5"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060" w:name="ver_30073093"/>
      <w:bookmarkEnd w:id="1060"/>
    </w:p>
    <w:p w14:paraId="0A6A37D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2.2.4.1.1.6 Determinantes ambientales para la formulación del plan parcial. De conformidad con lo dispuesto en el artículo 80 de la Ley 1151 de 2007, La autoridad de planeación </w:t>
      </w:r>
      <w:r w:rsidRPr="009342F9">
        <w:rPr>
          <w:rFonts w:ascii="Arial" w:eastAsia="Times New Roman" w:hAnsi="Arial" w:cs="Arial"/>
          <w:color w:val="000000"/>
          <w:lang w:eastAsia="es-CO"/>
        </w:rPr>
        <w:lastRenderedPageBreak/>
        <w:t>municipal o distrital deberá solicitar el pronunciamiento de las autoridades ambientales competentes sobre las siguientes determinantes ambientales, con base en las cuales se adelantará la concertación ambiental: </w:t>
      </w:r>
    </w:p>
    <w:p w14:paraId="27ECA8E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D18FE3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Los elementos que por sus valores naturales, ambientales o paisajísticos deban ser conservados y las medidas específicas de protección para evitar su alteración o destrucción con la ejecución de la actuación u operación urbana. </w:t>
      </w:r>
    </w:p>
    <w:p w14:paraId="02DE2CD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06B4DA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Las características geológicas, geotécnicas, topográficas y ambientales del área objeto de la solicitud. </w:t>
      </w:r>
    </w:p>
    <w:p w14:paraId="4F8E20A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A87D7F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Las áreas de conservación y protección ambiental incluidas y las condiciones específicas para su manejo. </w:t>
      </w:r>
    </w:p>
    <w:p w14:paraId="687455F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213235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La factibilidad, cantidad y calidad del recurso hídrico y las condiciones para el manejo integral de vertimientos líquidos y de residuos sólidos y peligrosos. (Numeral modificado por Decreto 1478 de 2013, artículo 2°). </w:t>
      </w:r>
    </w:p>
    <w:p w14:paraId="433FEAC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61E4E7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El interesado podrá aportar los estudios y documentos que resulten necesarios para sustentar la formulación del proyecto de plan parcial en relación con las determinantes ambientales de que trata este artículo. </w:t>
      </w:r>
    </w:p>
    <w:p w14:paraId="172B1F56" w14:textId="7D9517F3"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061" w:name="ver_30073094"/>
      <w:bookmarkEnd w:id="1061"/>
    </w:p>
    <w:p w14:paraId="6C5DD43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2.2.4.1.1.7 Formulación y radicación del proyecto de plan parcial. La formulación consiste en la elaboración de la propuesta completa del plan parcial desarrollada conforme con lo establecido en el presente capítulo. </w:t>
      </w:r>
    </w:p>
    <w:p w14:paraId="66A462F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B75246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Los proyectos de planes parciales se radicarán en la oficina de planeación municipal o distrital o la dependencia que haga sus veces anexando además de los documentos exigidos en los numerales 1 y 2 del artículo 2.2.4.1.1.3 del presente decreto, los documentos que se señalan a continuación, sin perjuicio de que para la elaboración de planes parciales en tratamiento de desarrollo se tenga en cuenta lo dispuesto en la sección 4 del presente capítulo. </w:t>
      </w:r>
    </w:p>
    <w:p w14:paraId="68023D4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8F515D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Documento Técnico de Soporte que contendrá como mínimo: </w:t>
      </w:r>
    </w:p>
    <w:p w14:paraId="2D54E06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C30D74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1.1 Memoria justificativa del plan parcial y sus condiciones de partida y criterios de diseño, donde se expliquen las condiciones evaluadas en la fase de diagnóstico, la pertinencia y procedencia del plan parcial, así como los objetivos y criterios que orientaron las determinaciones de planificación adoptadas en la formulación </w:t>
      </w:r>
      <w:proofErr w:type="gramStart"/>
      <w:r w:rsidRPr="009342F9">
        <w:rPr>
          <w:rFonts w:ascii="Arial" w:eastAsia="Times New Roman" w:hAnsi="Arial" w:cs="Arial"/>
          <w:color w:val="000000"/>
          <w:lang w:eastAsia="es-CO"/>
        </w:rPr>
        <w:t>del mismo</w:t>
      </w:r>
      <w:proofErr w:type="gramEnd"/>
      <w:r w:rsidRPr="009342F9">
        <w:rPr>
          <w:rFonts w:ascii="Arial" w:eastAsia="Times New Roman" w:hAnsi="Arial" w:cs="Arial"/>
          <w:color w:val="000000"/>
          <w:lang w:eastAsia="es-CO"/>
        </w:rPr>
        <w:t>. </w:t>
      </w:r>
    </w:p>
    <w:p w14:paraId="68C0C50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6532A0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1.2 Presentación del planteamiento urbanístico proyectado con la definición de los sistemas del espacio público y los espacios privados. </w:t>
      </w:r>
    </w:p>
    <w:p w14:paraId="7F8141B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CC3C3A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1.3 Presentación de la estrategia de gestión y financiación y de los instrumentos legales aplicables para el efecto. </w:t>
      </w:r>
    </w:p>
    <w:p w14:paraId="1D35CF5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45FDEC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1.4 Cuantificación general de la edificabilidad total, según uso o destino y cuantificación financiera de la intervención. </w:t>
      </w:r>
    </w:p>
    <w:p w14:paraId="5CF2252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089019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Cartografía en escalas 1:2000 o 1:5000 que incluya como mínimo: </w:t>
      </w:r>
    </w:p>
    <w:p w14:paraId="330FF52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63D6C9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2.2 Planos del diagnóstico. </w:t>
      </w:r>
    </w:p>
    <w:p w14:paraId="7D7C450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w:t>
      </w:r>
    </w:p>
    <w:p w14:paraId="2372269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2.2.1 Plano topográfico del área de planificación, señalando los predios con sus Folios de Matrícula Inmobiliaria. </w:t>
      </w:r>
    </w:p>
    <w:p w14:paraId="6D40510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771DE1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2.2.2 Plano de localización de los sistemas generales o estructurantes proyectados y existentes. </w:t>
      </w:r>
    </w:p>
    <w:p w14:paraId="4661590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FA1C22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2.3 Planos normativos de la formulación: </w:t>
      </w:r>
    </w:p>
    <w:p w14:paraId="1BA3279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D33A81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2.3.1 Plano general de la propuesta urbana o planteamiento urbanístico. </w:t>
      </w:r>
    </w:p>
    <w:p w14:paraId="21C5914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363B08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2.3.2 Plano de la </w:t>
      </w:r>
      <w:proofErr w:type="gramStart"/>
      <w:r w:rsidRPr="009342F9">
        <w:rPr>
          <w:rFonts w:ascii="Arial" w:eastAsia="Times New Roman" w:hAnsi="Arial" w:cs="Arial"/>
          <w:color w:val="000000"/>
          <w:lang w:eastAsia="es-CO"/>
        </w:rPr>
        <w:t>red vial y perfiles viales</w:t>
      </w:r>
      <w:proofErr w:type="gramEnd"/>
      <w:r w:rsidRPr="009342F9">
        <w:rPr>
          <w:rFonts w:ascii="Arial" w:eastAsia="Times New Roman" w:hAnsi="Arial" w:cs="Arial"/>
          <w:color w:val="000000"/>
          <w:lang w:eastAsia="es-CO"/>
        </w:rPr>
        <w:t>. </w:t>
      </w:r>
    </w:p>
    <w:p w14:paraId="1278136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38DCAB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2.3.3 Plano de espacio público y de la localización de equipamientos. </w:t>
      </w:r>
    </w:p>
    <w:p w14:paraId="11A57B1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470AB5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2.3.4 Plano del trazado de las redes de servicios públicos. </w:t>
      </w:r>
    </w:p>
    <w:p w14:paraId="416A6EC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B29261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2.3.5 Plano de usos y aprovechamientos. </w:t>
      </w:r>
    </w:p>
    <w:p w14:paraId="64A6C04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C2B5D0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2.3.6 Plano de asignación de cargas urbanísticas. </w:t>
      </w:r>
    </w:p>
    <w:p w14:paraId="569CAB5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365DB5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2.3.7 Plano del proyecto de delimitación de las unidades de actuación urbanística y/o de gestión. </w:t>
      </w:r>
    </w:p>
    <w:p w14:paraId="059C249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234B77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2.3.8 Plano de localización de las etapas de desarrollo previstas. </w:t>
      </w:r>
    </w:p>
    <w:p w14:paraId="4B6ECDF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4E1052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2.3.9 Plano de delimitación de las zonas o subzonas beneficiarias de las acciones urbanísticas que permitan determinar el efecto de plusvalía, cuando a ello hubiere lugar. </w:t>
      </w:r>
    </w:p>
    <w:p w14:paraId="778F836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7B014C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La propuesta del proyecto de decreto que adopta el plan parcial con sus normas urbanísticas. </w:t>
      </w:r>
    </w:p>
    <w:p w14:paraId="1918F4F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D7ACB8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El proyecto de delimitación del área de planificación del plan parcial. </w:t>
      </w:r>
    </w:p>
    <w:p w14:paraId="1ADEB01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C1554A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 El proyecto de delimitación de las unidades de actuación urbanística. </w:t>
      </w:r>
    </w:p>
    <w:p w14:paraId="095DEB7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31E97F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6. La factibilidad para extender o ampliar las redes de servicios públicos y las condiciones específicas para su prestación efectiva. </w:t>
      </w:r>
    </w:p>
    <w:p w14:paraId="7BD49234" w14:textId="50A38DC0"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062" w:name="ver_30073095"/>
      <w:bookmarkEnd w:id="1062"/>
    </w:p>
    <w:p w14:paraId="24F9DF8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2.2.4.1.1.8 Información pública, citación a propietarios y vecinos. Radicado el proyecto de plan parcial, la oficina de planeación municipal o distrital o la entidad que haga sus veces convocará a los propietarios y vecinos colindantes en los términos del Capítulo V del Título III de la Parte Primera del Código de Procedimiento Administrativo y de lo Contencioso Administrativo, para que conozcan la propuesta y expresen sus recomendaciones y observaciones. </w:t>
      </w:r>
    </w:p>
    <w:p w14:paraId="2100599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578D34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 respuesta a las recomendaciones y observaciones se realizará en el acto que resuelva sobre la viabilidad de la propuesta de plan parcial. </w:t>
      </w:r>
    </w:p>
    <w:p w14:paraId="5C3BDEF5" w14:textId="35248DAF"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063" w:name="ver_30073097"/>
      <w:bookmarkEnd w:id="1063"/>
    </w:p>
    <w:p w14:paraId="7FE532D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2.2.4.1.1.9 Revisión del proyecto de plan parcial. La oficina de planeación municipal o distrital o la dependencia que haga sus veces revisará el proyecto de plan parcial con el fin de verificar el cumplimiento de las normas urbanísticas tenidas en cuenta para la formulación del plan y pronunciarse sobre su viabilidad, para lo cual contará con treinta (30) días hábiles, contados a partir de la fecha de radicación del proyecto, prorrogables por treinta (30) días hábiles </w:t>
      </w:r>
      <w:r w:rsidRPr="009342F9">
        <w:rPr>
          <w:rFonts w:ascii="Arial" w:eastAsia="Times New Roman" w:hAnsi="Arial" w:cs="Arial"/>
          <w:color w:val="000000"/>
          <w:lang w:eastAsia="es-CO"/>
        </w:rPr>
        <w:lastRenderedPageBreak/>
        <w:t>más por una sola vez, so pena que se entienda aprobado en los términos en que fue presentado mediante la aplicación del silencio administrativo positivo. </w:t>
      </w:r>
    </w:p>
    <w:p w14:paraId="16DD74F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8DE285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Durante este término se podrá requerir a los solicitantes por una sola vez, de conformidad con lo dispuesto en el artículo 17 del Código de Procedimiento Administrativo y de lo Contencioso Administrativo, para que lleven a cabo las actualizaciones, correcciones o aclaraciones que deban realizar al proyecto y/o aporten la información técnica adicional que sea necesaria para expedir el concepto sobre su viabilidad. </w:t>
      </w:r>
    </w:p>
    <w:p w14:paraId="0DBE52F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980D06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Una vez que la oficina de planeación municipal o distrital, o la dependencia que haga sus veces, apruebe el proyecto de plan parcial, mediante acto administrativo u ocurra el silencio administrativo, éste se someterá a consideración de la autoridad ambiental competente, cuando se requiera según lo previsto en el presente capítulo, a efectos de que conjuntamente con el municipio o distrito acuerden los asuntos exclusivamente ambientales, para lo cual dispondrán de quince (15) días hábiles prorrogables por un término igual. </w:t>
      </w:r>
    </w:p>
    <w:p w14:paraId="3DC6D12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F51F28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El acto administrativo mediante el cual se expida el concepto favorable de viabilidad indicará que sobre los predios incluidos en el proyecto de plan parcial sobre el cual se rinde el concepto no se podrán adelantar otros proyectos de planes parciales, salvo que de manera concertada entre todos los interesados se redelimite la propuesta de plan parcial, en cuyo caso deberá radicarse la nueva propuesta de formulación. </w:t>
      </w:r>
    </w:p>
    <w:p w14:paraId="55D1CB1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C69AF2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1°. Durante la revisión de los proyectos de plan parcial en los que no se haya solicitado el concepto definición de determinantes para su formulación, la oficina de planeación municipal o distrital o la dependencia que haga sus veces aprobará el proyecto de delimitación del plan parcial o lo ajustará con sujeción a los parámetros que se establecen en el presente capítulo. </w:t>
      </w:r>
    </w:p>
    <w:p w14:paraId="2D70B3D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7B14A0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2°. La invocación del silencio administrativo positivo se someterá al procedimiento previsto en el Código de Procedimiento Administrativo y de lo Contencioso Administrativo. </w:t>
      </w:r>
    </w:p>
    <w:p w14:paraId="4772BEF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8151FAA" w14:textId="77777777" w:rsidR="00FC79C1" w:rsidRPr="009342F9" w:rsidRDefault="00FC79C1" w:rsidP="00FC79C1">
      <w:pPr>
        <w:spacing w:after="0" w:line="240" w:lineRule="auto"/>
        <w:jc w:val="both"/>
        <w:rPr>
          <w:rFonts w:ascii="Arial" w:eastAsia="Times New Roman" w:hAnsi="Arial" w:cs="Arial"/>
          <w:color w:val="000000"/>
          <w:lang w:eastAsia="es-CO"/>
        </w:rPr>
      </w:pPr>
      <w:r w:rsidRPr="231E957E">
        <w:rPr>
          <w:rFonts w:ascii="Arial" w:eastAsia="Times New Roman" w:hAnsi="Arial" w:cs="Arial"/>
          <w:color w:val="000000" w:themeColor="text1"/>
          <w:lang w:eastAsia="es-CO"/>
        </w:rPr>
        <w:t>Parágrafo 3°. En caso de rendirse concepto desfavorable procederán los recursos contra los actos administrativos de que trata el artículo 74 del Código de Procedimiento Administrativo y de lo Contencioso Administrativo. </w:t>
      </w:r>
    </w:p>
    <w:p w14:paraId="1CB3CAAB" w14:textId="0D1CF46D" w:rsidR="00287A00" w:rsidRPr="009342F9" w:rsidRDefault="00FC79C1" w:rsidP="00FC79C1">
      <w:pPr>
        <w:spacing w:after="0" w:line="240" w:lineRule="auto"/>
        <w:jc w:val="both"/>
        <w:rPr>
          <w:rFonts w:ascii="Arial" w:eastAsia="Times New Roman" w:hAnsi="Arial" w:cs="Arial"/>
          <w:color w:val="000000"/>
          <w:lang w:eastAsia="es-CO"/>
        </w:rPr>
      </w:pPr>
      <w:r w:rsidRPr="231E957E">
        <w:rPr>
          <w:rFonts w:ascii="Arial" w:eastAsia="Times New Roman" w:hAnsi="Arial" w:cs="Arial"/>
          <w:color w:val="000000" w:themeColor="text1"/>
          <w:lang w:eastAsia="es-CO"/>
        </w:rPr>
        <w:t>  </w:t>
      </w:r>
    </w:p>
    <w:p w14:paraId="5EC90025" w14:textId="2AD9AA4D" w:rsidR="00FC79C1" w:rsidRPr="009342F9" w:rsidRDefault="00FC79C1" w:rsidP="00106C26">
      <w:pPr>
        <w:spacing w:after="0" w:line="240" w:lineRule="auto"/>
        <w:jc w:val="center"/>
        <w:rPr>
          <w:rFonts w:ascii="Arial" w:eastAsia="Times New Roman" w:hAnsi="Arial" w:cs="Arial"/>
          <w:b/>
          <w:bCs/>
          <w:color w:val="000000"/>
          <w:lang w:eastAsia="es-CO"/>
        </w:rPr>
      </w:pPr>
      <w:bookmarkStart w:id="1064" w:name="ver_30073098"/>
      <w:bookmarkEnd w:id="1064"/>
      <w:r w:rsidRPr="231E957E">
        <w:rPr>
          <w:rFonts w:ascii="Arial" w:eastAsia="Times New Roman" w:hAnsi="Arial" w:cs="Arial"/>
          <w:b/>
          <w:color w:val="000000" w:themeColor="text1"/>
          <w:lang w:eastAsia="es-CO"/>
        </w:rPr>
        <w:t>SECCIÓN 2</w:t>
      </w:r>
    </w:p>
    <w:p w14:paraId="60176CB2" w14:textId="77777777" w:rsidR="00FC79C1" w:rsidRPr="009342F9" w:rsidRDefault="00FC79C1" w:rsidP="00D4095E">
      <w:pPr>
        <w:spacing w:after="0" w:line="240" w:lineRule="auto"/>
        <w:jc w:val="center"/>
        <w:rPr>
          <w:rFonts w:ascii="Arial" w:eastAsia="Times New Roman" w:hAnsi="Arial" w:cs="Arial"/>
          <w:b/>
          <w:bCs/>
          <w:color w:val="000000"/>
          <w:lang w:eastAsia="es-CO"/>
        </w:rPr>
      </w:pPr>
      <w:r w:rsidRPr="231E957E">
        <w:rPr>
          <w:rFonts w:ascii="Arial" w:eastAsia="Times New Roman" w:hAnsi="Arial" w:cs="Arial"/>
          <w:b/>
          <w:color w:val="000000" w:themeColor="text1"/>
          <w:lang w:eastAsia="es-CO"/>
        </w:rPr>
        <w:t>ETAPA DE CONCERTACIÓN Y CONSULTA</w:t>
      </w:r>
    </w:p>
    <w:p w14:paraId="7DB1E005"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065" w:name="ver_30073099"/>
      <w:bookmarkEnd w:id="1065"/>
    </w:p>
    <w:p w14:paraId="2BEC2D9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2.2.4.1.2.1 Planes parciales objeto de concertación con la autoridad ambiental. Serán objeto de concertación con la autoridad ambiental respectiva los planes parciales que presenten alguna de las siguientes situaciones: </w:t>
      </w:r>
    </w:p>
    <w:p w14:paraId="1E9D7A1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A61400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Los que contemplen proyectos, obras o actividades que requieran licencia ambiental de acuerdo con lo dispuesto en el decreto único del sector ambiente y desarrollo sostenible sobre licenciamiento ambiental o la norma que lo adicione, modifique o sustituya. </w:t>
      </w:r>
    </w:p>
    <w:p w14:paraId="1FE1786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7D4BB9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Los planes parciales que precisen la delimitación de los suelos de protección y/o colinden con ecosistemas tales como parques naturales, reservas forestales, distritos de manejo integrado, distritos de conservación de suelo o zonas costeras. </w:t>
      </w:r>
    </w:p>
    <w:p w14:paraId="272C93B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42B14B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3. Los que incluyan o colinden con áreas de amenaza y riesgo, identificadas por el plan de ordenamiento territorial, reglamentaciones o estudios técnicos posteriores relacionadas con las mismas. </w:t>
      </w:r>
    </w:p>
    <w:p w14:paraId="33C59BE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EFA990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Los que se desarrollen en suelo de expansión urbana. </w:t>
      </w:r>
    </w:p>
    <w:p w14:paraId="0A6991B5" w14:textId="4BD3F59B"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066" w:name="ver_30073102"/>
      <w:bookmarkEnd w:id="1066"/>
    </w:p>
    <w:p w14:paraId="0F0771F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2.2.4.1.2.2 Concertación con la autoridad ambiental y documentos requeridos para ello. Expedido el concepto de viabilidad por parte de la oficina de planeación municipal o distrital o la dependencia que haga sus veces, ésta lo someterá a consideración de la autoridad ambiental correspondiente, a efectos de que </w:t>
      </w:r>
      <w:proofErr w:type="gramStart"/>
      <w:r w:rsidRPr="009342F9">
        <w:rPr>
          <w:rFonts w:ascii="Arial" w:eastAsia="Times New Roman" w:hAnsi="Arial" w:cs="Arial"/>
          <w:color w:val="000000"/>
          <w:lang w:eastAsia="es-CO"/>
        </w:rPr>
        <w:t>conjuntamente con</w:t>
      </w:r>
      <w:proofErr w:type="gramEnd"/>
      <w:r w:rsidRPr="009342F9">
        <w:rPr>
          <w:rFonts w:ascii="Arial" w:eastAsia="Times New Roman" w:hAnsi="Arial" w:cs="Arial"/>
          <w:color w:val="000000"/>
          <w:lang w:eastAsia="es-CO"/>
        </w:rPr>
        <w:t xml:space="preserve"> el municipio o distrito adelanten la concertación de los asuntos exclusivamente ambientales, si esta se requiere de acuerdo con lo dispuesto en el artículo anterior. El proyecto de plan parcial se radicará con los documentos de que tratan los numerales 1, 2 y 5 del artículo 2.2.4.1.1.7 del presente decreto, ante la autoridad ambiental de conformidad con los términos en que se expidió el concepto de viabilidad. </w:t>
      </w:r>
    </w:p>
    <w:p w14:paraId="2BAD01A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72632F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 autoridad ambiental sólo podrá presentar observaciones de carácter exclusivamente ambiental en relación con el ordenamiento territorial, las cuales deben estar técnicamente y con base en la normativa ambiental vigente; y no podrá exigir la entrega de información adicional a la radicada con el proyecto de plan parcial en la oficina de planeación o la que haga sus veces, salvo que se trate de información que pueda suministrar la oficina de planeación municipal o distrital en relación con las condiciones ambientales propias de la escala de planificación del plan parcial. Las observaciones de la autoridad ambiental podrán ser objetadas por las autoridades municipales y distritales, a través del recurso de reposición de que trata el siguiente parágrafo. </w:t>
      </w:r>
    </w:p>
    <w:p w14:paraId="7F7E4E3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B8BE3C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Parágrafo. La concertación culminará con </w:t>
      </w:r>
      <w:proofErr w:type="gramStart"/>
      <w:r w:rsidRPr="009342F9">
        <w:rPr>
          <w:rFonts w:ascii="Arial" w:eastAsia="Times New Roman" w:hAnsi="Arial" w:cs="Arial"/>
          <w:color w:val="000000"/>
          <w:lang w:eastAsia="es-CO"/>
        </w:rPr>
        <w:t>una acto administrativo</w:t>
      </w:r>
      <w:proofErr w:type="gramEnd"/>
      <w:r w:rsidRPr="009342F9">
        <w:rPr>
          <w:rFonts w:ascii="Arial" w:eastAsia="Times New Roman" w:hAnsi="Arial" w:cs="Arial"/>
          <w:color w:val="000000"/>
          <w:lang w:eastAsia="es-CO"/>
        </w:rPr>
        <w:t>, que hará parte integral de los documentos constitutivos del plan parcial, y contra el cual procederá el recurso de reposición en los términos de que trata el Código de Procedimiento Administrativo y de lo Contencioso Administrativo. La autoridad ambiental no podrá desconocer los actos administrativos previos que sustentan los trámites de concertación sometidos a su consideración. </w:t>
      </w:r>
    </w:p>
    <w:p w14:paraId="2F43F9C0" w14:textId="376565CB"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067" w:name="ver_30125146"/>
      <w:bookmarkStart w:id="1068" w:name="ver_30125145"/>
      <w:bookmarkEnd w:id="1067"/>
    </w:p>
    <w:p w14:paraId="5DD0F42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2.2.4.1.2.3. Términos para la concertación con la autoridad ambiental. La autoridad de planeación municipal o distrital y la autoridad ambiental competente dispondrán de un término de quince (15) días hábiles, contados a partir del día siguiente de la radicación del proyecto de plan parcial ante la autoridad ambiental, para adelantar el proceso de concertación </w:t>
      </w:r>
      <w:proofErr w:type="gramStart"/>
      <w:r w:rsidRPr="009342F9">
        <w:rPr>
          <w:rFonts w:ascii="Arial" w:eastAsia="Times New Roman" w:hAnsi="Arial" w:cs="Arial"/>
          <w:color w:val="000000"/>
          <w:lang w:eastAsia="es-CO"/>
        </w:rPr>
        <w:t>del mismo</w:t>
      </w:r>
      <w:proofErr w:type="gramEnd"/>
      <w:r w:rsidRPr="009342F9">
        <w:rPr>
          <w:rFonts w:ascii="Arial" w:eastAsia="Times New Roman" w:hAnsi="Arial" w:cs="Arial"/>
          <w:color w:val="000000"/>
          <w:lang w:eastAsia="es-CO"/>
        </w:rPr>
        <w:t xml:space="preserve"> y adoptar las decisiones correspondientes relacionadas con los asuntos exclusivamente ambientales.  </w:t>
      </w:r>
    </w:p>
    <w:p w14:paraId="34330E8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5C117C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 autoridad ambiental competente en el proceso de concertación analizará, revisará y verificará que las determinantes ambientales se encuentren debidamente definidas e incorporadas en el proyecto de plan parcial.  </w:t>
      </w:r>
    </w:p>
    <w:p w14:paraId="7BB9F2C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7A2983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Los resultados de este proceso se consignarán en un acta que deberá ser suscrita por los representantes legales o delegados de la autoridad ambiental y de la autoridad de planeación municipal o distrital.  </w:t>
      </w:r>
    </w:p>
    <w:p w14:paraId="23B5BE76" w14:textId="77777777" w:rsidR="00FC79C1" w:rsidRPr="009342F9" w:rsidRDefault="00FC79C1" w:rsidP="00FC79C1">
      <w:pPr>
        <w:spacing w:after="0" w:line="240" w:lineRule="auto"/>
        <w:jc w:val="both"/>
        <w:rPr>
          <w:rFonts w:ascii="Arial" w:eastAsia="Times New Roman" w:hAnsi="Arial" w:cs="Arial"/>
          <w:color w:val="000000"/>
          <w:lang w:eastAsia="es-CO"/>
        </w:rPr>
      </w:pPr>
      <w:r w:rsidRPr="231E957E">
        <w:rPr>
          <w:rFonts w:ascii="Arial" w:eastAsia="Times New Roman" w:hAnsi="Arial" w:cs="Arial"/>
          <w:color w:val="000000" w:themeColor="text1"/>
          <w:lang w:eastAsia="es-CO"/>
        </w:rPr>
        <w:t>  </w:t>
      </w:r>
    </w:p>
    <w:p w14:paraId="7C939962" w14:textId="77777777" w:rsidR="005C5EEB" w:rsidRDefault="00FC79C1" w:rsidP="00D4095E">
      <w:pPr>
        <w:spacing w:after="0" w:line="240" w:lineRule="auto"/>
        <w:jc w:val="center"/>
        <w:rPr>
          <w:rFonts w:ascii="Arial" w:eastAsia="Times New Roman" w:hAnsi="Arial" w:cs="Arial"/>
          <w:b/>
          <w:bCs/>
          <w:color w:val="000000"/>
          <w:lang w:eastAsia="es-CO"/>
        </w:rPr>
      </w:pPr>
      <w:bookmarkStart w:id="1069" w:name="ver_30073114"/>
      <w:bookmarkEnd w:id="1068"/>
      <w:bookmarkEnd w:id="1069"/>
      <w:r w:rsidRPr="231E957E">
        <w:rPr>
          <w:rFonts w:ascii="Arial" w:eastAsia="Times New Roman" w:hAnsi="Arial" w:cs="Arial"/>
          <w:b/>
          <w:color w:val="000000" w:themeColor="text1"/>
          <w:lang w:eastAsia="es-CO"/>
        </w:rPr>
        <w:t>SECCIÓN 3</w:t>
      </w:r>
    </w:p>
    <w:p w14:paraId="60554841" w14:textId="77777777" w:rsidR="00FC79C1" w:rsidRPr="009342F9" w:rsidRDefault="00FC79C1" w:rsidP="00D4095E">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ETAPA DE ADOPCIÓN</w:t>
      </w:r>
    </w:p>
    <w:p w14:paraId="42C1D88E" w14:textId="77777777" w:rsidR="00FC79C1" w:rsidRPr="009342F9" w:rsidRDefault="00FC79C1" w:rsidP="00D4095E">
      <w:pPr>
        <w:spacing w:after="0" w:line="240" w:lineRule="auto"/>
        <w:jc w:val="center"/>
        <w:rPr>
          <w:rFonts w:ascii="Arial" w:eastAsia="Times New Roman" w:hAnsi="Arial" w:cs="Arial"/>
          <w:b/>
          <w:bCs/>
          <w:color w:val="000000"/>
          <w:lang w:eastAsia="es-CO"/>
        </w:rPr>
      </w:pPr>
      <w:bookmarkStart w:id="1070" w:name="ver_30073116"/>
      <w:bookmarkEnd w:id="1070"/>
    </w:p>
    <w:p w14:paraId="219D8B7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2.2.4.1.3.1 Expedición del decreto de adopción del plan parcial. Una vez surtidas las etapas previstas en los artículos precedentes y dentro de los quince (15) días hábiles siguientes a la aprobación del proyecto de plan parcial, mediante acto administrativo expreso o ficto o la </w:t>
      </w:r>
      <w:r w:rsidRPr="009342F9">
        <w:rPr>
          <w:rFonts w:ascii="Arial" w:eastAsia="Times New Roman" w:hAnsi="Arial" w:cs="Arial"/>
          <w:color w:val="000000"/>
          <w:lang w:eastAsia="es-CO"/>
        </w:rPr>
        <w:lastRenderedPageBreak/>
        <w:t>concertación ambiental, cuando sea el caso, de acuerdo con lo previsto en el artículo 2.2.4.1.2.1 del presente decreto, el alcalde municipal o distrital lo adoptará mediante decreto. </w:t>
      </w:r>
    </w:p>
    <w:p w14:paraId="33FD145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F018CC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El ajuste de planes parciales, en caso de requerirse, se efectuará teniendo en cuenta únicamente las instancias o autoridades a cuyo cargo se encuentren los asuntos objeto del ajuste necesario para el desarrollo del respectivo plan. La solicitud de determinantes únicamente se podrá circunscribir a los aspectos sobre los cuales se solicite de manera expresa y escrita la modificación, y se sustentarán en la misma reglamentación con que fue aprobado el plan parcial, salvo que los interesados manifiesten lo contrario. </w:t>
      </w:r>
    </w:p>
    <w:p w14:paraId="553179C4" w14:textId="531FA077" w:rsidR="00D4095E" w:rsidRPr="009342F9" w:rsidRDefault="00FC79C1" w:rsidP="00FC79C1">
      <w:pPr>
        <w:spacing w:after="0" w:line="240" w:lineRule="auto"/>
        <w:jc w:val="both"/>
        <w:rPr>
          <w:rFonts w:ascii="Arial" w:eastAsia="Times New Roman" w:hAnsi="Arial" w:cs="Arial"/>
          <w:color w:val="000000"/>
          <w:lang w:eastAsia="es-CO"/>
        </w:rPr>
      </w:pPr>
      <w:r w:rsidRPr="231E957E">
        <w:rPr>
          <w:rFonts w:ascii="Arial" w:eastAsia="Times New Roman" w:hAnsi="Arial" w:cs="Arial"/>
          <w:color w:val="000000" w:themeColor="text1"/>
          <w:lang w:eastAsia="es-CO"/>
        </w:rPr>
        <w:t>  </w:t>
      </w:r>
      <w:bookmarkStart w:id="1071" w:name="ver_30073117"/>
      <w:bookmarkEnd w:id="1071"/>
    </w:p>
    <w:p w14:paraId="3E7A1F4D" w14:textId="6E0FB259" w:rsidR="005C5EEB" w:rsidRDefault="00FC79C1" w:rsidP="00D4095E">
      <w:pPr>
        <w:spacing w:after="0" w:line="240" w:lineRule="auto"/>
        <w:jc w:val="center"/>
        <w:rPr>
          <w:rFonts w:ascii="Arial" w:eastAsia="Times New Roman" w:hAnsi="Arial" w:cs="Arial"/>
          <w:b/>
          <w:bCs/>
          <w:color w:val="000000"/>
          <w:lang w:eastAsia="es-CO"/>
        </w:rPr>
      </w:pPr>
      <w:r w:rsidRPr="231E957E">
        <w:rPr>
          <w:rFonts w:ascii="Arial" w:eastAsia="Times New Roman" w:hAnsi="Arial" w:cs="Arial"/>
          <w:b/>
          <w:color w:val="000000" w:themeColor="text1"/>
          <w:lang w:eastAsia="es-CO"/>
        </w:rPr>
        <w:t>SECCIÓN 4</w:t>
      </w:r>
    </w:p>
    <w:p w14:paraId="256CF72A" w14:textId="77777777" w:rsidR="00FC79C1" w:rsidRPr="009342F9" w:rsidRDefault="00FC79C1" w:rsidP="00D4095E">
      <w:pPr>
        <w:spacing w:after="0" w:line="240" w:lineRule="auto"/>
        <w:jc w:val="center"/>
        <w:rPr>
          <w:rFonts w:ascii="Arial" w:eastAsia="Times New Roman" w:hAnsi="Arial" w:cs="Arial"/>
          <w:b/>
          <w:bCs/>
          <w:color w:val="000000"/>
          <w:lang w:eastAsia="es-CO"/>
        </w:rPr>
      </w:pPr>
      <w:r w:rsidRPr="231E957E">
        <w:rPr>
          <w:rFonts w:ascii="Arial" w:eastAsia="Times New Roman" w:hAnsi="Arial" w:cs="Arial"/>
          <w:b/>
          <w:color w:val="000000" w:themeColor="text1"/>
          <w:lang w:eastAsia="es-CO"/>
        </w:rPr>
        <w:t>CONTENIDO DE LOS PLANES PARCIALES PARA LAS ÁREAS SUJETAS A TRATAMIENTO DE DESARROLLO DENTRO DEL PERÍMETRO URBANO Y LAS ÁREAS COMPRENDIDAS EN EL SUELO DE EXPANSIÓN</w:t>
      </w:r>
    </w:p>
    <w:p w14:paraId="6052C2A6"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072" w:name="ver_30073118"/>
      <w:bookmarkEnd w:id="1072"/>
    </w:p>
    <w:p w14:paraId="62024394" w14:textId="77777777" w:rsidR="00FC79C1" w:rsidRPr="009342F9" w:rsidRDefault="00FC79C1" w:rsidP="00FC79C1">
      <w:pPr>
        <w:spacing w:after="0" w:line="240" w:lineRule="auto"/>
        <w:jc w:val="both"/>
        <w:rPr>
          <w:rFonts w:ascii="Arial" w:eastAsia="Times New Roman" w:hAnsi="Arial" w:cs="Arial"/>
          <w:color w:val="000000"/>
          <w:lang w:eastAsia="es-CO"/>
        </w:rPr>
      </w:pPr>
      <w:r w:rsidRPr="231E957E">
        <w:rPr>
          <w:rFonts w:ascii="Arial" w:eastAsia="Times New Roman" w:hAnsi="Arial" w:cs="Arial"/>
          <w:color w:val="000000" w:themeColor="text1"/>
          <w:lang w:eastAsia="es-CO"/>
        </w:rPr>
        <w:t xml:space="preserve">Artículo 2.2.4.1.4.1 Contenido. Los planes parciales para las áreas sujetas a tratamiento de desarrollo dentro del perímetro urbano y las áreas comprendidas en el suelo de </w:t>
      </w:r>
      <w:proofErr w:type="gramStart"/>
      <w:r w:rsidRPr="231E957E">
        <w:rPr>
          <w:rFonts w:ascii="Arial" w:eastAsia="Times New Roman" w:hAnsi="Arial" w:cs="Arial"/>
          <w:color w:val="000000" w:themeColor="text1"/>
          <w:lang w:eastAsia="es-CO"/>
        </w:rPr>
        <w:t>expansión,</w:t>
      </w:r>
      <w:proofErr w:type="gramEnd"/>
      <w:r w:rsidRPr="231E957E">
        <w:rPr>
          <w:rFonts w:ascii="Arial" w:eastAsia="Times New Roman" w:hAnsi="Arial" w:cs="Arial"/>
          <w:color w:val="000000" w:themeColor="text1"/>
          <w:lang w:eastAsia="es-CO"/>
        </w:rPr>
        <w:t xml:space="preserve"> incluirán los siguientes aspectos que, en todos los casos, deberán subordinarse a las determinaciones de los diferentes contenidos del plan de ordenamiento territorial y de los instrumentos que lo desarrollen y complementen: </w:t>
      </w:r>
    </w:p>
    <w:p w14:paraId="0BE7667A" w14:textId="77777777" w:rsidR="00FC79C1" w:rsidRPr="009342F9" w:rsidRDefault="00FC79C1" w:rsidP="00FC79C1">
      <w:pPr>
        <w:spacing w:after="0" w:line="240" w:lineRule="auto"/>
        <w:jc w:val="both"/>
        <w:rPr>
          <w:rFonts w:ascii="Arial" w:eastAsia="Times New Roman" w:hAnsi="Arial" w:cs="Arial"/>
          <w:color w:val="000000"/>
          <w:lang w:eastAsia="es-CO"/>
        </w:rPr>
      </w:pPr>
      <w:r w:rsidRPr="231E957E">
        <w:rPr>
          <w:rFonts w:ascii="Arial" w:eastAsia="Times New Roman" w:hAnsi="Arial" w:cs="Arial"/>
          <w:color w:val="000000" w:themeColor="text1"/>
          <w:lang w:eastAsia="es-CO"/>
        </w:rPr>
        <w:t>  </w:t>
      </w:r>
    </w:p>
    <w:p w14:paraId="4753046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La delimitación del área de planificación objeto del plan parcial, con el señalamiento de las políticas, objetivos y directrices urbanísticas que orientarán la actuación u operación urbana. </w:t>
      </w:r>
    </w:p>
    <w:p w14:paraId="56DCB21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BA911E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El proyecto de delimitación de las unidades de actuación urbanística, el cual se definirá de forma que permita el cumplimiento conjunto de las cargas de cesión y urbanización de la totalidad de su superficie, mediante el reparto equitativo de cargas y beneficios entre sus afectados. </w:t>
      </w:r>
    </w:p>
    <w:p w14:paraId="50213DF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653CFA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Las normas urbanísticas específicas para el área de planificación y las unidades de actuación urbanística en que se divida el plan parcial, mediante las cuales se defina: </w:t>
      </w:r>
    </w:p>
    <w:p w14:paraId="7853059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40AB20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3.1 La asignación específica de usos principales, compatibles, complementarios, restringidos y prohibidos. </w:t>
      </w:r>
    </w:p>
    <w:p w14:paraId="495D4CC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B564C2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3.2 La asignación específica de las intensidades de uso; índices de ocupación y construcción; retiros, aislamientos, empates y alturas, de conformidad con las disposiciones contenidas en el presente decreto. </w:t>
      </w:r>
    </w:p>
    <w:p w14:paraId="58B424F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1FA3B4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3.3 La asignación de las cargas de conformidad con las disposiciones contenidas en el presente capítulo. </w:t>
      </w:r>
    </w:p>
    <w:p w14:paraId="47C09A5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2EEA28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La identificación de los elementos que por sus valores naturales, ambientales o paisajísticos deban ser conservados, estableciendo las medidas específicas de protección para evitar su alteración o destrucción con la ejecución de la actuación u operación urbana. </w:t>
      </w:r>
    </w:p>
    <w:p w14:paraId="57DDC61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2066C2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5. La identificación de los bienes de interés cultural del orden municipal o distrital, señalando las condiciones de manejo y los criterios de intervención que aseguren la conservación de </w:t>
      </w:r>
      <w:proofErr w:type="gramStart"/>
      <w:r w:rsidRPr="009342F9">
        <w:rPr>
          <w:rFonts w:ascii="Arial" w:eastAsia="Times New Roman" w:hAnsi="Arial" w:cs="Arial"/>
          <w:color w:val="000000"/>
          <w:lang w:eastAsia="es-CO"/>
        </w:rPr>
        <w:t>los mismos</w:t>
      </w:r>
      <w:proofErr w:type="gramEnd"/>
      <w:r w:rsidRPr="009342F9">
        <w:rPr>
          <w:rFonts w:ascii="Arial" w:eastAsia="Times New Roman" w:hAnsi="Arial" w:cs="Arial"/>
          <w:color w:val="000000"/>
          <w:lang w:eastAsia="es-CO"/>
        </w:rPr>
        <w:t>. Cuando se trate de bienes de interés cultural del ámbito nacional o departamental, el plan parcial se sujetará a lo establecido en los respectivos planes especiales de protección de que trata el artículo 11 de la Ley 397 de 1997 o la norma que la adicione, modifique o sustituya. </w:t>
      </w:r>
    </w:p>
    <w:p w14:paraId="7B6EF1C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A3F07C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6. La definición del trazado y la localización de las áreas de dominio público o reservadas o afectadas al uso o servicio público que, en desarrollo de las previsiones del plan de ordenamiento y los instrumentos que lo desarrollen, constituirán: </w:t>
      </w:r>
    </w:p>
    <w:p w14:paraId="0F1A7A6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5D730E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6.1 La red vial y peatonal. </w:t>
      </w:r>
    </w:p>
    <w:p w14:paraId="2B7B626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77A355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6.2 Las redes de los servicios públicos domiciliarios. </w:t>
      </w:r>
    </w:p>
    <w:p w14:paraId="665D78D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AF0A97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6.3 La red de espacios públicos, zonas verdes y parques, de acuerdo con lo señalado por el plan de ordenamiento territorial o los instrumentos que lo desarrollen y complementen. </w:t>
      </w:r>
    </w:p>
    <w:p w14:paraId="6DA2154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E16C62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6.4 La red de equipamientos colectivos de interés público o social. </w:t>
      </w:r>
    </w:p>
    <w:p w14:paraId="4ABC376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1A6730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7. La fijación y localización del porcentaje obligatorio de suelo que deberá destinarse al desarrollo de programas de vivienda de interés social, sin perjuicio de que estas áreas puedan ubicarse en otras zonas de la ciudad, de conformidad con lo que para el efecto haya previsto el plan de ordenamiento territorial o los instrumentos que lo desarrollen. </w:t>
      </w:r>
    </w:p>
    <w:p w14:paraId="599718F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4A4FA7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8. La adopción de los instrumentos legales de manejo y gestión del suelo; la participación en plusvalías, y demás instrumentos que sean necesarios para la financiación y ejecución del plan parcial. </w:t>
      </w:r>
    </w:p>
    <w:p w14:paraId="18299F6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FD58CD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9. La asignación de cargas y beneficios en los términos que se señalan en la Sección 5 de la presente Capítulo. </w:t>
      </w:r>
    </w:p>
    <w:p w14:paraId="0E88B3B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D63B31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10. La evaluación financiera de las obras de urbanización de las unidades de actuación y su programa de ejecución, junto con el programa de financiamiento. </w:t>
      </w:r>
    </w:p>
    <w:p w14:paraId="64D9A4D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C9583C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11. Los planos de diagnóstico, incluido el catastral cuando exista, el documento técnico de soporte que incluya las conclusiones de los estudios que justifiquen las determinaciones del plan parcial, así como los planos normativos y el decreto de adopción en los términos que se señalan en el artículo 2.2.4.1.1.7 de este decreto. </w:t>
      </w:r>
    </w:p>
    <w:p w14:paraId="5EED418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EF8E3B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La información planimétrica y cartográfica se presentará debidamente georreferenciada. </w:t>
      </w:r>
    </w:p>
    <w:p w14:paraId="301920B5" w14:textId="057FAB8A"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073" w:name="ver_30073119"/>
      <w:bookmarkEnd w:id="1073"/>
    </w:p>
    <w:p w14:paraId="4F08967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2.2.4.1.4.2 Planteamiento urbanístico del plan parcial. El planteamiento urbanístico del plan parcial definirá y delimitará las áreas de dominio público, o reservadas o afectadas al uso o servicio público de que trata el numeral 6 del artículo anterior. </w:t>
      </w:r>
    </w:p>
    <w:p w14:paraId="1780735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5D4FDD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El planteamiento urbanístico del plan parcial deberá contemplar las condiciones adecuadas para el desarrollo de las diferentes actividades que se vayan a desarrollar e independientemente de la división predial preexistente, en su diseño se deberán tener en cuenta las siguientes determinantes: </w:t>
      </w:r>
    </w:p>
    <w:p w14:paraId="4719D30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4C2864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La continuidad de la red vial para lograr una adecuada interconexión y movilidad con las zonas vecinas, asegurando la movilidad entre zonas y la coherencia entre perfiles y los usos de las edificaciones sobre las vías. </w:t>
      </w:r>
    </w:p>
    <w:p w14:paraId="75A6CCA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B06019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xml:space="preserve">2. La conformación de los elementos ambientales de la zona como áreas protegidas o parques de uso público y la conexión de </w:t>
      </w:r>
      <w:proofErr w:type="gramStart"/>
      <w:r w:rsidRPr="009342F9">
        <w:rPr>
          <w:rFonts w:ascii="Arial" w:eastAsia="Times New Roman" w:hAnsi="Arial" w:cs="Arial"/>
          <w:color w:val="000000"/>
          <w:lang w:eastAsia="es-CO"/>
        </w:rPr>
        <w:t>los mismos</w:t>
      </w:r>
      <w:proofErr w:type="gramEnd"/>
      <w:r w:rsidRPr="009342F9">
        <w:rPr>
          <w:rFonts w:ascii="Arial" w:eastAsia="Times New Roman" w:hAnsi="Arial" w:cs="Arial"/>
          <w:color w:val="000000"/>
          <w:lang w:eastAsia="es-CO"/>
        </w:rPr>
        <w:t>, cuando a ello hubiere lugar, con los parques o elementos ambientales de escala metropolitana, urbana o zonal. </w:t>
      </w:r>
    </w:p>
    <w:p w14:paraId="5078502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2A8C96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La delimitación de las áreas de espacio público destinadas a parques, plazas y demás elementos relacionados con los equipamientos colectivos de interés público o social. </w:t>
      </w:r>
    </w:p>
    <w:p w14:paraId="104271D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015482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La facilidad de acceso vehicular y peatonal a los equipamientos, así como su directa relación con los espacios recreativos y ambientales. </w:t>
      </w:r>
    </w:p>
    <w:p w14:paraId="2B7CCE5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E059E5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 La localización de actividades sobre las vías vehiculares, de manera que se facilite la accesibilidad sin afectar la circulación vial y peatonal. </w:t>
      </w:r>
    </w:p>
    <w:p w14:paraId="6898B0F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4CAF96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6. El trazado y las características de las redes de servicios públicos domiciliarios. </w:t>
      </w:r>
    </w:p>
    <w:p w14:paraId="39CFE62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7BD1CF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Las determinaciones de los planes parciales no podrán imponer condiciones asociadas a las características estéticas de las edificaciones ni exigir detalles constructivos del espacio público, equipamientos o edificaciones, salvo cuando se trate de intervenciones en bienes de interés cultural del orden municipal o distrital. </w:t>
      </w:r>
    </w:p>
    <w:p w14:paraId="590A2C7C" w14:textId="54AF94F6"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074" w:name="ver_30073120"/>
      <w:bookmarkEnd w:id="1074"/>
    </w:p>
    <w:p w14:paraId="7659796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2.2.4.1.4.3 Delimitación del área de planificación del plan parcial. La oficina de planeación municipal o distrital o la dependencia que haga sus veces delimitará el área de planificación del plan parcial de acuerdo con los lineamientos del plan de ordenamiento territorial, los instrumentos que lo desarrollen y complementen y los siguientes criterios: </w:t>
      </w:r>
    </w:p>
    <w:p w14:paraId="6193FF0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5AC4EE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Que el área propuesta cuente con la superficie suficiente que permita conformar una parte completa de ciudad, entendiendo por esta la que asegure la dotación de los servicios públicos domiciliarios, equipamientos y espacios públicos suficientes para atender la demanda de los usos que se vayan a desarrollar en su ámbito de planificación, así como las obras de infraestructura vial que permitan garantizar su adecuada conexión con la estructura urbana existente. </w:t>
      </w:r>
    </w:p>
    <w:p w14:paraId="3E5B715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5191C9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todo caso, se procurará que su ámbito de planificación sea delimitado en alguno de sus costados por lo menos por un elemento del trazado de los sistemas generales o estructurantes de infraestructura vial, de espacio público, por elementos naturales del sistema de áreas protegidas o por otros planes parciales que cuenten con concepto de viabilidad de la oficina de planeación municipal o distrital o la dependencia que haga sus veces. </w:t>
      </w:r>
    </w:p>
    <w:p w14:paraId="3F6B510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30F866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Que no se generen predios o áreas residuales adyacentes a los límites del área de planificación del plan parcial, cuyas dimensiones no permitan asegurar posteriormente el cumplimiento conjunto de las obligaciones de distribución de cargas y beneficios de la totalidad de su superficie. </w:t>
      </w:r>
    </w:p>
    <w:p w14:paraId="55A30A1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AC7A9F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Que haya continuidad con las urbanizaciones existentes cuando sea posible. </w:t>
      </w:r>
    </w:p>
    <w:p w14:paraId="08D041C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8770E2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Que cuente con la factibilidad y la definición de las condiciones técnicas para la futura prestación de los servicios públicos domiciliarios por personas prestadoras de dichos servicios. </w:t>
      </w:r>
    </w:p>
    <w:p w14:paraId="4A660EB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84F263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Cuando en suelo de expansión urbana queden áreas urbanizables que no sea posible desarrollar mediante plan parcial en los términos dispuestos en el presente capítulo, éstas deberán incorporarse al plan parcial más próximo para garantizar su desarrollo asociado. </w:t>
      </w:r>
    </w:p>
    <w:p w14:paraId="6F220C80" w14:textId="33344BF5" w:rsidR="00D4095E"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075" w:name="ver_30073122"/>
      <w:bookmarkEnd w:id="1075"/>
    </w:p>
    <w:p w14:paraId="6235E6CD" w14:textId="6B39F751" w:rsidR="00FC79C1" w:rsidRPr="009342F9" w:rsidRDefault="00FC79C1" w:rsidP="00D4095E">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lastRenderedPageBreak/>
        <w:t>SECCIÓN 5</w:t>
      </w:r>
    </w:p>
    <w:p w14:paraId="48E4433A" w14:textId="77777777" w:rsidR="00FC79C1" w:rsidRPr="009342F9" w:rsidRDefault="00FC79C1" w:rsidP="00D4095E">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CARGAS Y BENEFICIOS</w:t>
      </w:r>
    </w:p>
    <w:p w14:paraId="77F3F277"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076" w:name="ver_30073123"/>
      <w:bookmarkEnd w:id="1076"/>
    </w:p>
    <w:p w14:paraId="64A9BCB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2.2.4.1.5.1 Cargas locales de la urbanización. Las cargas locales de la urbanización que serán objeto de reparto entre los propietarios de inmuebles de las unidades de actuación urbanística del plan parcial, incluirán entre otros componentes las cesiones y la realización de obras públicas correspondientes a redes secundarias y de servicios públicos domiciliarios de acueducto, alcantarillado, energía y teléfonos, así como las cesiones para parques y zonas verdes, vías vehiculares y peatonales y para la dotación de los equipamientos comunitarios. </w:t>
      </w:r>
    </w:p>
    <w:p w14:paraId="5EBA5BB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E5DC9D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1°. Las zonas comunes, equipamientos comunitarios privados y otros componentes de las propiedades horizontales no se consideran cargas urbanísticas. </w:t>
      </w:r>
    </w:p>
    <w:p w14:paraId="5F14D35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CFD483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2°. En observancia de lo dispuesto en el artículo 38 de la Ley 388 de 1997, aquellos inmuebles localizados al interior del área de planificación del plan parcial que hubieren sido el resultado de cesiones, afectaciones u otras obligaciones, no serán objeto del reparto de cargas y beneficios, tales como: </w:t>
      </w:r>
    </w:p>
    <w:p w14:paraId="5BC9218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E17276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Las vías, parques, zonas verdes, espacios públicos y equipamientos existentes. </w:t>
      </w:r>
    </w:p>
    <w:p w14:paraId="6950916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2E82D6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Los inmuebles afectados en los términos del artículo 37 de la Ley 9ª de 1989 o la norma que lo adicione, modifique o sustituya. </w:t>
      </w:r>
    </w:p>
    <w:p w14:paraId="3023DA8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A84749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Los inmuebles adquiridos por las entidades competentes para adelantar obras del plan vial, de infraestructura de servicios públicos domiciliarios o destinados a equipamientos públicos, que para su desarrollo deberán acogerse a la reglamentación del plan parcial. </w:t>
      </w:r>
    </w:p>
    <w:p w14:paraId="767AB4F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C7DC40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Los predios que tengan licencias urbanísticas vigentes, los cuales se regirán por las condiciones definidas en la respectiva licencia. </w:t>
      </w:r>
    </w:p>
    <w:p w14:paraId="5FD5CE8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861F627" w14:textId="77777777" w:rsidR="00FC79C1" w:rsidRPr="009342F9" w:rsidRDefault="00FC79C1" w:rsidP="00FC79C1">
      <w:pPr>
        <w:spacing w:after="0" w:line="240" w:lineRule="auto"/>
        <w:jc w:val="both"/>
        <w:rPr>
          <w:rFonts w:ascii="Arial" w:eastAsia="Times New Roman" w:hAnsi="Arial" w:cs="Arial"/>
          <w:color w:val="000000"/>
          <w:lang w:eastAsia="es-CO"/>
        </w:rPr>
      </w:pPr>
      <w:r w:rsidRPr="231E957E">
        <w:rPr>
          <w:rFonts w:ascii="Arial" w:eastAsia="Times New Roman" w:hAnsi="Arial" w:cs="Arial"/>
          <w:color w:val="000000" w:themeColor="text1"/>
          <w:lang w:eastAsia="es-CO"/>
        </w:rPr>
        <w:t>5. Los predios que hayan ejecutado la totalidad de las obras contempladas en la licencia de urbanización y entregado y dotado las cesiones correspondientes. </w:t>
      </w:r>
    </w:p>
    <w:p w14:paraId="7C29E547" w14:textId="05FD9D36"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077" w:name="ver_30073124"/>
      <w:bookmarkEnd w:id="1077"/>
    </w:p>
    <w:p w14:paraId="6E4DDC6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2.2.4.1.5.2 Las cargas correspondientes al costo de la infraestructura vial principal y redes matrices de servicios públicos se distribuirán entre los propietarios de toda el área beneficiaria de las mismas y deberán ser recuperados mediante tarifas, contribución de valorización, participación en plusvalía, impuesto predial, o cualquier otro sistema que garantice el reparto equitativo de las cargas y beneficios de las actuaciones y que cumpla con lo dispuesto en el artículo 338 de la Constitución Política. En todo caso, serán a cargo de sus propietarios las cesiones gratuitas y los gastos de urbanización previstos en el artículo anterior. </w:t>
      </w:r>
    </w:p>
    <w:p w14:paraId="3C0D9FA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1B2BF1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Cuando se trate de la adecuación y habilitación urbanística de predios a cargo de sus propietarios en áreas de desarrollo concertado en suelo de expansión urbana, la distribución de las cargas generales sobre los que se apoye cada plan </w:t>
      </w:r>
      <w:proofErr w:type="gramStart"/>
      <w:r w:rsidRPr="009342F9">
        <w:rPr>
          <w:rFonts w:ascii="Arial" w:eastAsia="Times New Roman" w:hAnsi="Arial" w:cs="Arial"/>
          <w:color w:val="000000"/>
          <w:lang w:eastAsia="es-CO"/>
        </w:rPr>
        <w:t>parcial,</w:t>
      </w:r>
      <w:proofErr w:type="gramEnd"/>
      <w:r w:rsidRPr="009342F9">
        <w:rPr>
          <w:rFonts w:ascii="Arial" w:eastAsia="Times New Roman" w:hAnsi="Arial" w:cs="Arial"/>
          <w:color w:val="000000"/>
          <w:lang w:eastAsia="es-CO"/>
        </w:rPr>
        <w:t xml:space="preserve"> se podrá realizar mediante la asignación de edificabilidad adicional en proporción a la participación de los propietarios en dichas cargas. Para ello, los planes de ordenamiento territorial podrán determinar la asignación de aprovechamientos urbanísticos adicionales, que definan para cada uso la superficie máxima construible por encima del aprovechamiento urbanístico básico que se establezca para el suelo de expansión. Los índices de edificabilidad básica y adicional y su equivalencia con las cargas generales serán establecidos por los municipios y distritos en el componente urbano del plan de ordenamiento territorial. </w:t>
      </w:r>
    </w:p>
    <w:p w14:paraId="7159544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w:t>
      </w:r>
    </w:p>
    <w:p w14:paraId="0B041FD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La construcción de las redes matrices de servicios públicos domiciliarios se regirá por lo dispuesto en la Ley 142 de 1994 y su reglamento o las normas que los adicionen, modifiquen o sustituyan. </w:t>
      </w:r>
    </w:p>
    <w:p w14:paraId="3847079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C0C0438" w14:textId="6D84CD32" w:rsidR="00FC79C1" w:rsidRPr="007039AE" w:rsidRDefault="00FC79C1" w:rsidP="007039AE">
      <w:pPr>
        <w:spacing w:after="0" w:line="240" w:lineRule="auto"/>
        <w:jc w:val="center"/>
        <w:rPr>
          <w:rFonts w:ascii="Arial" w:eastAsia="Times New Roman" w:hAnsi="Arial" w:cs="Arial"/>
          <w:b/>
          <w:bCs/>
          <w:color w:val="000000"/>
          <w:lang w:eastAsia="es-CO"/>
        </w:rPr>
      </w:pPr>
      <w:bookmarkStart w:id="1078" w:name="ver_30073126"/>
      <w:bookmarkEnd w:id="1078"/>
      <w:r w:rsidRPr="007039AE">
        <w:rPr>
          <w:rFonts w:ascii="Arial" w:eastAsia="Times New Roman" w:hAnsi="Arial" w:cs="Arial"/>
          <w:b/>
          <w:bCs/>
          <w:color w:val="000000"/>
          <w:lang w:eastAsia="es-CO"/>
        </w:rPr>
        <w:t>SECCIÓN 6</w:t>
      </w:r>
    </w:p>
    <w:p w14:paraId="740AD7B8" w14:textId="08468B88" w:rsidR="00FC79C1" w:rsidRDefault="00FC79C1" w:rsidP="00D4095E">
      <w:pPr>
        <w:spacing w:after="0" w:line="240" w:lineRule="auto"/>
        <w:jc w:val="center"/>
        <w:rPr>
          <w:rFonts w:ascii="Arial" w:eastAsia="Times New Roman" w:hAnsi="Arial" w:cs="Arial"/>
          <w:b/>
          <w:bCs/>
          <w:color w:val="000000"/>
          <w:lang w:eastAsia="es-CO"/>
        </w:rPr>
      </w:pPr>
      <w:r w:rsidRPr="231E957E">
        <w:rPr>
          <w:rFonts w:ascii="Arial" w:eastAsia="Times New Roman" w:hAnsi="Arial" w:cs="Arial"/>
          <w:b/>
          <w:color w:val="000000" w:themeColor="text1"/>
          <w:lang w:eastAsia="es-CO"/>
        </w:rPr>
        <w:t>UNIDADES DE ACTUACIÓN URBANÍSTICA DEL PLAN PARCIAL</w:t>
      </w:r>
    </w:p>
    <w:p w14:paraId="7FD90D27" w14:textId="77777777" w:rsidR="005C5EEB" w:rsidRPr="009342F9" w:rsidRDefault="005C5EEB" w:rsidP="00D4095E">
      <w:pPr>
        <w:spacing w:after="0" w:line="240" w:lineRule="auto"/>
        <w:jc w:val="center"/>
        <w:rPr>
          <w:rFonts w:ascii="Arial" w:eastAsia="Times New Roman" w:hAnsi="Arial" w:cs="Arial"/>
          <w:b/>
          <w:bCs/>
          <w:color w:val="000000"/>
          <w:lang w:eastAsia="es-CO"/>
        </w:rPr>
      </w:pPr>
    </w:p>
    <w:p w14:paraId="5F02A5F4" w14:textId="1AC0FA4B" w:rsidR="00FC79C1" w:rsidRPr="009342F9" w:rsidRDefault="00FC79C1" w:rsidP="00D4095E">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SUBSECCIÓN 1</w:t>
      </w:r>
    </w:p>
    <w:p w14:paraId="03A56214" w14:textId="77777777" w:rsidR="00FC79C1" w:rsidRPr="009342F9" w:rsidRDefault="00FC79C1" w:rsidP="00D4095E">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DISPOSICIONES GENERALES</w:t>
      </w:r>
    </w:p>
    <w:p w14:paraId="7AB043F9" w14:textId="77777777" w:rsidR="00FC79C1" w:rsidRPr="009342F9" w:rsidRDefault="00FC79C1" w:rsidP="00D4095E">
      <w:pPr>
        <w:spacing w:after="0" w:line="240" w:lineRule="auto"/>
        <w:jc w:val="center"/>
        <w:rPr>
          <w:rFonts w:ascii="Arial" w:eastAsia="Times New Roman" w:hAnsi="Arial" w:cs="Arial"/>
          <w:b/>
          <w:bCs/>
          <w:color w:val="000000"/>
          <w:lang w:eastAsia="es-CO"/>
        </w:rPr>
      </w:pPr>
      <w:bookmarkStart w:id="1079" w:name="ver_30073127"/>
      <w:bookmarkEnd w:id="1079"/>
    </w:p>
    <w:p w14:paraId="572C95D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2.2.4.1.6.1.1 Unidad de actuación urbanística. Es el área conformada por uno o varios inmuebles explícitamente delimitada en las normas que desarrolla el plan de ordenamiento territorial que debe ser urbanizada o construida como una unidad de planeamiento con el objeto de promover el uso racional del suelo, garantizar el cumplimiento de las normas urbanísticas y facilitar la dotación con cargo a sus propietarios de la infraestructura de transporte, los servicios públicos domiciliarios y los equipamientos colectivos, mediante reparto equitativo de las cargas y beneficios, conforme con lo previsto en el Capítulo V de la Ley 388 de 1997. </w:t>
      </w:r>
    </w:p>
    <w:p w14:paraId="647CAEE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E4F637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Delimitada la respectiva unidad de actuación urbanística en los términos que se reglamentan en la Subsección 2 de esta sección, para el desarrollo de cada unidad se deberá obtener una única licencia de urbanización o contar con la aprobación de un único proyecto urbanístico general en los términos del artículo 2.2.6.1.2.4.2 del presente decreto o la norma que lo adicione, modifique o sustituya. </w:t>
      </w:r>
    </w:p>
    <w:p w14:paraId="66A7638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EA2450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Los planes de ordenamiento territorial y los planes parciales podrán determinar el desarrollo o construcción prioritaria de inmuebles que conformen unidades de actuación urbanística. </w:t>
      </w:r>
    </w:p>
    <w:p w14:paraId="605911B9" w14:textId="46D674C3"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080" w:name="ver_30073128"/>
      <w:bookmarkEnd w:id="1080"/>
    </w:p>
    <w:p w14:paraId="5409D6C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2.2.4.1.6.1.2 Unidades de gestión. No obstante lo dispuesto en el artículo anterior, los propietarios de la totalidad de los predios incluidos en el proyecto de delimitación de una unidad de actuación urbanística, según lo definido en el respectivo plan parcial, podrán solicitar una única licencia de urbanización o contar con la aprobación de un único proyecto urbanístico general en los términos del artículo 2.2.6.1.2.4.2 del presente decreto , para ejecutar las obras de urbanización de los predios que conforman el proyecto de delimitación de la unidad, siempre y cuando garanticen el reparto equitativo de las cargas y beneficios asignados a la respectiva unidad por el plan parcial. En este caso el área objeto de la operación se denominará unidad de gestión. De no obtenerse una única licencia de urbanización, deberá iniciarse el trámite de delimitación de la respectiva unidad de actuación urbanística, en los términos de que trata el artículo 42 de la Ley 388 de 1997 y la siguiente Subsección. </w:t>
      </w:r>
    </w:p>
    <w:p w14:paraId="5F1AD720" w14:textId="221FE4D0" w:rsidR="00D4095E" w:rsidRPr="009342F9" w:rsidRDefault="00FC79C1" w:rsidP="007039AE">
      <w:pPr>
        <w:spacing w:after="0" w:line="240" w:lineRule="auto"/>
        <w:jc w:val="both"/>
        <w:rPr>
          <w:rFonts w:ascii="Arial" w:eastAsia="Times New Roman" w:hAnsi="Arial" w:cs="Arial"/>
          <w:b/>
          <w:bCs/>
          <w:color w:val="000000"/>
          <w:lang w:eastAsia="es-CO"/>
        </w:rPr>
      </w:pPr>
      <w:r w:rsidRPr="009342F9">
        <w:rPr>
          <w:rFonts w:ascii="Arial" w:eastAsia="Times New Roman" w:hAnsi="Arial" w:cs="Arial"/>
          <w:color w:val="000000"/>
          <w:lang w:eastAsia="es-CO"/>
        </w:rPr>
        <w:t>  </w:t>
      </w:r>
      <w:bookmarkStart w:id="1081" w:name="ver_30073129"/>
      <w:bookmarkEnd w:id="1081"/>
    </w:p>
    <w:p w14:paraId="599E4946" w14:textId="44DA8C46" w:rsidR="00FC79C1" w:rsidRPr="009342F9" w:rsidRDefault="00FC79C1" w:rsidP="00D4095E">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SUBSECCIÓN 2</w:t>
      </w:r>
    </w:p>
    <w:p w14:paraId="286DD54D" w14:textId="77777777" w:rsidR="00FC79C1" w:rsidRPr="009342F9" w:rsidRDefault="00FC79C1" w:rsidP="00D4095E">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DELIMITACIÓN DE UNIDADES DE ACTUACIÓN URBANÍSTICA DEL PLAN PARCIAL</w:t>
      </w:r>
    </w:p>
    <w:p w14:paraId="189CC0C5"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082" w:name="ver_30073130"/>
      <w:bookmarkEnd w:id="1082"/>
    </w:p>
    <w:p w14:paraId="509BF83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2.2.4.1.6.2.1 Procedimiento para la delimitación de las unidades de actuación urbanística. El proyecto de delimitación de la unidad de actuación urbanística será presentado ante la oficina de planeación municipal o distrital o la dependencia que haga sus veces, por las autoridades competentes o por los particulares interesados de acuerdo con los parámetros previstos en el correspondiente plan parcial y se acompañará de los siguientes documentos: </w:t>
      </w:r>
    </w:p>
    <w:p w14:paraId="0A8E4E1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056A8B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1. Copia del documento de identificación del propietario o propietarios de los predios que presentan la solicitud cuando se trate de personas naturales o certificado de existencia y representación legal si son personas jurídicas, cuya fecha de expedición no sea superior a un mes. </w:t>
      </w:r>
    </w:p>
    <w:p w14:paraId="67933E9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6D4CC9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Poder debidamente otorgado, cuando se actúe mediante apoderado o promotor. </w:t>
      </w:r>
    </w:p>
    <w:p w14:paraId="7CBAB83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23A089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Plancha IGAC o medio cartográfico disponible en el municipio o distrito que haga sus veces a escala 1:2000 o 1:5000 con la localización del predio o predios objeto de la solicitud indicando la propuesta de delimitación de la unidad de actuación urbanística. </w:t>
      </w:r>
    </w:p>
    <w:p w14:paraId="2769924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81E8C4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La relación e identificación de los predios incluidos en la propuesta de delimitación, con sus respectivos Folios de Matrícula Inmobiliaria. </w:t>
      </w:r>
    </w:p>
    <w:p w14:paraId="66F9819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CEDAEB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 Boletines catastrales y/o plano de manzana catastral cuando existan. </w:t>
      </w:r>
    </w:p>
    <w:p w14:paraId="1553633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B110CB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6. Relación de direcciones de titulares de derechos reales y de los vecinos de predios colindantes con la unidad de actuación propuesta. </w:t>
      </w:r>
    </w:p>
    <w:p w14:paraId="1820BD7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B12406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7. Plano topográfico de los predios incluidos en la propuesta de delimitación. </w:t>
      </w:r>
    </w:p>
    <w:p w14:paraId="463E4B2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ED6ABF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8. Estudio de títulos de cada uno de los predios incluidos en la propuesta de delimitación. </w:t>
      </w:r>
    </w:p>
    <w:p w14:paraId="360C2A8B"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083" w:name="ver_30073131"/>
      <w:bookmarkEnd w:id="1083"/>
    </w:p>
    <w:p w14:paraId="0BC8E0F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2.2.4.1.6.2.2 Citación a titulares de derechos reales. La oficina de planeación municipal o distrital o la dependencia que haga sus veces pondrá el proyecto de delimitación en conocimiento de los titulares de derechos reales sobre la superficie de la unidad de actuación propuesta y de sus vecinos colindantes. La oficina de planeación municipal o distrital o la dependencia que haga sus veces los citará, dentro de los cinco (5) días siguientes a la radicación de la propuesta de delimitación, para que formulen sus objeciones u observaciones. Para ello, los titulares de derechos reales y los vecinos colindantes contarán con un término de treinta (30) días contados a partir del recibo de la citación. </w:t>
      </w:r>
    </w:p>
    <w:p w14:paraId="346B9F6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FCFF2D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 oficina de planeación dispondrá de un término máximo de quince (15) días contados a partir del vencimiento del término anterior, para pronunciarse sobre las objeciones y definir las modificaciones a que hubiere lugar y someter el proyecto de delimitación en consideración del alcalde municipal o distrital para su aprobación. </w:t>
      </w:r>
    </w:p>
    <w:p w14:paraId="47543B13" w14:textId="77777777" w:rsidR="007039AE" w:rsidRDefault="007039AE" w:rsidP="00FC79C1">
      <w:pPr>
        <w:spacing w:after="0" w:line="240" w:lineRule="auto"/>
        <w:jc w:val="both"/>
        <w:rPr>
          <w:rFonts w:ascii="Arial" w:eastAsia="Times New Roman" w:hAnsi="Arial" w:cs="Arial"/>
          <w:color w:val="000000"/>
          <w:lang w:eastAsia="es-CO"/>
        </w:rPr>
      </w:pPr>
      <w:bookmarkStart w:id="1084" w:name="ver_30073132"/>
      <w:bookmarkEnd w:id="1084"/>
    </w:p>
    <w:p w14:paraId="6AC880FA" w14:textId="42EE342B"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2.2.4.1.6.2.3 Aprobación. El alcalde municipal o distrital contará con un plazo máximo de tres (3) meses contados a partir de la presentación del proyecto de delimitación de la unidad de actuación por parte de la oficina de planeación municipal o distrital o la dependencia que haga sus veces, para impartir su aprobación definitiva, cuando a ello haya lugar, la cual se hará mediante acto administrativo. </w:t>
      </w:r>
    </w:p>
    <w:p w14:paraId="2908F53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7B4760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Transcurrido este plazo sin que se hubiere notificado la decisión correspondiente a los titulares de derechos reales y vecinos colindantes que se hayan hecho parte dentro del trámite, la delimitación se entenderá aprobada, siempre y cuando se haya realizado el trámite de citación. </w:t>
      </w:r>
    </w:p>
    <w:p w14:paraId="4120E11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567A3B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Contra el acto que resuelva la solicitud de delimitación procede el recurso de reposición ante el alcalde municipal o distrital en los términos previstos en el Código de Procedimiento Administrativo y de lo Contencioso Administrativo. </w:t>
      </w:r>
    </w:p>
    <w:p w14:paraId="52FA4708" w14:textId="2DC04CC0"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085" w:name="ver_30073134"/>
      <w:bookmarkEnd w:id="1085"/>
    </w:p>
    <w:p w14:paraId="6683D4E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Artículo 2.2.4.1.6.2.4 Contenido del acto de delimitación. El acto de delimitación contendrá como mínimo: </w:t>
      </w:r>
    </w:p>
    <w:p w14:paraId="6A8B50F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DAE3CF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1. El señalamiento de los inmuebles que conforman la unidad de actuación urbanística con sus respectivas matrículas inmobiliarias y la relación de los titulares de derechos reales de dichos predios. Cuando tengan </w:t>
      </w:r>
      <w:proofErr w:type="gramStart"/>
      <w:r w:rsidRPr="009342F9">
        <w:rPr>
          <w:rFonts w:ascii="Arial" w:eastAsia="Times New Roman" w:hAnsi="Arial" w:cs="Arial"/>
          <w:color w:val="000000"/>
          <w:lang w:eastAsia="es-CO"/>
        </w:rPr>
        <w:t>cédulas catastrales y manzana catastral</w:t>
      </w:r>
      <w:proofErr w:type="gramEnd"/>
      <w:r w:rsidRPr="009342F9">
        <w:rPr>
          <w:rFonts w:ascii="Arial" w:eastAsia="Times New Roman" w:hAnsi="Arial" w:cs="Arial"/>
          <w:color w:val="000000"/>
          <w:lang w:eastAsia="es-CO"/>
        </w:rPr>
        <w:t xml:space="preserve"> se incluirán estos datos. </w:t>
      </w:r>
    </w:p>
    <w:p w14:paraId="2066C2A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14552C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El plano de delimitación del área objeto de la unidad de actuación urbanística con la indicación de sus linderos. </w:t>
      </w:r>
    </w:p>
    <w:p w14:paraId="7B84C61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FB197D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La orden de inscripción de la unidad de actuación urbanística en cada uno de los Folios de Matrícula Inmobiliaria de los predios que conforman la unidad. </w:t>
      </w:r>
    </w:p>
    <w:p w14:paraId="4B19C67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6E00DD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Cuando se trate de unidades de actuación de desarrollo prioritario, se expresará que los titulares de derechos reales disponen de un plazo de 6 meses para definir las bases de la actuación de que trata el artículo 44 de la Ley 388 de 1997 o la norma que lo adicione, modifique o sustituya. </w:t>
      </w:r>
    </w:p>
    <w:p w14:paraId="4C7FAA9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8BFAF7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 El señalamiento de que los predios afectados no podrán ser objeto de licencias de urbanización o construcción por fuera de la unidad de actuación. </w:t>
      </w:r>
    </w:p>
    <w:p w14:paraId="4CBADE1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7E7EAB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6. Los aspectos que se deben contemplar en la definición de las bases para la actuación de que tratan los artículos 44 y siguientes de la Ley 388 de 1997. </w:t>
      </w:r>
    </w:p>
    <w:p w14:paraId="5724ECD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E9FA77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7. La orden de notificación del acto de delimitación a los titulares de derechos reales y a los vecinos colindantes que se hayan hecho parte dentro del trámite. </w:t>
      </w:r>
    </w:p>
    <w:p w14:paraId="78851C5A" w14:textId="77777777" w:rsidR="00D4095E" w:rsidRPr="009342F9" w:rsidRDefault="00D4095E" w:rsidP="00FC79C1">
      <w:pPr>
        <w:spacing w:after="0" w:line="240" w:lineRule="auto"/>
        <w:jc w:val="both"/>
        <w:rPr>
          <w:rFonts w:ascii="Arial" w:eastAsia="Times New Roman" w:hAnsi="Arial" w:cs="Arial"/>
          <w:color w:val="000000"/>
          <w:lang w:eastAsia="es-CO"/>
        </w:rPr>
      </w:pPr>
      <w:bookmarkStart w:id="1086" w:name="ver_30073135"/>
      <w:bookmarkEnd w:id="1086"/>
    </w:p>
    <w:p w14:paraId="1D03CDF6" w14:textId="0F44440E" w:rsidR="00FC79C1" w:rsidRPr="009342F9" w:rsidRDefault="00FC79C1" w:rsidP="00D4095E">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SECCIÓN 7</w:t>
      </w:r>
    </w:p>
    <w:p w14:paraId="36010F77" w14:textId="77777777" w:rsidR="00FC79C1" w:rsidRPr="009342F9" w:rsidRDefault="00FC79C1" w:rsidP="00D4095E">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DISPOSICIONES VARIAS</w:t>
      </w:r>
    </w:p>
    <w:p w14:paraId="61BB0B70"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087" w:name="ver_30073136"/>
      <w:bookmarkEnd w:id="1087"/>
    </w:p>
    <w:p w14:paraId="5FB2C54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2.2.4.1.7.1 Licencias de intervención y ocupación del espacio público. Expedido el decreto que adopte el plan parcial por parte del alcalde municipal o distrital, no se requerirá licencia de intervención u ocupación del espacio público para ejecutar las obras que se encuentren previstas en el respectivo plan parcial. </w:t>
      </w:r>
    </w:p>
    <w:p w14:paraId="6846AC0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A4258B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Tampoco se requerirá licencia de intervención u ocupación del espacio público para ejecutar las obras que permitan conectar las vías aprobadas en la licencia de urbanización con las demás vías o espacios públicos existentes de propiedad del correspondiente municipio o distrito. </w:t>
      </w:r>
    </w:p>
    <w:p w14:paraId="1BAA2D3B" w14:textId="1DB3EE29"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088" w:name="ver_30073138"/>
      <w:bookmarkEnd w:id="1088"/>
    </w:p>
    <w:p w14:paraId="6A95F1F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2.2.4.1.7.2 Incorporación al perímetro urbano. Los suelos de expansión urbana se entenderán incorporados al perímetro urbano cuando acrediten la calidad de áreas urbanizadas, entendiendo por estas las áreas conformadas por los predios que, de conformidad con las normas urbanísticas, hayan culminado la ejecución de las obras y dotaciones a cargo del urbanizador sobre las zonas de cesión obligatoria contempladas en la respectiva licencia y hecho entrega de ellas a satisfacción de los municipios y distritos, así como de las empresas de servicios públicos correspondientes, cuando sea del caso, en los términos de que tratan los artículos 2.2.6.1.4.6 y siguientes del presente decreto, la reglamentación aplicable a los servicios públicos y demás normas que los adicionen, modifiquen o sustituyan. </w:t>
      </w:r>
    </w:p>
    <w:p w14:paraId="363E9D46" w14:textId="58DF9AD4"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089" w:name="ver_30073139"/>
      <w:bookmarkEnd w:id="1089"/>
    </w:p>
    <w:p w14:paraId="1B24484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2.2.4.1.7.3 Régimen de transición. Las disposiciones contenidas en el presente decreto se aplicarán teniendo en cuenta el siguiente régimen de transición: </w:t>
      </w:r>
    </w:p>
    <w:p w14:paraId="59F6321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w:t>
      </w:r>
    </w:p>
    <w:p w14:paraId="54EDB70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Los proyectos de planes parciales que hubieren sido radicados antes del 5 de julio de </w:t>
      </w:r>
      <w:proofErr w:type="gramStart"/>
      <w:r w:rsidRPr="009342F9">
        <w:rPr>
          <w:rFonts w:ascii="Arial" w:eastAsia="Times New Roman" w:hAnsi="Arial" w:cs="Arial"/>
          <w:color w:val="000000"/>
          <w:lang w:eastAsia="es-CO"/>
        </w:rPr>
        <w:t>2006,</w:t>
      </w:r>
      <w:proofErr w:type="gramEnd"/>
      <w:r w:rsidRPr="009342F9">
        <w:rPr>
          <w:rFonts w:ascii="Arial" w:eastAsia="Times New Roman" w:hAnsi="Arial" w:cs="Arial"/>
          <w:color w:val="000000"/>
          <w:lang w:eastAsia="es-CO"/>
        </w:rPr>
        <w:t xml:space="preserve"> continuarán su trámite de adopción de acuerdo con las disposiciones vigentes al momento de su radicación. </w:t>
      </w:r>
    </w:p>
    <w:p w14:paraId="3E93C41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5D573F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Los proyectos de planes parciales que al 5 de julio de 2006 cuenten con el concepto de viabilidad expedido por la oficina de planeación municipal o distrital o la dependencia que haga sus veces, con el acta de concertación de los aspectos ambientales suscrita por la autoridad de planeación y la autoridad ambiental competente y con el concepto del Consejo Consultivo de Ordenamiento, culminarán su trámite de adopción en los términos de que trata el artículo 2.2.4.1.3.1 del presente decreto. </w:t>
      </w:r>
    </w:p>
    <w:p w14:paraId="298936AD" w14:textId="27CAFA4E"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090" w:name="ver_30073140"/>
      <w:bookmarkEnd w:id="1090"/>
    </w:p>
    <w:p w14:paraId="1003488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2.2.4.1.7.4 Régimen de transición. Los proyectos de planes parciales que hubieren sido radicados antes del 7 de noviembre de </w:t>
      </w:r>
      <w:proofErr w:type="gramStart"/>
      <w:r w:rsidRPr="009342F9">
        <w:rPr>
          <w:rFonts w:ascii="Arial" w:eastAsia="Times New Roman" w:hAnsi="Arial" w:cs="Arial"/>
          <w:color w:val="000000"/>
          <w:lang w:eastAsia="es-CO"/>
        </w:rPr>
        <w:t>2007,</w:t>
      </w:r>
      <w:proofErr w:type="gramEnd"/>
      <w:r w:rsidRPr="009342F9">
        <w:rPr>
          <w:rFonts w:ascii="Arial" w:eastAsia="Times New Roman" w:hAnsi="Arial" w:cs="Arial"/>
          <w:color w:val="000000"/>
          <w:lang w:eastAsia="es-CO"/>
        </w:rPr>
        <w:t xml:space="preserve"> continuarán su trámite de adopción de acuerdo con las disposiciones vigentes al momento de su radicación, salvo que el interesado manifieste su interés de acogerse al nuevo procedimiento. </w:t>
      </w:r>
    </w:p>
    <w:p w14:paraId="31E1E6CC" w14:textId="02A1BA4E"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091" w:name="ver_30073142"/>
      <w:bookmarkEnd w:id="1091"/>
    </w:p>
    <w:p w14:paraId="425FFFA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2.2.4.1.7.5 Cartografía oficial del plan parcial. La información señalada en los numerales 4, 5 y 6 del artículo 2.2.4.1.4.1 del presente decreto estará contenida en los planos topográficos y normativos de los predios que hacen parte del plan parcial y deberá incorporarse de oficio en la cartografía oficial del municipio o distrito. </w:t>
      </w:r>
    </w:p>
    <w:p w14:paraId="77DF3E1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A5F1BA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este caso, el trámite de licencias de urbanización no requerirá de actualización vial y cartográfica incorporada en la cartografía oficial del municipio o distrito, y las solicitudes de licencia se resolverán de acuerdo con la cartografía adoptada en el plan parcial. </w:t>
      </w:r>
    </w:p>
    <w:p w14:paraId="532CF224" w14:textId="7B1A522B"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092" w:name="ver_30073143"/>
      <w:bookmarkEnd w:id="1092"/>
    </w:p>
    <w:p w14:paraId="7E5228F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2.2.4.1.7.6 Asignación de nomenclatura urbana en suelo de expansión. Una vez adoptado el plan parcial para el desarrollo de predios localizados en suelo de expansión urbana, las autoridades municipales y distritales competentes podrán asignar la nomenclatura urbana a dichos predios, así sea en forma provisional, con la correspondiente solicitud de licencia urbanística. </w:t>
      </w:r>
    </w:p>
    <w:p w14:paraId="3EBFD044" w14:textId="68ED3CA3"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093" w:name="ver_30073145"/>
      <w:bookmarkEnd w:id="1093"/>
    </w:p>
    <w:p w14:paraId="5FA584D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2.2.4.1.7.7 Adecuación de las normas urbanísticas. Los municipios y distritos ajustarán sus planes de ordenamiento territorial y los instrumentos que los desarrollen y complementen a lo señalado en este capítulo. </w:t>
      </w:r>
    </w:p>
    <w:p w14:paraId="6BE4FDA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AE48EB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Mientras se ajustan dichas normas de conformidad con los términos previstos en la ley para la revisión o ajuste de los planes de ordenamiento en el estudio, trámite y adopción de los planes parciales las autoridades municipales y distritales competentes deberán aplicar las disposiciones previstas en el presente capítulo. </w:t>
      </w:r>
    </w:p>
    <w:p w14:paraId="2A5D08C9" w14:textId="60EFE267" w:rsidR="00D4095E"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094" w:name="ver_30073147"/>
      <w:bookmarkEnd w:id="1094"/>
    </w:p>
    <w:p w14:paraId="4712BAB6" w14:textId="259D9B56" w:rsidR="00FC79C1" w:rsidRPr="009342F9" w:rsidRDefault="00FC79C1" w:rsidP="00D4095E">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CAPÍTULO 2</w:t>
      </w:r>
    </w:p>
    <w:p w14:paraId="3491B34E" w14:textId="77777777" w:rsidR="00FC79C1" w:rsidRDefault="00FC79C1" w:rsidP="00D4095E">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MACROPROYECTOS DE INTERÉS SOCIAL NACIONAL</w:t>
      </w:r>
    </w:p>
    <w:p w14:paraId="27D51068" w14:textId="77777777" w:rsidR="00287A00" w:rsidRPr="009342F9" w:rsidRDefault="00287A00" w:rsidP="00D4095E">
      <w:pPr>
        <w:spacing w:after="0" w:line="240" w:lineRule="auto"/>
        <w:jc w:val="center"/>
        <w:rPr>
          <w:rFonts w:ascii="Arial" w:eastAsia="Times New Roman" w:hAnsi="Arial" w:cs="Arial"/>
          <w:b/>
          <w:bCs/>
          <w:color w:val="000000"/>
          <w:lang w:eastAsia="es-CO"/>
        </w:rPr>
      </w:pPr>
    </w:p>
    <w:p w14:paraId="54989359" w14:textId="48F392C5" w:rsidR="00FC79C1" w:rsidRPr="009342F9" w:rsidRDefault="00FC79C1" w:rsidP="00D4095E">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SECCIÓN 1</w:t>
      </w:r>
    </w:p>
    <w:p w14:paraId="7C599944" w14:textId="77777777" w:rsidR="00FC79C1" w:rsidRDefault="00FC79C1" w:rsidP="00D4095E">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MACROPROYECTOS DE INTERÉS SOCIAL NACIONAL DE PRIMERA GENERACIÓN</w:t>
      </w:r>
    </w:p>
    <w:p w14:paraId="2BB13A9D" w14:textId="77777777" w:rsidR="00287A00" w:rsidRPr="009342F9" w:rsidRDefault="00287A00" w:rsidP="00D4095E">
      <w:pPr>
        <w:spacing w:after="0" w:line="240" w:lineRule="auto"/>
        <w:jc w:val="center"/>
        <w:rPr>
          <w:rFonts w:ascii="Arial" w:eastAsia="Times New Roman" w:hAnsi="Arial" w:cs="Arial"/>
          <w:b/>
          <w:bCs/>
          <w:color w:val="000000"/>
          <w:lang w:eastAsia="es-CO"/>
        </w:rPr>
      </w:pPr>
    </w:p>
    <w:p w14:paraId="1459C10A" w14:textId="4352668F" w:rsidR="00FC79C1" w:rsidRPr="009342F9" w:rsidRDefault="00FC79C1" w:rsidP="00D4095E">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SUBSECCIÓN 1</w:t>
      </w:r>
    </w:p>
    <w:p w14:paraId="524F4F82" w14:textId="77777777" w:rsidR="00FC79C1" w:rsidRPr="009342F9" w:rsidRDefault="00FC79C1" w:rsidP="00D4095E">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DISPOSICIONES GENERALES</w:t>
      </w:r>
    </w:p>
    <w:p w14:paraId="47AA14E1"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095" w:name="ver_30073245"/>
      <w:bookmarkEnd w:id="1095"/>
    </w:p>
    <w:p w14:paraId="62EFCFB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Artículo 2.2.4.2.1.1.1 Macroproyectos de interés social nacional. Los Macroproyectos de Interés Social Nacional son el conjunto de decisiones administrativas y actuaciones urbanísticas adoptadas por el Gobierno Nacional, en los que se vinculan instrumentos de planeación, financiación y gestión del suelo para ejecutar una operación de gran escala que contribuya al desarrollo territorial de determinados municipios, distritos, áreas metropolitanas o regiones del país. </w:t>
      </w:r>
    </w:p>
    <w:p w14:paraId="25012A8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8C93E9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Los Macroproyectos de que trata la presente sección se refieren a la ejecución de operaciones urbanísticas integrales de gestión y provisión de suelo para vivienda, con especial énfasis en vivienda de interés social y vivienda de interés prioritario. </w:t>
      </w:r>
    </w:p>
    <w:p w14:paraId="1B7397A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C8E99B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El macroproyecto deberá proveer suelo para desarrollar un número de viviendas de interés social que no podrá ser inferior al (1%) del número de hogares existentes en los municipios o distritos objeto del macroproyecto, de conformidad con las estadísticas del DANE. </w:t>
      </w:r>
    </w:p>
    <w:p w14:paraId="45ACFC5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85897A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1°. Las decisiones administrativas y actuaciones urbanísticas adoptadas por el Gobierno Nacional conforman la acción urbanística de la Nación. </w:t>
      </w:r>
    </w:p>
    <w:p w14:paraId="19BEAE8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33AF24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2°. Siempre que en esta sección se mencionen los Macroproyectos, se entenderá que se hace referencia a los Macroproyectos de Interés Social Nacional de que trata el artículo 79 de la Ley 1151 de 2007. </w:t>
      </w:r>
    </w:p>
    <w:p w14:paraId="490B26FF"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096" w:name="ver_30073246"/>
      <w:bookmarkEnd w:id="1096"/>
    </w:p>
    <w:p w14:paraId="4BE3CD8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2.2.4.2.1.1.2 Objetivo. Los Macroproyectos deberán promover el diseño y ejecución de proyectos integrales que contemplen la habilitación de suelo para vivienda de interés social, la provisión de servicios públicos domiciliarios, redes viales de integración urbana, zonal y local, espacios públicos y equipamientos colectivos; desarrollando asentamientos urbanos con altos parámetros de calidad urbanística y ambiental. </w:t>
      </w:r>
    </w:p>
    <w:p w14:paraId="7D511D3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BDAD16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Así mismo, los Macroproyectos deberán promover el ordenamiento territorial, la compactación urbana, la densificación, el desarrollo y crecimiento equilibrado y equitativo de las ciudades y su articulación con los sistemas de movilidad regional. </w:t>
      </w:r>
    </w:p>
    <w:p w14:paraId="049F163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2338F74"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097" w:name="ver_30073247"/>
      <w:bookmarkEnd w:id="1097"/>
      <w:r w:rsidRPr="009342F9">
        <w:rPr>
          <w:rFonts w:ascii="Arial" w:eastAsia="Times New Roman" w:hAnsi="Arial" w:cs="Arial"/>
          <w:color w:val="000000"/>
          <w:lang w:eastAsia="es-CO"/>
        </w:rPr>
        <w:t>Artículo 2.2.4.2.1.1.3 Determinantes. De conformidad con lo previsto en el artículo 79 de la Ley 1151 de 2007, los Macroproyectos son determinantes que se constituyen en normas de superior jerarquía en los términos del artículo 10 de la Ley 388 de 1997, y se entenderán incorporados en los Planes de Ordenamiento Territorial de los municipios y distritos, así como en las directrices de ordenamiento de las áreas metropolitanas. </w:t>
      </w:r>
    </w:p>
    <w:p w14:paraId="6F13422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0DE03B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los procesos de revisión y ajuste de los Planes de Ordenamiento Territorial los municipios y distritos deberán dar estricto cumplimiento a las disposiciones contenidas en los respectivos Macroproyectos. </w:t>
      </w:r>
    </w:p>
    <w:p w14:paraId="211FBA63" w14:textId="77777777" w:rsidR="007039AE" w:rsidRDefault="007039AE" w:rsidP="00FC79C1">
      <w:pPr>
        <w:spacing w:after="0" w:line="240" w:lineRule="auto"/>
        <w:jc w:val="both"/>
        <w:rPr>
          <w:rFonts w:ascii="Arial" w:eastAsia="Times New Roman" w:hAnsi="Arial" w:cs="Arial"/>
          <w:color w:val="000000"/>
          <w:lang w:eastAsia="es-CO"/>
        </w:rPr>
      </w:pPr>
      <w:bookmarkStart w:id="1098" w:name="ver_30073248"/>
      <w:bookmarkEnd w:id="1098"/>
    </w:p>
    <w:p w14:paraId="5F1A0F92" w14:textId="25CF69EF"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2.2.4.2.1.1.4 Etapas de los Macroproyectos. Las etapas de los Macroproyectos son: </w:t>
      </w:r>
    </w:p>
    <w:p w14:paraId="05D438D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9948F8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Identificación y determinación. </w:t>
      </w:r>
    </w:p>
    <w:p w14:paraId="1353139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522A69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Formulación. </w:t>
      </w:r>
    </w:p>
    <w:p w14:paraId="4D5E1E4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EBBD2B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Adopción. </w:t>
      </w:r>
    </w:p>
    <w:p w14:paraId="768FC9A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5376888" w14:textId="77777777" w:rsidR="00FC79C1" w:rsidRPr="009342F9" w:rsidRDefault="00FC79C1" w:rsidP="00FC79C1">
      <w:pPr>
        <w:spacing w:after="0" w:line="240" w:lineRule="auto"/>
        <w:jc w:val="both"/>
        <w:rPr>
          <w:rFonts w:ascii="Arial" w:eastAsia="Times New Roman" w:hAnsi="Arial" w:cs="Arial"/>
          <w:color w:val="000000"/>
          <w:lang w:eastAsia="es-CO"/>
        </w:rPr>
      </w:pPr>
      <w:r w:rsidRPr="231E957E">
        <w:rPr>
          <w:rFonts w:ascii="Arial" w:eastAsia="Times New Roman" w:hAnsi="Arial" w:cs="Arial"/>
          <w:color w:val="000000" w:themeColor="text1"/>
          <w:lang w:eastAsia="es-CO"/>
        </w:rPr>
        <w:t>4. Ejecución </w:t>
      </w:r>
    </w:p>
    <w:p w14:paraId="4EC41ED1" w14:textId="4E26D8FE" w:rsidR="00FC79C1" w:rsidRPr="009342F9" w:rsidRDefault="00FC79C1" w:rsidP="00D4095E">
      <w:pPr>
        <w:spacing w:after="0" w:line="240" w:lineRule="auto"/>
        <w:jc w:val="center"/>
        <w:rPr>
          <w:rFonts w:ascii="Arial" w:eastAsia="Times New Roman" w:hAnsi="Arial" w:cs="Arial"/>
          <w:b/>
          <w:bCs/>
          <w:color w:val="000000"/>
          <w:lang w:eastAsia="es-CO"/>
        </w:rPr>
      </w:pPr>
      <w:bookmarkStart w:id="1099" w:name="ver_30073249"/>
      <w:bookmarkEnd w:id="1099"/>
      <w:r w:rsidRPr="009342F9">
        <w:rPr>
          <w:rFonts w:ascii="Arial" w:eastAsia="Times New Roman" w:hAnsi="Arial" w:cs="Arial"/>
          <w:b/>
          <w:bCs/>
          <w:color w:val="000000"/>
          <w:lang w:eastAsia="es-CO"/>
        </w:rPr>
        <w:lastRenderedPageBreak/>
        <w:t>SUBSECCIÓN 2</w:t>
      </w:r>
    </w:p>
    <w:p w14:paraId="54DF089F" w14:textId="77777777" w:rsidR="00FC79C1" w:rsidRPr="009342F9" w:rsidRDefault="00FC79C1" w:rsidP="00D4095E">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IDENTIFICACIÓN Y DETERMINACIÓN DE LOS MACROPROYECTOS</w:t>
      </w:r>
    </w:p>
    <w:p w14:paraId="0B5AADA8" w14:textId="77777777" w:rsidR="00FC79C1" w:rsidRPr="009342F9" w:rsidRDefault="00FC79C1" w:rsidP="00D4095E">
      <w:pPr>
        <w:spacing w:after="0" w:line="240" w:lineRule="auto"/>
        <w:jc w:val="center"/>
        <w:rPr>
          <w:rFonts w:ascii="Arial" w:eastAsia="Times New Roman" w:hAnsi="Arial" w:cs="Arial"/>
          <w:b/>
          <w:bCs/>
          <w:color w:val="000000"/>
          <w:lang w:eastAsia="es-CO"/>
        </w:rPr>
      </w:pPr>
      <w:bookmarkStart w:id="1100" w:name="ver_30073250"/>
      <w:bookmarkEnd w:id="1100"/>
    </w:p>
    <w:p w14:paraId="30C4BD1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2.2.4.2.1.2.1 Identificación y determinación de los Macroproyectos. Para identificar y determinar un macroproyecto, el Ministerio de Ambiente, Vivienda y Desarrollo Territorial deberá tener en cuenta los siguientes criterios: </w:t>
      </w:r>
    </w:p>
    <w:p w14:paraId="06977BB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C7108B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La dinámica poblacional. </w:t>
      </w:r>
    </w:p>
    <w:p w14:paraId="176774E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6FB718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El déficit cuantitativo y cualitativo de vivienda de interés social. </w:t>
      </w:r>
    </w:p>
    <w:p w14:paraId="273FB5D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230CD8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El impacto territorial de la intervención. </w:t>
      </w:r>
    </w:p>
    <w:p w14:paraId="18371061" w14:textId="7AC717D1"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101" w:name="ver_30073251"/>
      <w:bookmarkEnd w:id="1101"/>
    </w:p>
    <w:p w14:paraId="137C263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2.2.4.2.1.2.2 Documento técnico de soporte. Con el fin de establecer si un Macroproyecto cumple con los criterios establecidos en el artículo anterior, se deberá elaborar un documento técnico de soporte que contenga los siguientes aspectos: </w:t>
      </w:r>
    </w:p>
    <w:p w14:paraId="1CD1EE2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CAB466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Objeto, descripción y localización del macroproyecto. </w:t>
      </w:r>
    </w:p>
    <w:p w14:paraId="11B7F81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9B65A8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Análisis de la dinámica poblacional que describa el impacto del macroproyecto en el respectivo municipio, distrito, área metropolitana o región. </w:t>
      </w:r>
    </w:p>
    <w:p w14:paraId="43BCFA9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3E72AA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Análisis del déficit cualitativo y cuantitativo de vivienda de interés social del municipio, distrito, área metropolitana y en su caso del área de influencia de las ciudades con más de 500.000 habitantes, de acuerdo con Resolución 461 de 2006 expedida por el Ministerio de Ambiente, Vivienda y Desarrollo Territorial, o la norma que la modifique, adicione o la sustituya. </w:t>
      </w:r>
    </w:p>
    <w:p w14:paraId="165B5B4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9C95EC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Descripción del impacto territorial de la intervención, entendido como los aportes demostrables al mejoramiento cualitativo y cuantitativo del hábitat existente, la oferta de nuevos equipamientos colectivos y la ampliación o mejoramiento de los servicios públicos, espacio público e infraestructura vial y de transporte en municipios, distritos, áreas metropolitanas y regiones del país. </w:t>
      </w:r>
    </w:p>
    <w:p w14:paraId="4D45C3A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8706CF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 Prefactibilidad técnica y financiera del macroproyecto. </w:t>
      </w:r>
    </w:p>
    <w:p w14:paraId="5C11CEA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2326F2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6. Las características ambientales, sociales, culturales y/o agrológicas de la zona en la cual se desarrollará el Macroproyecto, identificando las categorías de protección de que trata el artículo 2.2.2.2.1.3 del presente decreto y las demás categorías de protección al interior del perímetro urbano y de expansión </w:t>
      </w:r>
      <w:proofErr w:type="spellStart"/>
      <w:r w:rsidRPr="009342F9">
        <w:rPr>
          <w:rFonts w:ascii="Arial" w:eastAsia="Times New Roman" w:hAnsi="Arial" w:cs="Arial"/>
          <w:color w:val="000000"/>
          <w:lang w:eastAsia="es-CO"/>
        </w:rPr>
        <w:t>urba</w:t>
      </w:r>
      <w:proofErr w:type="spellEnd"/>
      <w:r w:rsidRPr="009342F9">
        <w:rPr>
          <w:rFonts w:ascii="Arial" w:eastAsia="Times New Roman" w:hAnsi="Arial" w:cs="Arial"/>
          <w:color w:val="000000"/>
          <w:lang w:eastAsia="es-CO"/>
        </w:rPr>
        <w:t xml:space="preserve"> </w:t>
      </w:r>
      <w:proofErr w:type="spellStart"/>
      <w:r w:rsidRPr="009342F9">
        <w:rPr>
          <w:rFonts w:ascii="Arial" w:eastAsia="Times New Roman" w:hAnsi="Arial" w:cs="Arial"/>
          <w:color w:val="000000"/>
          <w:lang w:eastAsia="es-CO"/>
        </w:rPr>
        <w:t>na</w:t>
      </w:r>
      <w:proofErr w:type="spellEnd"/>
      <w:r w:rsidRPr="009342F9">
        <w:rPr>
          <w:rFonts w:ascii="Arial" w:eastAsia="Times New Roman" w:hAnsi="Arial" w:cs="Arial"/>
          <w:color w:val="000000"/>
          <w:lang w:eastAsia="es-CO"/>
        </w:rPr>
        <w:t xml:space="preserve"> que se encuentren definidas en las normas urbanísticas estructurales de los Planes de Ordenamiento Territorial. </w:t>
      </w:r>
    </w:p>
    <w:p w14:paraId="6B654FC1" w14:textId="42FEA7DA"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102" w:name="ver_30073252"/>
      <w:bookmarkEnd w:id="1102"/>
    </w:p>
    <w:p w14:paraId="28B18A0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2.2.4.2.1.2.3 Macroproyectos sugeridos por entidades territoriales, áreas metropolitanas y/o por particulares. Las entidades territoriales, áreas metropolitanas y/o particulares podrán sugerir al Ministerio Ambiente, Vivienda y Desarrollo Territorial que se identifiquen o determinen Macroproyectos. Dicha solicitud deberá acreditar los requisitos de que trata el artículo anterior y anexar los siguientes documentos: </w:t>
      </w:r>
    </w:p>
    <w:p w14:paraId="3E095CE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83DD76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Certificado(s) de existencia y representación legal cuya fecha de expedición no sea mayor a un (1) mes, cuando se trate de personas jurídicas. Documento de identidad cuando se trate de personas naturales. </w:t>
      </w:r>
    </w:p>
    <w:p w14:paraId="477D107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3EE5A3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2. Poder debidamente otorgado por los propietarios de los bienes inmuebles, cuando el Macroproyecto haya sido sugerido por particulares (Numeral modificado por Decreto 3671 de 2009, artículo 2).  </w:t>
      </w:r>
    </w:p>
    <w:p w14:paraId="0A088CF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5137E3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3. La relación e identificación de los predios incluidos en la propuesta de delimitación y sus propietarios, localizándolos sobre la plancha IGAC o plano georreferenciado disponible en el municipio o distrito que haga sus veces a escala 1:2000 </w:t>
      </w:r>
      <w:proofErr w:type="spellStart"/>
      <w:r w:rsidRPr="009342F9">
        <w:rPr>
          <w:rFonts w:ascii="Arial" w:eastAsia="Times New Roman" w:hAnsi="Arial" w:cs="Arial"/>
          <w:color w:val="000000"/>
          <w:lang w:eastAsia="es-CO"/>
        </w:rPr>
        <w:t>ó</w:t>
      </w:r>
      <w:proofErr w:type="spellEnd"/>
      <w:r w:rsidRPr="009342F9">
        <w:rPr>
          <w:rFonts w:ascii="Arial" w:eastAsia="Times New Roman" w:hAnsi="Arial" w:cs="Arial"/>
          <w:color w:val="000000"/>
          <w:lang w:eastAsia="es-CO"/>
        </w:rPr>
        <w:t xml:space="preserve"> 1:5000, además de los respectivos certificados de tradición y libertad, cuya fecha de expedición no sea superior a un mes, así como la información catastral disponible de los predios objeto de la solicitud. </w:t>
      </w:r>
    </w:p>
    <w:p w14:paraId="57DD280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A560CB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El Ministerio Ambiente, Vivienda y Desarrollo Territorial evaluará el documento presentado, para lo cual contará con un término de sesenta (60) días hábiles contados a partir de su radicación, y comunicará la viabilidad de identificar y determinar el Macroproyecto sugerido, la cual no generará obligación de formular o adoptar dicho Macroproyecto. </w:t>
      </w:r>
    </w:p>
    <w:p w14:paraId="23BCEFF6" w14:textId="20253B28"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103" w:name="ver_30073253"/>
      <w:bookmarkEnd w:id="1103"/>
    </w:p>
    <w:p w14:paraId="224E7D6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2.2.4.2.1.2.4 Anuncio de los Macroproyectos. La identificación y determinación del Macroproyecto culminará con su anuncio mediante resolución expedida por el Ministro de Ambiente, Vivienda y Desarrollo Territorial, de conformidad con los términos y para los efectos del parágrafo 1 del artículo 61 de la Ley 388 de 1997. </w:t>
      </w:r>
    </w:p>
    <w:p w14:paraId="382D5B0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F0A762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El acto administrativo que constituye el anuncio del Macroproyecto tendrá, por lo menos, el siguiente contenido: </w:t>
      </w:r>
    </w:p>
    <w:p w14:paraId="0F64C3F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7BE9AD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El plano que delimita mediante coordenadas geográficas el área preliminar en la cual se formulará el Macroproyecto. </w:t>
      </w:r>
    </w:p>
    <w:p w14:paraId="5648231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8763D0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La orden de solicitar la práctica de avalúos de referencia para determinar el precio del suelo antes del anuncio del proyecto, programa u obra, cuando estos no hayan sido presentados con el documento técnico de soporte de que trata el artículo 6 del presente decreto. </w:t>
      </w:r>
    </w:p>
    <w:p w14:paraId="5B0F5CE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76BE85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Dichos avalúos deberán tener en cuenta la reglamentación urbanística vigente antes del anuncio y en ningún caso incorporarán las expectativas que pueda generar el Macroproyecto. </w:t>
      </w:r>
    </w:p>
    <w:p w14:paraId="01BCB34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F35D59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La orden de publicación del anuncio en el Diario Oficial, Gaceta o registro municipal o distrital, o en el medio oficial idóneo del respectivo municipio o distrito y en un diario de amplia circulación en el municipio o distrito. </w:t>
      </w:r>
    </w:p>
    <w:p w14:paraId="0F503AA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3E6207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Parágrafo 1°. El Instituto Geográfico Agustín Codazzi (IGAC), la entidad que cumpla sus funciones o peritos privados inscritos en las lonjas o asociaciones correspondientes, según lo determinado por el Decreto-ley 2150 de 1995 o la norma que lo modifique, adicione o sustituya, descontará del valor comercial de los inmuebles individuales, que se requieran para el desarrollo del Macroproyecto, el monto correspondiente al mayor valor generado por el anuncio </w:t>
      </w:r>
      <w:proofErr w:type="gramStart"/>
      <w:r w:rsidRPr="009342F9">
        <w:rPr>
          <w:rFonts w:ascii="Arial" w:eastAsia="Times New Roman" w:hAnsi="Arial" w:cs="Arial"/>
          <w:color w:val="000000"/>
          <w:lang w:eastAsia="es-CO"/>
        </w:rPr>
        <w:t>del mismo</w:t>
      </w:r>
      <w:proofErr w:type="gramEnd"/>
      <w:r w:rsidRPr="009342F9">
        <w:rPr>
          <w:rFonts w:ascii="Arial" w:eastAsia="Times New Roman" w:hAnsi="Arial" w:cs="Arial"/>
          <w:color w:val="000000"/>
          <w:lang w:eastAsia="es-CO"/>
        </w:rPr>
        <w:t>. </w:t>
      </w:r>
    </w:p>
    <w:p w14:paraId="7E79016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337836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Parágrafo 2°. El anuncio de que trata este artículo no generará obligación de formular o adoptar el respectivo Macroproyecto ni obligará a la Administración a presentar oferta de compra sobre los bienes objeto </w:t>
      </w:r>
      <w:proofErr w:type="gramStart"/>
      <w:r w:rsidRPr="009342F9">
        <w:rPr>
          <w:rFonts w:ascii="Arial" w:eastAsia="Times New Roman" w:hAnsi="Arial" w:cs="Arial"/>
          <w:color w:val="000000"/>
          <w:lang w:eastAsia="es-CO"/>
        </w:rPr>
        <w:t>del mismo</w:t>
      </w:r>
      <w:proofErr w:type="gramEnd"/>
      <w:r w:rsidRPr="009342F9">
        <w:rPr>
          <w:rFonts w:ascii="Arial" w:eastAsia="Times New Roman" w:hAnsi="Arial" w:cs="Arial"/>
          <w:color w:val="000000"/>
          <w:lang w:eastAsia="es-CO"/>
        </w:rPr>
        <w:t>. </w:t>
      </w:r>
    </w:p>
    <w:p w14:paraId="07A29A9C" w14:textId="1BEFEEF8" w:rsidR="00D4095E"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104" w:name="ver_30073254"/>
      <w:bookmarkEnd w:id="1104"/>
    </w:p>
    <w:p w14:paraId="5F7C4760" w14:textId="4C86A2ED" w:rsidR="00FC79C1" w:rsidRPr="009342F9" w:rsidRDefault="00FC79C1" w:rsidP="00D4095E">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SUBSECCIÓN 3</w:t>
      </w:r>
    </w:p>
    <w:p w14:paraId="3DCB22D7" w14:textId="77777777" w:rsidR="00FC79C1" w:rsidRPr="009342F9" w:rsidRDefault="00FC79C1" w:rsidP="00D4095E">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FORMULACIÓN DE LOS MACROPROYECTOS</w:t>
      </w:r>
    </w:p>
    <w:p w14:paraId="35045A56"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105" w:name="ver_30073255"/>
      <w:bookmarkEnd w:id="1105"/>
    </w:p>
    <w:p w14:paraId="030A72F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Artículo 2.2.4.2.1.3.1 Formulación de los Macroproyectos. El Ministerio de Ambiente, Vivienda y Desarrollo Territorial formulará los Macroproyectos teniendo en cuenta los siguientes contenidos: </w:t>
      </w:r>
    </w:p>
    <w:p w14:paraId="42E9C39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D00C7A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Delimitación definitiva del área mediante coordenadas geográficas donde se desarrollarán las actuaciones urbanísticas previstas en las normas que adopte el macroproyecto. </w:t>
      </w:r>
    </w:p>
    <w:p w14:paraId="41F9308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FC8A95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Estudio ambiental que deberá contemplar la descripción, caracterización y análisis ambiental del área en la cual se pretende desarrollar el Macroproyecto, incluyendo la identificación y delimitación de las áreas que componen la estructura ecológica principal y aquellos otros elementos que por sus valores ambientales, naturales o paisajísticos deban ser conservados, así como la identificación y evaluación de los efectos ambientales indicando las medidas para su manejo, conservación y protección. Igualmente incluirá la identificación de los recursos naturales renovables que requieran ser aprovechados para la ejecución del Macroproyecto y la solicitud de sustracción de las áreas de reserva forestal de carácter nacional, cuando la adopción y ejecución del Macroproyecto presentado implique su intervención. (Numeral modificado por Decreto 3671 de 2009, artículo 4). </w:t>
      </w:r>
    </w:p>
    <w:p w14:paraId="2014CB0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8BD279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Formulación general de la estructura urbana, la cual contemplará: </w:t>
      </w:r>
    </w:p>
    <w:p w14:paraId="6BA42B6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422426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3.1 Localización y trazado del sistema de movilidad (malla arterial e intermedia, y sistemas de transporte urbano y regional). </w:t>
      </w:r>
    </w:p>
    <w:p w14:paraId="015A023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513FCE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3.2 Localización y trazado de la estructura de espacio público (parques, plazas, alamedas y otros espacios peatonales). </w:t>
      </w:r>
    </w:p>
    <w:p w14:paraId="1ADA0C9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A22378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3.3 Localización y trazado de la infraestructura de servicios públicos domiciliarios. </w:t>
      </w:r>
    </w:p>
    <w:p w14:paraId="4DB8153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A13F35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3.4 El dimensionamiento y las condiciones para la localización de equipamientos colectivos tales como educación, cultura, salud, bienestar social, culto, deporte; y equipamientos de servicios públicos tales como seguridad, defensa y justicia, abastecimiento de alimentos, recintos feriales, mataderos, cementerios, administración pública, terminales de transporte y carga, y aeropuertos. </w:t>
      </w:r>
    </w:p>
    <w:p w14:paraId="5A6C430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65524C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3.5 Las condiciones para la localización de los usos previstos en el macroproyecto, con especial énfasis en la localización de los terrenos para la vivienda de interés social y/o de interés prioritario. </w:t>
      </w:r>
    </w:p>
    <w:p w14:paraId="0B701AE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6C5672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El proyecto de normas urbanísticas necesarias para el desarrollo de los usos contemplados en cada una de las unidades de ejecución. </w:t>
      </w:r>
    </w:p>
    <w:p w14:paraId="3E1470A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132BD2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 Estructuración financiera del Macroproyecto, la cual deberá contemplar los siguientes aspectos: </w:t>
      </w:r>
    </w:p>
    <w:p w14:paraId="028FCFD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22483C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5.1 Presupuesto general. </w:t>
      </w:r>
    </w:p>
    <w:p w14:paraId="2DE056F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27615C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5.2 Fuentes de financiación. </w:t>
      </w:r>
    </w:p>
    <w:p w14:paraId="572D71E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5771D6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5.3 Cronograma de actividades. </w:t>
      </w:r>
    </w:p>
    <w:p w14:paraId="45B0EA7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F209BF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(Numeral modificado por Decreto 3671 de 2009, artículo 5) </w:t>
      </w:r>
    </w:p>
    <w:p w14:paraId="110C5BC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2299D3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6. Estrategia de gestión y fases para su ejecución. </w:t>
      </w:r>
    </w:p>
    <w:p w14:paraId="3181ECA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w:t>
      </w:r>
    </w:p>
    <w:p w14:paraId="605F8A3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Salvo los componentes señalados en los numerales 4, 5 y 6 del presente artículo, los demás deberán quedar plasmados en cartografía en la escala que se determine en el acto administrativo de adopción del macroproyecto. </w:t>
      </w:r>
    </w:p>
    <w:p w14:paraId="4C45725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F41173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La estructuración financiera de cada macroproyecto deberá contemplar los mecanismos que aseguren su ejecución. </w:t>
      </w:r>
    </w:p>
    <w:p w14:paraId="0DAD80E1" w14:textId="59AD42EE"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106" w:name="ver_30073257"/>
      <w:bookmarkEnd w:id="1106"/>
    </w:p>
    <w:p w14:paraId="5435FB7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2.2.4.2.1.3.2 Estudios para la formulación de macroproyectos de interés social nacional sugeridos por entidades territoriales, áreas metropolitanas o particulares. Las entidades territoriales, áreas metropolitanas o particulares podrán presentar los estudios ambientales, técnicos y financieros correspondientes y los demás requisitos y documentos con base en los cuales el Ministerio podrá adelantar la formulación del Macroproyecto de acuerdo con lo establecido en el artículo anterior. </w:t>
      </w:r>
    </w:p>
    <w:p w14:paraId="35FD329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D8A985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Estudio ambiental deberá contemplar la descripción, caracterización y análisis ambiental del área en la cual se pretende desarrollar el Macroproyecto, incluyendo la identificación y delimitación de las áreas que componen la estructura ecológica principal y aquellos otros elementos que por sus valores ambientales, naturales o paisajísticos deban ser conservados, así como la identificación y evaluación de los efectos ambientales indicando las medidas para su manejo, conservación y protección. Igualmente incluirá la identificación de los recursos naturales renovables que requieran ser aprovechados para la ejecución del Macroproyecto y la solicitud de sustracción de las áreas de reserva forestal de carácter nacional, cuando la adopción y ejecución del Macroproyecto presentado implique su intervención. </w:t>
      </w:r>
    </w:p>
    <w:p w14:paraId="5902C7A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AB306A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El Ministerio de Ambiente, Vivienda y Desarrollo Territorial realizará la evaluación técnica, financiera y ambiental de los estudios, para lo cual tendrá un término de ciento veinte (120) días hábiles, contados a partir de la radicación de los documentos de que trata este artículo. </w:t>
      </w:r>
    </w:p>
    <w:p w14:paraId="2113D19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05D922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Los estudios que presenten las entidades territoriales, áreas metropolitanas o particulares no generarán la obligación de formular o adoptar el respectivo Macroproyecto. </w:t>
      </w:r>
    </w:p>
    <w:p w14:paraId="70BC063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847E42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El Ministerio de Ambiente, Vivienda y Desarrollo Territorial, mediante resolución, podrá establecer requisitos técnicos, financieros y legales complementarios para la elaboración de los estudios de que trata este artículo. </w:t>
      </w:r>
    </w:p>
    <w:p w14:paraId="7B188517" w14:textId="7B883EED"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107" w:name="ver_30073259"/>
      <w:bookmarkEnd w:id="1107"/>
    </w:p>
    <w:p w14:paraId="76B6B99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2.2.4.2.1.3.3 Aviso a los municipios y distritos. Formulado el Macroproyecto, el Ministerio de Ambiente, Vivienda y Desarrollo Territorial dará aviso mediante comunicación escrita a los representantes legales de los municipios y/o distritos en cuya jurisdicción se ejecutará el Macroproyecto, con el propósito de que las acciones urbanísticas que pretendan desarrollar estas entidades territoriales en las áreas que hagan parte del Macroproyecto sean concertadas con el Ministerio de Ambiente, Vivienda y Desarrollo Territorial. </w:t>
      </w:r>
    </w:p>
    <w:p w14:paraId="5AFAC7F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1D6678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Los alcaldes de los municipios o distritos en los cuales se vayan a ejecutar los Macroproyectos contarán con un término máximo de treinta (30) días hábiles, contados a partir de la fecha de recibo del aviso para que presenten propuestas u observaciones. </w:t>
      </w:r>
    </w:p>
    <w:p w14:paraId="794DCE1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8E7A5A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Si dentro del plazo establecido, el Ministerio no hubiere recibido propuestas u observaciones, podrá adoptar el Macroproyecto. Las observaciones que presenten los municipios y distritos deberán resolverse en el acto administrativo de adopción. </w:t>
      </w:r>
    </w:p>
    <w:p w14:paraId="44123F80" w14:textId="12F824FA" w:rsidR="00D4095E"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108" w:name="ver_30073260"/>
      <w:bookmarkEnd w:id="1108"/>
    </w:p>
    <w:p w14:paraId="5978AF78" w14:textId="64253C95" w:rsidR="00FC79C1" w:rsidRPr="009342F9" w:rsidRDefault="00FC79C1" w:rsidP="00D4095E">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lastRenderedPageBreak/>
        <w:t>SUBSECCIÓN 4</w:t>
      </w:r>
    </w:p>
    <w:p w14:paraId="05F07087" w14:textId="77777777" w:rsidR="00FC79C1" w:rsidRPr="009342F9" w:rsidRDefault="00FC79C1" w:rsidP="00D4095E">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ADOPCIÓN DE MACROPROYECTOS</w:t>
      </w:r>
    </w:p>
    <w:p w14:paraId="7419AE07"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109" w:name="ver_30073261"/>
      <w:bookmarkEnd w:id="1109"/>
    </w:p>
    <w:p w14:paraId="18362B3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2.2.4.2.1.4.1 Adopción de los Macroproyectos. Una vez surtidas las etapas anteriores, el Ministerio de Ambiente, Vivienda y Desarrollo Territorial podrá adoptar el Macroproyecto el cual incluirá las licencias, permisos autorizaciones y concesiones de carácter ambiental que se </w:t>
      </w:r>
      <w:proofErr w:type="gramStart"/>
      <w:r w:rsidRPr="009342F9">
        <w:rPr>
          <w:rFonts w:ascii="Arial" w:eastAsia="Times New Roman" w:hAnsi="Arial" w:cs="Arial"/>
          <w:color w:val="000000"/>
          <w:lang w:eastAsia="es-CO"/>
        </w:rPr>
        <w:t>requieran</w:t>
      </w:r>
      <w:proofErr w:type="gramEnd"/>
      <w:r w:rsidRPr="009342F9">
        <w:rPr>
          <w:rFonts w:ascii="Arial" w:eastAsia="Times New Roman" w:hAnsi="Arial" w:cs="Arial"/>
          <w:color w:val="000000"/>
          <w:lang w:eastAsia="es-CO"/>
        </w:rPr>
        <w:t xml:space="preserve"> así como la sustracción de las áreas de reserva forestal nacional cuando la adopción y ejecución del Macroproyecto implique su intervención. </w:t>
      </w:r>
    </w:p>
    <w:p w14:paraId="7124D3B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CDBF60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Una vez entre en vigencia el acto administrativo por el cual se adopte un Macroproyecto se enviará copia </w:t>
      </w:r>
      <w:proofErr w:type="gramStart"/>
      <w:r w:rsidRPr="009342F9">
        <w:rPr>
          <w:rFonts w:ascii="Arial" w:eastAsia="Times New Roman" w:hAnsi="Arial" w:cs="Arial"/>
          <w:color w:val="000000"/>
          <w:lang w:eastAsia="es-CO"/>
        </w:rPr>
        <w:t>del mismo</w:t>
      </w:r>
      <w:proofErr w:type="gramEnd"/>
      <w:r w:rsidRPr="009342F9">
        <w:rPr>
          <w:rFonts w:ascii="Arial" w:eastAsia="Times New Roman" w:hAnsi="Arial" w:cs="Arial"/>
          <w:color w:val="000000"/>
          <w:lang w:eastAsia="es-CO"/>
        </w:rPr>
        <w:t xml:space="preserve"> a los municipios, distritos y autoridades ambientales con jurisdicción en su área de ejecución. </w:t>
      </w:r>
    </w:p>
    <w:p w14:paraId="0D7ACB8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ADFCBF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Los municipios y distritos en los cuales se ejecuten los macroproyectos serán los beneficiarios de la plusvalía que se genere por la adopción de </w:t>
      </w:r>
      <w:proofErr w:type="gramStart"/>
      <w:r w:rsidRPr="009342F9">
        <w:rPr>
          <w:rFonts w:ascii="Arial" w:eastAsia="Times New Roman" w:hAnsi="Arial" w:cs="Arial"/>
          <w:color w:val="000000"/>
          <w:lang w:eastAsia="es-CO"/>
        </w:rPr>
        <w:t>los mismos</w:t>
      </w:r>
      <w:proofErr w:type="gramEnd"/>
      <w:r w:rsidRPr="009342F9">
        <w:rPr>
          <w:rFonts w:ascii="Arial" w:eastAsia="Times New Roman" w:hAnsi="Arial" w:cs="Arial"/>
          <w:color w:val="000000"/>
          <w:lang w:eastAsia="es-CO"/>
        </w:rPr>
        <w:t>, y podrán destinar dichos recursos para el desarrollo del macroproyecto en los términos del artículo 85 de la Ley 388 de 1997. </w:t>
      </w:r>
    </w:p>
    <w:p w14:paraId="36A0CA9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1884F4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1°. Las áreas incluidas en un Macroproyecto, que no se encuentren en suelo urbano se considerarán incorporadas a esta clase de suelo cuando se acredite la calidad de áreas urbanizadas, entendiendo por estas últimas las áreas conformadas por los predios que, de conformidad con las normas urbanísticas del respectivo macroproyecto, hayan culminado la ejecución de las obras y dotaciones a cargo del urbanizador sobre las zonas de cesión obligatoria contempladas en la respectiva licencia y hecho entrega de ellas a satisfacción de los municipios y distritos, así como de las empresas de servicios públicos domiciliarios correspondientes, cuando sea del caso, en los términos de que tratan el artículo 2.2.6.1.4.6 y siguientes del presente decreto, la reglamentación aplicable a los servicios públicos domiciliarios y las demás normas que los adicionen, modifiquen o sustituyan. </w:t>
      </w:r>
    </w:p>
    <w:p w14:paraId="75573E5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F00B6F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2°. De conformidad con lo establecido en el Parágrafo 4 del artículo 83 de la Ley 388 de 1997, los municipios podrán exonerar del cobro de la participación en plusvalía a los inmuebles destinados a vivienda de interés social. </w:t>
      </w:r>
    </w:p>
    <w:p w14:paraId="49776C9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58E587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3°. Los macroproyectos reglamentados en el presente decreto únicamente requerirán la adopción de planes parciales para su ejecución cuando así lo determine el acto administrativo que lo adopte y la entidad ejecutora tendrá la iniciativa para su formulación. </w:t>
      </w:r>
    </w:p>
    <w:p w14:paraId="23169687" w14:textId="02177F87" w:rsidR="00D4095E"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110" w:name="ver_30073263"/>
      <w:bookmarkEnd w:id="1110"/>
    </w:p>
    <w:p w14:paraId="65FB42D9" w14:textId="66C93264" w:rsidR="00FC79C1" w:rsidRPr="009342F9" w:rsidRDefault="00FC79C1" w:rsidP="00D4095E">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SUBSECCIÓN 5</w:t>
      </w:r>
    </w:p>
    <w:p w14:paraId="734069AD" w14:textId="77777777" w:rsidR="00FC79C1" w:rsidRPr="009342F9" w:rsidRDefault="00FC79C1" w:rsidP="00D4095E">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EJECUCIÓN DE MACROPROYECTOS</w:t>
      </w:r>
    </w:p>
    <w:p w14:paraId="092312CE" w14:textId="77777777" w:rsidR="00FC79C1" w:rsidRPr="009342F9" w:rsidRDefault="00FC79C1" w:rsidP="00D4095E">
      <w:pPr>
        <w:spacing w:after="0" w:line="240" w:lineRule="auto"/>
        <w:jc w:val="center"/>
        <w:rPr>
          <w:rFonts w:ascii="Arial" w:eastAsia="Times New Roman" w:hAnsi="Arial" w:cs="Arial"/>
          <w:b/>
          <w:bCs/>
          <w:color w:val="000000"/>
          <w:lang w:eastAsia="es-CO"/>
        </w:rPr>
      </w:pPr>
      <w:bookmarkStart w:id="1111" w:name="ver_30073264"/>
      <w:bookmarkEnd w:id="1111"/>
    </w:p>
    <w:p w14:paraId="21950D2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2.2.4.2.1.5.1 Licencias urbanísticas para la ejecución de Macroproyectos. Las licencias urbanísticas para el macroproyecto se otorgarán con sujeción a las normas urbanísticas adoptadas en este. Dichas normas serán de obligatorio cumplimiento por parte de quien tenga la competencia para expedir las licencias urbanísticas. El Ministerio de Ambiente, Vivienda y Desarrollo Territorial por solicitud de la autoridad competente para expedir licencias urbanísticas, se pronunciará sobre las contradicciones y vacíos que se presenten en la interpretación de las normas contenidas en los decretos de adopción de los Macroproyectos. </w:t>
      </w:r>
    </w:p>
    <w:p w14:paraId="6E2754D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5EF49C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Corresponderá a la autoridad municipal o distrital o a los curadores urbanos, según el caso, estudiar, tramitar y expedir la licencia urbanística en aplicación y cumplimiento de las normas adoptadas en los Macroproyectos. </w:t>
      </w:r>
    </w:p>
    <w:p w14:paraId="77EE004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08D8B6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Los Macroproyectos que involucren áreas de terreno de varios municipios o distritos, únicamente se podrán ejecutar mediante la obtención de licencias urbanísticas por etapas correspondientes a cada una de las unidades de ejecución. Cada una de estas unidades deberá delimitarse dentro de un sólo municipio o distrito. </w:t>
      </w:r>
    </w:p>
    <w:p w14:paraId="512A69C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329C6D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1°. Se entiende por unidad de ejecución el área integrada por uno o más predios, específicamente determinada sobre la cual se adelantarán las actuaciones urbanísticas propias de la operación a gran escala objeto del Macroproyecto. Este último podrá conformarse por una o varias unidades de ejecución, para efectos de contemplar su desarrollo por fases. </w:t>
      </w:r>
    </w:p>
    <w:p w14:paraId="54BD5A6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F42F64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Parágrafo 2°. Además de lo dispuesto en el Título 6 de la Parte 2 del presente decreto en materia de licencias urbanísticas, podrán ser titulares de licencias urbanísticas para el desarrollo de los predios incluidos en los Macroproyectos, las entidades públicas que hayan expedido el acto administrativo por medio del cual se disponga la adquisición de tales predios mediante enajenación voluntaria, con la respectiva oferta de compra, a partir de la fecha en que aquel acto se inscriba en el folio de matrícula inmobiliaria de cada inmueble. En todo caso, no se podrá ejecutar ninguna obra sobre el predio o predios objeto de adquisición hasta tanto se haga la entrega de </w:t>
      </w:r>
      <w:proofErr w:type="gramStart"/>
      <w:r w:rsidRPr="009342F9">
        <w:rPr>
          <w:rFonts w:ascii="Arial" w:eastAsia="Times New Roman" w:hAnsi="Arial" w:cs="Arial"/>
          <w:color w:val="000000"/>
          <w:lang w:eastAsia="es-CO"/>
        </w:rPr>
        <w:t>los mismos</w:t>
      </w:r>
      <w:proofErr w:type="gramEnd"/>
      <w:r w:rsidRPr="009342F9">
        <w:rPr>
          <w:rFonts w:ascii="Arial" w:eastAsia="Times New Roman" w:hAnsi="Arial" w:cs="Arial"/>
          <w:color w:val="000000"/>
          <w:lang w:eastAsia="es-CO"/>
        </w:rPr>
        <w:t>. </w:t>
      </w:r>
    </w:p>
    <w:p w14:paraId="36CA3B28" w14:textId="71C1A24C"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112" w:name="ver_30073265"/>
      <w:bookmarkEnd w:id="1112"/>
    </w:p>
    <w:p w14:paraId="074C4BB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2.2.4.2.1.5.2 Ejecución de los Macroproyectos. La ejecución de los Macroproyectos estará a cargo del Fondo Nacional de Vivienda, FONVIVIENDA, y/o de las entidades territoriales. Las áreas metropolitanas y/o los particulares podrán participar en la ejecución de los Macroproyectos, en los términos que se disponga en el acto administrativo que lo adopte. </w:t>
      </w:r>
    </w:p>
    <w:p w14:paraId="150191B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83EB71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De acuerdo con lo determinado en el artículo 12 del Decreto-ley 555 de 2003, así como en los artículos 79 y 82 de la Ley 1151 de 2007, el manejo de los recursos para la ejecución de los Macroproyectos a cargo de FONVIVIENDA podrá ser contratado total o parcialmente mediante contratos de fiducia mercantil, encargo fiduciario, fondos fiduciarios, de mandato, convenios de administración y demás negocios jurídicos que sean necesarios, así como gerencias de proyecto o patrimonios autónomos. </w:t>
      </w:r>
    </w:p>
    <w:p w14:paraId="1904043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A2297C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Para garantizar la transparencia y eficiencia en la administración y ejecución de los recursos de Fonvivienda, estos serán manejados a través de cuentas separadas. </w:t>
      </w:r>
    </w:p>
    <w:p w14:paraId="6BDE2724" w14:textId="7B6BE42D"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113" w:name="ver_30073266"/>
      <w:bookmarkEnd w:id="1113"/>
    </w:p>
    <w:p w14:paraId="44908E2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2.2.4.2.1.5.3 Esquemas de participación. El Gobierno Nacional podrá financiar directamente o bajo esquemas de participación público-privada los Macroproyectos y contratar las actividades relacionadas con la gerencia, supervisión y seguimiento de cada uno de ellos. </w:t>
      </w:r>
    </w:p>
    <w:p w14:paraId="78AB6F8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3E2485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Para la ejecución de Macroproyectos las autoridades nacionales y territoriales podrán celebrar contratos de fiducia mercantil, en calidad de fideicomitentes y/o beneficiarios en los que además podrán ser aportantes los particulares y percibir derechos de participación del fideicomiso. </w:t>
      </w:r>
    </w:p>
    <w:p w14:paraId="01E9E22F" w14:textId="0B50096E" w:rsidR="00D4095E"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114" w:name="ver_30073268"/>
      <w:bookmarkEnd w:id="1114"/>
    </w:p>
    <w:p w14:paraId="5214C194" w14:textId="4F9F0842" w:rsidR="00FC79C1" w:rsidRPr="009342F9" w:rsidRDefault="00FC79C1" w:rsidP="00D4095E">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SUBSECCIÓN 6</w:t>
      </w:r>
    </w:p>
    <w:p w14:paraId="01533E16" w14:textId="77777777" w:rsidR="00FC79C1" w:rsidRPr="009342F9" w:rsidRDefault="00FC79C1" w:rsidP="00D4095E">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MACROPROYECTOS DE INTERÉS SOCIAL NACIONAL QUE SE ENCUENTREN ADOPTADOS</w:t>
      </w:r>
    </w:p>
    <w:p w14:paraId="3EF46049" w14:textId="77777777" w:rsidR="000D2B8A" w:rsidRDefault="000D2B8A" w:rsidP="00D4095E">
      <w:pPr>
        <w:spacing w:after="0" w:line="240" w:lineRule="auto"/>
        <w:jc w:val="center"/>
        <w:rPr>
          <w:rFonts w:ascii="Arial" w:eastAsia="Times New Roman" w:hAnsi="Arial" w:cs="Arial"/>
          <w:b/>
          <w:bCs/>
          <w:color w:val="000000"/>
          <w:lang w:eastAsia="es-CO"/>
        </w:rPr>
      </w:pPr>
    </w:p>
    <w:p w14:paraId="71817402" w14:textId="230CB554" w:rsidR="00FC79C1" w:rsidRPr="009342F9" w:rsidRDefault="00FC79C1" w:rsidP="00D4095E">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SUBSUBSECCIÓN 1</w:t>
      </w:r>
    </w:p>
    <w:p w14:paraId="0E4C5C67" w14:textId="77777777" w:rsidR="00FC79C1" w:rsidRPr="009342F9" w:rsidRDefault="00FC79C1" w:rsidP="00D4095E">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DISPOSICIONES GENERALES</w:t>
      </w:r>
    </w:p>
    <w:p w14:paraId="22819B2F"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115" w:name="ver_30073270"/>
      <w:bookmarkEnd w:id="1115"/>
    </w:p>
    <w:p w14:paraId="612B23A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2.2.4.2.1.6.1.1 Requisitos para la ampliación de Macroproyectos de Interés Social Nacional adoptados. Los Macroproyectos de Interés Social Nacional (MISN) que se encuentran </w:t>
      </w:r>
      <w:r w:rsidRPr="009342F9">
        <w:rPr>
          <w:rFonts w:ascii="Arial" w:eastAsia="Times New Roman" w:hAnsi="Arial" w:cs="Arial"/>
          <w:color w:val="000000"/>
          <w:lang w:eastAsia="es-CO"/>
        </w:rPr>
        <w:lastRenderedPageBreak/>
        <w:t>adoptados a la entrada en vigencia del Decreto 4821 de 2010, en concordancia con lo previsto en el artículo 79 de la Ley 1151 de 2007 así como lo previsto en la presente sección, podrán ampliar su área de intervención siempre y cuando esta modificación esté dirigida a incorporar nuevos suelos urbanizables o proyectos de vivienda, y el 100% del área residencial se destine para: (i) Personas damnificadas por la situación de desastre, incluidas en los sistemas de información que para el efecto determine el Gobierno Nacional; o (ii) Personas ubicadas en zonas de alto riesgo no mitigable y que deban ser reubicadas, según lo determine la oficina competente del respetivo municipio o distrito. En este caso, sólo se permitirá el desarrollo de usos complementarios y compatibles a la actividad residencial. </w:t>
      </w:r>
    </w:p>
    <w:p w14:paraId="4F03A5B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9FA4F5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El área de ampliación del respectivo MISN deberá estar ubicada en el mismo municipio o distrito donde se encuentra el MISN adoptado. </w:t>
      </w:r>
    </w:p>
    <w:p w14:paraId="60D82617" w14:textId="1A6C6FF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116" w:name="ver_30073282"/>
      <w:bookmarkEnd w:id="1116"/>
    </w:p>
    <w:p w14:paraId="5F3A185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2.2.4.2.1.6.1.2 Titulares de la iniciativa. Además del Ministerio de Ambiente, Vivienda y Desarrollo Territorial podrán solicitar la ampliación de MISN la entidad territorial y/o el particular que hubieran sugerido el Macroproyecto que se encuentre adoptado. </w:t>
      </w:r>
    </w:p>
    <w:p w14:paraId="3388F982" w14:textId="4AD16214"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117" w:name="ver_30073284"/>
      <w:bookmarkEnd w:id="1117"/>
    </w:p>
    <w:p w14:paraId="28D8C74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2.2.4.2.1.6.1.3 Fases de la ampliación de MISN. Para efectos de ampliar el área de los MISN que se encuentren adoptados de acuerdo con lo dispuesto en la presente sección, los interesados deberán adelantar las siguientes fases: </w:t>
      </w:r>
    </w:p>
    <w:p w14:paraId="1F6264A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CBB734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Identificación y determinación. </w:t>
      </w:r>
    </w:p>
    <w:p w14:paraId="5E41DE6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FFEFCE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Formulación. </w:t>
      </w:r>
    </w:p>
    <w:p w14:paraId="1439D73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A01CE3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Adopción. </w:t>
      </w:r>
    </w:p>
    <w:p w14:paraId="025001A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25BFA9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La ampliación del área del MISN para atender a personas damnificadas y/o personas ubicadas en zonas de alto riesgo que deban ser reubicadas por el fenómeno de La Niña 2010-2011 la situación de desastre y/o personas ubicadas en zonas de alto riesgo no mitigable y que deban ser reubicadas, se regirá exclusivamente por la presente Subsección. </w:t>
      </w:r>
    </w:p>
    <w:p w14:paraId="2DA9896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E6CB25D" w14:textId="399519D4" w:rsidR="00FC79C1" w:rsidRPr="009342F9" w:rsidRDefault="00FC79C1" w:rsidP="00D4095E">
      <w:pPr>
        <w:spacing w:after="0" w:line="240" w:lineRule="auto"/>
        <w:jc w:val="center"/>
        <w:rPr>
          <w:rFonts w:ascii="Arial" w:eastAsia="Times New Roman" w:hAnsi="Arial" w:cs="Arial"/>
          <w:b/>
          <w:bCs/>
          <w:color w:val="000000"/>
          <w:lang w:eastAsia="es-CO"/>
        </w:rPr>
      </w:pPr>
      <w:bookmarkStart w:id="1118" w:name="ver_30073285"/>
      <w:bookmarkEnd w:id="1118"/>
      <w:r w:rsidRPr="009342F9">
        <w:rPr>
          <w:rFonts w:ascii="Arial" w:eastAsia="Times New Roman" w:hAnsi="Arial" w:cs="Arial"/>
          <w:b/>
          <w:bCs/>
          <w:color w:val="000000"/>
          <w:lang w:eastAsia="es-CO"/>
        </w:rPr>
        <w:t>SUBSUBSECCIÓN 2</w:t>
      </w:r>
    </w:p>
    <w:p w14:paraId="3B038BC0" w14:textId="77777777" w:rsidR="00FC79C1" w:rsidRPr="009342F9" w:rsidRDefault="00FC79C1" w:rsidP="00D4095E">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PROCEDIMIENTO APLICABLE PARA LA AMPLIACIÓN DEL ÁREA DE MISN</w:t>
      </w:r>
    </w:p>
    <w:p w14:paraId="12152928"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119" w:name="ver_30073288"/>
      <w:bookmarkEnd w:id="1119"/>
    </w:p>
    <w:p w14:paraId="50D8A64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2.2.4.2.1.6.2.1 Identificación y determinación. Para identificar y determinar la ampliación del área de un MISN, el interesado deberá presentar al Ministerio de Ambiente, Vivienda y Desarrollo Territorial toda la documentación e información contenida en el artículo 2.2.4.3.2.1 del presente decreto referida únicamente al área del MISN que se pretende ampliar. </w:t>
      </w:r>
    </w:p>
    <w:p w14:paraId="22705F0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BF9F92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Cuando la iniciativa provenga del municipio, distrito o promotor del macroproyecto adoptado, el interesado deberá adicionalmente adjuntar a su solicitud la información y documentación relacionada en el 2.2.4.3.2.2 del presente decreto. </w:t>
      </w:r>
    </w:p>
    <w:p w14:paraId="4FD7A80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F55049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Una vez verificada la existencia de todos los documentos y requisitos requeridos, el Ministerio de Ambiente, Vivienda y Desarrollo Territorial o la entidad que se designe para el efecto, evaluará la prefactibilidad de la solicitud de ampliación del área del MISN, para lo cual contará con un término de quince (15) días hábiles contados a partir de su radicación. </w:t>
      </w:r>
    </w:p>
    <w:p w14:paraId="1B9E8AC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C3E86F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Cuando el Ministerio determine que la solicitud de ampliación del área del MISN cuenta con prefactibilidad expedirá el acto administrativo de anuncio en los términos y las consecuencias previstas en el artículo 2.2.4.3.3.1 del presente decreto. </w:t>
      </w:r>
    </w:p>
    <w:p w14:paraId="75CBFAE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D648B7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Parágrafo 1°. En los macroproyectos adoptados que existieran áreas </w:t>
      </w:r>
      <w:proofErr w:type="gramStart"/>
      <w:r w:rsidRPr="009342F9">
        <w:rPr>
          <w:rFonts w:ascii="Arial" w:eastAsia="Times New Roman" w:hAnsi="Arial" w:cs="Arial"/>
          <w:color w:val="000000"/>
          <w:lang w:eastAsia="es-CO"/>
        </w:rPr>
        <w:t>anunciadas</w:t>
      </w:r>
      <w:proofErr w:type="gramEnd"/>
      <w:r w:rsidRPr="009342F9">
        <w:rPr>
          <w:rFonts w:ascii="Arial" w:eastAsia="Times New Roman" w:hAnsi="Arial" w:cs="Arial"/>
          <w:color w:val="000000"/>
          <w:lang w:eastAsia="es-CO"/>
        </w:rPr>
        <w:t xml:space="preserve"> pero no incluidas en la formulación ni en la adopción del mismo, el Ministerio de Ambiente, Vivienda y Desarrollo Territorial o el titular de la iniciativa, elaborarán el proyecto de ampliación del área del MISN y el documento de soporte técnico sobre el área anunciada, con el fin de someterlo al trámite de viabilidad, de conformidad con lo señalado en el artículo siguiente del presente decreto. Sin perjuicio de lo anterior, cuando el Ministerio de Ambiente, Vivienda o Desarrollo Territorial o el titular de la iniciativa pretendan ampliar el respectivo macroproyecto que se encuentre adoptado en un área superior a la que fue anunciada, deberán iniciar el trámite para la ampliación del área de MISN desde la fase de identificación y determinación, tal como se prevé en el presente artículo. </w:t>
      </w:r>
    </w:p>
    <w:p w14:paraId="054631B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0EDEDC7" w14:textId="3A175DD2" w:rsidR="00FC79C1"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2°. Los avalúos de referencia tienen por objeto determinar el precio del suelo antes del respectivo anuncio y deberán tener en cuenta la reglamentación urbanística vigente antes del anuncio y en ningún caso incorporarán las expectativas que pueda generar la ampliación del MISN. </w:t>
      </w:r>
    </w:p>
    <w:p w14:paraId="2D77276B" w14:textId="77777777" w:rsidR="00C8117B" w:rsidRPr="009342F9" w:rsidRDefault="00C8117B" w:rsidP="00FC79C1">
      <w:pPr>
        <w:spacing w:after="0" w:line="240" w:lineRule="auto"/>
        <w:jc w:val="both"/>
        <w:rPr>
          <w:rFonts w:ascii="Arial" w:eastAsia="Times New Roman" w:hAnsi="Arial" w:cs="Arial"/>
          <w:color w:val="000000"/>
          <w:lang w:eastAsia="es-CO"/>
        </w:rPr>
      </w:pPr>
    </w:p>
    <w:p w14:paraId="72C7E34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El Instituto Geográfico Agustín Codazzi (IGAC), la entidad que cumpla sus funciones o peritos privados inscritos en las lonjas o asociaciones correspondientes, según lo determinado por el Decreto-ley 2150 de 1995 o la norma que lo modifique, adicione o sustituya, descontarán del valor comercial de los inmuebles individuales, que se requieran para el desarrollo de la ampliación del MISN, el monto correspondiente al mayor valor generado por el anuncio </w:t>
      </w:r>
      <w:proofErr w:type="gramStart"/>
      <w:r w:rsidRPr="009342F9">
        <w:rPr>
          <w:rFonts w:ascii="Arial" w:eastAsia="Times New Roman" w:hAnsi="Arial" w:cs="Arial"/>
          <w:color w:val="000000"/>
          <w:lang w:eastAsia="es-CO"/>
        </w:rPr>
        <w:t>del mismo</w:t>
      </w:r>
      <w:proofErr w:type="gramEnd"/>
      <w:r w:rsidRPr="009342F9">
        <w:rPr>
          <w:rFonts w:ascii="Arial" w:eastAsia="Times New Roman" w:hAnsi="Arial" w:cs="Arial"/>
          <w:color w:val="000000"/>
          <w:lang w:eastAsia="es-CO"/>
        </w:rPr>
        <w:t>. </w:t>
      </w:r>
    </w:p>
    <w:p w14:paraId="553BE09D" w14:textId="1FEF97F4"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120" w:name="ver_30073289"/>
      <w:bookmarkEnd w:id="1120"/>
    </w:p>
    <w:p w14:paraId="7524B9C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2.2.4.2.1.6.2.2 Formulación. Una vez expedido el acto administrativo de anuncio y cuando la iniciativa de ampliación sea del Ministerio de Ambiente, Vivienda y Desarrollo Territorial, éste elaborará el proyecto de ampliación del área del MISN y el documento técnico de soporte en los términos previstos en el artículo 2.2.4.3.4.1.3 del presente decreto, con el fin de someterlo al correspondiente análisis de viabilidad técnico, financiero y jurídico. </w:t>
      </w:r>
    </w:p>
    <w:p w14:paraId="1CF70F5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D14113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Cuando la iniciativa de ampliación del MISN provenga de una entidad territorial o de un promotor, estos dispondrán de un término máximo de cuatro (4) meses contados a partir de la publicación del acto administrativo mediante el cual se anuncia el proyecto de ampliación de MISN, para presentar la documentación correspondiente. En todo caso, la solicitud de formulación y la presentación de la documentación del proyecto de ampliación del área del MISN no generan ningún tipo de obligación para su adopción. </w:t>
      </w:r>
    </w:p>
    <w:p w14:paraId="15E51C9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186636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El Ministerio de Ambiente, Vivienda y Desarrollo Territorial o la entidad que este designe para el efecto, procederá a efectuar la evaluación técnica (ambiental y urbanística), financiera y jurídica del proyecto de ampliación del área del MISN, para lo cual contará con un plazo máximo de treinta (30) días hábiles, contados a partir de la radicación de la solicitud que cumpla con todos los requisitos y documentos previstos en el artículo 2.2.4.3.4.1.2 del presente decreto. </w:t>
      </w:r>
    </w:p>
    <w:p w14:paraId="0B0E3712" w14:textId="4C7E2310"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121" w:name="ver_30073292"/>
      <w:bookmarkEnd w:id="1121"/>
    </w:p>
    <w:p w14:paraId="3B636A8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2.2.4.2.1.6.2.3 Aviso a los municipios y distritos. Formulado el proyecto de ampliación de MISN, el Ministerio de Ambiente, Vivienda y Desarrollo Territorial dará aviso mediante comunicación escrita al representante legal del municipio y/o distrito en cuya jurisdicción se ejecutará el macroproyecto, con el propósito de que las acciones urbanísticas que pretendan desarrollar estas entidades territoriales en las áreas que hagan parte del macroproyecto sean concertadas con el Ministerio de Ambiente, Vivienda y Desarrollo Territorial. </w:t>
      </w:r>
    </w:p>
    <w:p w14:paraId="6FFAB7B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w:t>
      </w:r>
    </w:p>
    <w:p w14:paraId="0066352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Los </w:t>
      </w:r>
      <w:proofErr w:type="gramStart"/>
      <w:r w:rsidRPr="009342F9">
        <w:rPr>
          <w:rFonts w:ascii="Arial" w:eastAsia="Times New Roman" w:hAnsi="Arial" w:cs="Arial"/>
          <w:color w:val="000000"/>
          <w:lang w:eastAsia="es-CO"/>
        </w:rPr>
        <w:t>Alcaldes</w:t>
      </w:r>
      <w:proofErr w:type="gramEnd"/>
      <w:r w:rsidRPr="009342F9">
        <w:rPr>
          <w:rFonts w:ascii="Arial" w:eastAsia="Times New Roman" w:hAnsi="Arial" w:cs="Arial"/>
          <w:color w:val="000000"/>
          <w:lang w:eastAsia="es-CO"/>
        </w:rPr>
        <w:t xml:space="preserve"> de los distritos en los cuales se vaya a ejecutar la ampliación del respectivo MISN contarán con un término máximo de quince (15) días hábiles, contados a partir de la fecha de recibo del aviso para que presenten propuestas u observaciones. </w:t>
      </w:r>
    </w:p>
    <w:p w14:paraId="6C110A6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4C9F6D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Si dentro del plazo establecido, el Ministerio no hubiere recibido propuestas u observaciones, podrá adoptar la ampliación del MISN. Las observaciones que presenten los municipios y distritos se resolverán en el acto administrativo de adopción. </w:t>
      </w:r>
    </w:p>
    <w:p w14:paraId="7B9D92F9" w14:textId="4B12E8D5"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122" w:name="ver_30073293"/>
      <w:bookmarkEnd w:id="1122"/>
    </w:p>
    <w:p w14:paraId="671C4F3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2.2.4.2.1.6.2.4 Adopción. Cumplidas las fases precedentes, el Ministerio de Ambiente, Vivienda y Desarrollo Territorial podrá adoptar mediante resolución la respectiva ampliación de MISN, a la cual se anexará el documento técnico soporte consolidado con las observaciones que hubiesen resultado pertinentes durante las fases precedentes. </w:t>
      </w:r>
    </w:p>
    <w:p w14:paraId="44170B0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30DF70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 adopción de la ampliación del área del MISN producirá los siguientes efectos: </w:t>
      </w:r>
    </w:p>
    <w:p w14:paraId="09CAEDA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90C3A9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La prevalencia de sus normas que constituirán determinantes de ordenamiento y serán, por tanto, de obligada observancia por parte de los municipios, distritos y autoridades ambientales en las posteriores revisiones y modificaciones de los planes de ordenamiento territorial. </w:t>
      </w:r>
    </w:p>
    <w:p w14:paraId="7531B18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E73E0E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2. La obligatoriedad del cumplimiento de sus disposiciones por todas las personas de derecho público y privado. Para el efecto, las licencias de urbanización y construcción y la ejecución de las actuaciones previstas en el </w:t>
      </w:r>
      <w:proofErr w:type="gramStart"/>
      <w:r w:rsidRPr="009342F9">
        <w:rPr>
          <w:rFonts w:ascii="Arial" w:eastAsia="Times New Roman" w:hAnsi="Arial" w:cs="Arial"/>
          <w:color w:val="000000"/>
          <w:lang w:eastAsia="es-CO"/>
        </w:rPr>
        <w:t>MISN,</w:t>
      </w:r>
      <w:proofErr w:type="gramEnd"/>
      <w:r w:rsidRPr="009342F9">
        <w:rPr>
          <w:rFonts w:ascii="Arial" w:eastAsia="Times New Roman" w:hAnsi="Arial" w:cs="Arial"/>
          <w:color w:val="000000"/>
          <w:lang w:eastAsia="es-CO"/>
        </w:rPr>
        <w:t xml:space="preserve"> se otorgarán con sujeción a las normas adoptadas en los mismos. </w:t>
      </w:r>
    </w:p>
    <w:p w14:paraId="0E88EB7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5BF233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La destinación de los predios e inmuebles incluidos en su ámbito de planificación y/o gestión a los usos urbanos y aprovechamientos que resulten aplicables en virtud de las disposiciones del MISN. </w:t>
      </w:r>
    </w:p>
    <w:p w14:paraId="00B75BD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54AEC9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Parágrafo 1°. Una vez entre en vigencia el acto administrativo por el cual se adopte la ampliación del área del MISN se enviará copia del mismo a los municipios, distritos y autoridades ambientales con jurisdicción en su área de </w:t>
      </w:r>
      <w:proofErr w:type="gramStart"/>
      <w:r w:rsidRPr="009342F9">
        <w:rPr>
          <w:rFonts w:ascii="Arial" w:eastAsia="Times New Roman" w:hAnsi="Arial" w:cs="Arial"/>
          <w:color w:val="000000"/>
          <w:lang w:eastAsia="es-CO"/>
        </w:rPr>
        <w:t>ejecución</w:t>
      </w:r>
      <w:proofErr w:type="gramEnd"/>
      <w:r w:rsidRPr="009342F9">
        <w:rPr>
          <w:rFonts w:ascii="Arial" w:eastAsia="Times New Roman" w:hAnsi="Arial" w:cs="Arial"/>
          <w:color w:val="000000"/>
          <w:lang w:eastAsia="es-CO"/>
        </w:rPr>
        <w:t xml:space="preserve"> así como a FONVIVIENDA. </w:t>
      </w:r>
    </w:p>
    <w:p w14:paraId="76626FF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96EFEC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Parágrafo 2°. Los municipios y distritos en los cuales se ejecuten los MISN serán los beneficiarios de la plusvalía que se genere por la adopción de </w:t>
      </w:r>
      <w:proofErr w:type="gramStart"/>
      <w:r w:rsidRPr="009342F9">
        <w:rPr>
          <w:rFonts w:ascii="Arial" w:eastAsia="Times New Roman" w:hAnsi="Arial" w:cs="Arial"/>
          <w:color w:val="000000"/>
          <w:lang w:eastAsia="es-CO"/>
        </w:rPr>
        <w:t>los mismos</w:t>
      </w:r>
      <w:proofErr w:type="gramEnd"/>
      <w:r w:rsidRPr="009342F9">
        <w:rPr>
          <w:rFonts w:ascii="Arial" w:eastAsia="Times New Roman" w:hAnsi="Arial" w:cs="Arial"/>
          <w:color w:val="000000"/>
          <w:lang w:eastAsia="es-CO"/>
        </w:rPr>
        <w:t>, la cual deberá destinarse al desarrollo del respectivo MISN para los fines descritos en el artículo 85 de la Ley 388 de 1997. </w:t>
      </w:r>
    </w:p>
    <w:p w14:paraId="307E07A3" w14:textId="02D41764" w:rsidR="00D4095E"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123" w:name="ver_30073295"/>
      <w:bookmarkEnd w:id="1123"/>
    </w:p>
    <w:p w14:paraId="58C3C983" w14:textId="280CAA57" w:rsidR="00FC79C1" w:rsidRPr="009342F9" w:rsidRDefault="00FC79C1" w:rsidP="00D4095E">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SECCIÓN 2</w:t>
      </w:r>
    </w:p>
    <w:p w14:paraId="6A167F27" w14:textId="77777777" w:rsidR="00FC79C1" w:rsidRDefault="00FC79C1" w:rsidP="00D4095E">
      <w:pPr>
        <w:spacing w:after="0" w:line="240" w:lineRule="auto"/>
        <w:jc w:val="center"/>
        <w:rPr>
          <w:rFonts w:ascii="Arial" w:eastAsia="Times New Roman" w:hAnsi="Arial" w:cs="Arial"/>
          <w:b/>
          <w:bCs/>
          <w:color w:val="000000"/>
          <w:lang w:eastAsia="es-CO"/>
        </w:rPr>
      </w:pPr>
      <w:r w:rsidRPr="231E957E">
        <w:rPr>
          <w:rFonts w:ascii="Arial" w:eastAsia="Times New Roman" w:hAnsi="Arial" w:cs="Arial"/>
          <w:b/>
          <w:color w:val="000000" w:themeColor="text1"/>
          <w:lang w:eastAsia="es-CO"/>
        </w:rPr>
        <w:t>MACROPROYECTOS DE INTERÉS SOCIAL NACIONAL DE SEGUNDA GENERACIÓN</w:t>
      </w:r>
    </w:p>
    <w:p w14:paraId="69950D20" w14:textId="77777777" w:rsidR="005C5EEB" w:rsidRPr="009342F9" w:rsidRDefault="005C5EEB" w:rsidP="00D4095E">
      <w:pPr>
        <w:spacing w:after="0" w:line="240" w:lineRule="auto"/>
        <w:jc w:val="center"/>
        <w:rPr>
          <w:rFonts w:ascii="Arial" w:eastAsia="Times New Roman" w:hAnsi="Arial" w:cs="Arial"/>
          <w:b/>
          <w:bCs/>
          <w:color w:val="000000"/>
          <w:lang w:eastAsia="es-CO"/>
        </w:rPr>
      </w:pPr>
    </w:p>
    <w:p w14:paraId="7C18EFD4" w14:textId="08EF9AA9" w:rsidR="00FC79C1" w:rsidRPr="009342F9" w:rsidRDefault="00FC79C1" w:rsidP="00D4095E">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SUBSECCIÓN 1</w:t>
      </w:r>
    </w:p>
    <w:p w14:paraId="63B59119" w14:textId="77777777" w:rsidR="00FC79C1" w:rsidRPr="009342F9" w:rsidRDefault="00FC79C1" w:rsidP="00D4095E">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DISPOSICIONES GENERALES</w:t>
      </w:r>
    </w:p>
    <w:p w14:paraId="478C5A4D" w14:textId="77777777" w:rsidR="00FC79C1" w:rsidRPr="009342F9" w:rsidRDefault="00FC79C1" w:rsidP="00D4095E">
      <w:pPr>
        <w:spacing w:after="0" w:line="240" w:lineRule="auto"/>
        <w:jc w:val="center"/>
        <w:rPr>
          <w:rFonts w:ascii="Arial" w:eastAsia="Times New Roman" w:hAnsi="Arial" w:cs="Arial"/>
          <w:b/>
          <w:bCs/>
          <w:color w:val="000000"/>
          <w:lang w:eastAsia="es-CO"/>
        </w:rPr>
      </w:pPr>
      <w:bookmarkStart w:id="1124" w:name="ver_30073296"/>
      <w:bookmarkEnd w:id="1124"/>
    </w:p>
    <w:p w14:paraId="6E711D3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2.2.4.2.2.1.1 Macroproyectos de Interés Social Nacional. Son el conjunto de decisiones administrativas y de actuaciones urbanísticas, definidas de común acuerdo entre el Gobierno Nacional y las administraciones municipales y distritales en el ámbito de sus respectivas competencias, para la ejecución de operaciones urbanas integrales de impacto municipal, metropolitano o regional que garanticen la habilitación de suelo para la construcción de vivienda y otros usos asociados a la vivienda y la correspondiente infraestructura de soporte para el sistema vial, de transporte, de servicios públicos, espacios públicos y equipamientos colectivos. </w:t>
      </w:r>
    </w:p>
    <w:p w14:paraId="047B316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524307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Los Macroproyectos de Interés Social Nacional deberán atender de forma preferente el déficit de vivienda de la respectiva entidad territorial, y establecer mecanismos para asegurar que los hogares de menores ingresos y la población vulnerable puedan acceder a las soluciones habitacionales que produzcan los Macroproyectos. </w:t>
      </w:r>
    </w:p>
    <w:p w14:paraId="58630C9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AE780E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Siempre que en el presente decreto se mencionen los “MISN” o los “Macroproyectos”, se entenderá que se trata de los Macroproyectos de Interés Social Nacional a que hace referencia la Ley 1469 de 2011. </w:t>
      </w:r>
    </w:p>
    <w:p w14:paraId="566E0981" w14:textId="3B477A93"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125" w:name="ver_30073297"/>
      <w:bookmarkEnd w:id="1125"/>
    </w:p>
    <w:p w14:paraId="566F6E2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2.2.4.2.2.1.2 Ámbito de aplicación. Las disposiciones de esta sección se aplican al trámite de adopción de los Macroproyectos que tengan por objeto la habilitación de suelo para la construcción de vivienda y otros usos asociados a la misma, en áreas que en virtud de las disposiciones del respectivo Macroproyecto se sometan a tratamientos urbanísticos de desarrollo y de renovación urbana en la modalidad de redesarrollo. </w:t>
      </w:r>
    </w:p>
    <w:p w14:paraId="720BEF1C" w14:textId="3F5AC0DC"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126" w:name="ver_30073299"/>
      <w:bookmarkEnd w:id="1126"/>
    </w:p>
    <w:p w14:paraId="4EE0EF7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2.2.4.2.2.1.3 Categorías de Macroproyectos. Los MISN serán adoptados por el Ministerio de Vivienda, Ciudad y Territorio y se diferenciarán, según tengan por objeto: </w:t>
      </w:r>
    </w:p>
    <w:p w14:paraId="2650AB6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FCBBD0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Macroproyectos Categoría 1. La definición de los términos y las condiciones de gestión y ejecución de los contenidos, actuaciones o normas urbanísticas del plan de ordenamiento territorial vigente, sobre la base de un convenio entre el Ministerio de Vivienda, Ciudad y Territorio y el alcalde del respectivo municipio o distrito. Con la adopción de estos Macroproyectos, en ningún caso, podrán modificarse las disposiciones del respectivo plan de ordenamiento territorial vigente. </w:t>
      </w:r>
    </w:p>
    <w:p w14:paraId="4620452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F09FA9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Macroproyectos Categoría 2. La definición, además de lo previsto en el numeral anterior, de las posibles modificaciones de las normas urbanísticas previstas en el plan de ordenamiento territorial vigente, cuando ello resulte necesario para asegurar la viabilidad de la operación urbana que se adopta con el Macroproyecto. En estos casos, la adopción del Macroproyecto implicará la aprobación previa del concejo municipal o distrital de la modificación de dichas normas, sobre la base de un convenio entre el Ministerio de Vivienda, Ciudad y Territorio y el alcalde del respectivo municipio o distrito acerca de la oportunidad, conveniencia y posibilidad de la nueva solución de ordenamiento. </w:t>
      </w:r>
    </w:p>
    <w:p w14:paraId="1CDFD57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C328D1F" w14:textId="504344A5" w:rsidR="00FC79C1" w:rsidRPr="009342F9" w:rsidRDefault="00FC79C1" w:rsidP="00FC79C1">
      <w:pPr>
        <w:spacing w:after="0" w:line="240" w:lineRule="auto"/>
        <w:jc w:val="both"/>
        <w:rPr>
          <w:rFonts w:ascii="Arial" w:eastAsia="Times New Roman" w:hAnsi="Arial" w:cs="Arial"/>
          <w:color w:val="000000"/>
          <w:lang w:eastAsia="es-CO"/>
        </w:rPr>
      </w:pPr>
      <w:bookmarkStart w:id="1127" w:name="ver_30073301"/>
      <w:bookmarkEnd w:id="1127"/>
      <w:r w:rsidRPr="009342F9">
        <w:rPr>
          <w:rFonts w:ascii="Arial" w:eastAsia="Times New Roman" w:hAnsi="Arial" w:cs="Arial"/>
          <w:color w:val="000000"/>
          <w:lang w:eastAsia="es-CO"/>
        </w:rPr>
        <w:t>Artículo 2.2.4.2.2.1.4 Titulares de la iniciativa. En los términos del artículo 6 de la Ley 1469 de 2011, la iniciativa para promover, formular, ejecutar y financiar MISN podrá ser del Ministerio de Vivienda, Ciudad y Territorio, de las entidades territoriales, de las áreas metropolitanas, de las asociaciones de municipios, de otras entidades públicas interesadas y de los particulares. </w:t>
      </w:r>
    </w:p>
    <w:p w14:paraId="6A5CE26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867A60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El Ministerio de Vivienda, Ciudad y Territorio podrá mediante resolución establecer requisitos que debe reunir el promotor del proyecto teniendo en cuenta aspectos relacionados con la capacidad jurídica, financiera y las condiciones de experiencia de los promotores particulares. </w:t>
      </w:r>
    </w:p>
    <w:p w14:paraId="54C58167" w14:textId="2A137A64" w:rsidR="00D4095E"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128" w:name="ver_30073302"/>
      <w:bookmarkEnd w:id="1128"/>
    </w:p>
    <w:p w14:paraId="65546568" w14:textId="162569B5" w:rsidR="00FC79C1" w:rsidRPr="009342F9" w:rsidRDefault="00FC79C1" w:rsidP="00D4095E">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SUBSECCIÓN 2</w:t>
      </w:r>
    </w:p>
    <w:p w14:paraId="71C32736" w14:textId="77777777" w:rsidR="00FC79C1" w:rsidRPr="009342F9" w:rsidRDefault="00FC79C1" w:rsidP="00D4095E">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CONDICIONES GENERALES DE LOS MACROPROYECTOS</w:t>
      </w:r>
    </w:p>
    <w:p w14:paraId="66C43A0D" w14:textId="77777777" w:rsidR="00FC79C1" w:rsidRPr="009342F9" w:rsidRDefault="00FC79C1" w:rsidP="00D4095E">
      <w:pPr>
        <w:spacing w:after="0" w:line="240" w:lineRule="auto"/>
        <w:jc w:val="center"/>
        <w:rPr>
          <w:rFonts w:ascii="Arial" w:eastAsia="Times New Roman" w:hAnsi="Arial" w:cs="Arial"/>
          <w:b/>
          <w:bCs/>
          <w:color w:val="000000"/>
          <w:lang w:eastAsia="es-CO"/>
        </w:rPr>
      </w:pPr>
      <w:bookmarkStart w:id="1129" w:name="ver_30073304"/>
      <w:bookmarkEnd w:id="1129"/>
    </w:p>
    <w:p w14:paraId="10F3F33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2.2.4.2.2.2.1 Focalización e impacto de los Macroproyectos. Los Macroproyectos se deberán proponer en jurisdicción de un solo municipio o distrito, de acuerdo con los siguientes criterios de focalización e impactos en el déficit cuantitativo de vivienda: </w:t>
      </w:r>
    </w:p>
    <w:p w14:paraId="79C7684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1F8C5C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1. Macroproyectos de impacto metropolitano o regional. Macroproyectos localizados en áreas metropolitanas, o áreas conformadas por capitales departamentales de categoría Especial y 1, cuya población sea superior a 300.000 habitantes que con sus municipios contiguos y/o aledaños tengan un déficit cuantitativo, según censo DANE 2005, agregado de vivienda urbana igual o superior a 20.000. Se entiende por municipios contiguos aquellos que comparten límite municipal con la capital departamental. Se entiende por municipios aledaños aquellos ubicados a una distancia no mayor de cincuenta (50) kilómetros de los límites del perímetro urbano de la respectiva ciudad con población superior a 300.000 habitantes y que tengan un déficit cuantitativo superior a 1.000. </w:t>
      </w:r>
    </w:p>
    <w:p w14:paraId="6FC78C7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564040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El Ministerio de Vivienda, Ciudad y Territorio señalará mediante resolución los municipios y distritos en los que se pueden formular Macroproyectos de impacto metropolitano o regional. </w:t>
      </w:r>
    </w:p>
    <w:p w14:paraId="78FC2C5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D3D88E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Macroproyectos de impacto urbano a gran escala. Macroproyectos localizados en cualquier municipio o distrito de categoría especial, 1 o 2 o en capitales departamentales del país y que tengan un déficit cuantitativo de vivienda urbana igual o superior a 3.000 según Censo DANE 2005. </w:t>
      </w:r>
    </w:p>
    <w:p w14:paraId="3CB9DF7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1BE67B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Macroproyectos de impacto urbano. Macroproyectos localizados en cualquier municipio o distrito de categoría 2, 3, 4, 5 o 6 y que tengan un déficit cuantitativo, según censo DANE 2005, de vivienda urbana igual o superior a 2.500. </w:t>
      </w:r>
    </w:p>
    <w:p w14:paraId="409EAE8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299537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Sin perjuicio de lo dispuesto en el presente artículo, el Ministerio de Vivienda, Ciudad y Territorio mantendrá la iniciativa para formular MISN en cualquier municipio del país, siempre que guarden concordancia con los objetivos y alcances establecidos en la Ley 1469 de 2011 para este tipo de operaciones urbanas integrales. </w:t>
      </w:r>
    </w:p>
    <w:p w14:paraId="53A4C48E" w14:textId="598B0AA9"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130" w:name="ver_30073305"/>
      <w:bookmarkEnd w:id="1130"/>
    </w:p>
    <w:p w14:paraId="731552A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2.2.4.2.2.2.2 Dimensión de los Macroproyectos y porcentajes mínimos y máximos de las áreas destinadas a VIP y VIS. Los Macroproyectos deberán cumplir para efectos de su anuncio, formulación y adopción las condiciones de área mínima y máxima y porcentaje de área útil para actividad residencial y para VIS y VIP que se señalan a continuación, según se trate de Macroproyectos de impacto metropolitano o regional, Macroproyectos de impacto urbano a gran escala o Macroproyectos de impacto urbano: </w:t>
      </w:r>
    </w:p>
    <w:p w14:paraId="1410AD0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ECBCA93" w14:textId="5C0FBD57" w:rsidR="00FC79C1" w:rsidRPr="009342F9" w:rsidRDefault="48ABE02E" w:rsidP="00FC79C1">
      <w:pPr>
        <w:spacing w:after="0" w:line="240" w:lineRule="auto"/>
        <w:jc w:val="both"/>
        <w:rPr>
          <w:rFonts w:ascii="Arial" w:eastAsia="Times New Roman" w:hAnsi="Arial" w:cs="Arial"/>
          <w:color w:val="000000"/>
          <w:lang w:eastAsia="es-CO"/>
        </w:rPr>
      </w:pPr>
      <w:r>
        <w:rPr>
          <w:noProof/>
        </w:rPr>
        <w:lastRenderedPageBreak/>
        <w:drawing>
          <wp:inline distT="0" distB="0" distL="0" distR="0" wp14:anchorId="0BAEC4A6" wp14:editId="27176B19">
            <wp:extent cx="5486400" cy="5546723"/>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19">
                      <a:extLst>
                        <a:ext uri="{28A0092B-C50C-407E-A947-70E740481C1C}">
                          <a14:useLocalDpi xmlns:a14="http://schemas.microsoft.com/office/drawing/2010/main" val="0"/>
                        </a:ext>
                      </a:extLst>
                    </a:blip>
                    <a:stretch>
                      <a:fillRect/>
                    </a:stretch>
                  </pic:blipFill>
                  <pic:spPr>
                    <a:xfrm>
                      <a:off x="0" y="0"/>
                      <a:ext cx="5486400" cy="5546723"/>
                    </a:xfrm>
                    <a:prstGeom prst="rect">
                      <a:avLst/>
                    </a:prstGeom>
                  </pic:spPr>
                </pic:pic>
              </a:graphicData>
            </a:graphic>
          </wp:inline>
        </w:drawing>
      </w:r>
      <w:r w:rsidR="00FC79C1" w:rsidRPr="3DD719FF">
        <w:rPr>
          <w:rFonts w:ascii="Arial" w:eastAsia="Times New Roman" w:hAnsi="Arial" w:cs="Arial"/>
          <w:color w:val="000000" w:themeColor="text1"/>
          <w:lang w:eastAsia="es-CO"/>
        </w:rPr>
        <w:t> </w:t>
      </w:r>
    </w:p>
    <w:p w14:paraId="4B27571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F4530E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Las disposiciones del presente artículo no serán de aplicación para MISN que desarrollen programas o proyectos de renovación urbana en la modalidad de redesarrollo. En estos casos, las condiciones de área y porcentajes de suelo útil para actividad residencial y para la construcción de Vivienda de Interés Social (VIS) y Vivienda de Interés Prioritario (VIP), se definirán por el Ministerio de Vivienda, Ciudad y Territorio de acuerdo con las condiciones de cada proyecto, previo a la adopción del Macroproyecto. </w:t>
      </w:r>
    </w:p>
    <w:p w14:paraId="3893018C" w14:textId="65717563" w:rsidR="00FC79C1" w:rsidRPr="009342F9" w:rsidRDefault="00FC79C1" w:rsidP="00C8117B">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AAF1718" w14:textId="3454F981" w:rsidR="00FC79C1" w:rsidRPr="009342F9" w:rsidRDefault="00FC79C1" w:rsidP="00D4095E">
      <w:pPr>
        <w:spacing w:after="0" w:line="240" w:lineRule="auto"/>
        <w:jc w:val="center"/>
        <w:rPr>
          <w:rFonts w:ascii="Arial" w:eastAsia="Times New Roman" w:hAnsi="Arial" w:cs="Arial"/>
          <w:b/>
          <w:bCs/>
          <w:color w:val="000000"/>
          <w:lang w:eastAsia="es-CO"/>
        </w:rPr>
      </w:pPr>
      <w:bookmarkStart w:id="1131" w:name="ver_30073308"/>
      <w:bookmarkEnd w:id="1131"/>
      <w:r w:rsidRPr="009342F9">
        <w:rPr>
          <w:rFonts w:ascii="Arial" w:eastAsia="Times New Roman" w:hAnsi="Arial" w:cs="Arial"/>
          <w:b/>
          <w:bCs/>
          <w:color w:val="000000"/>
          <w:lang w:eastAsia="es-CO"/>
        </w:rPr>
        <w:t>SUBSECCIÓN 3</w:t>
      </w:r>
    </w:p>
    <w:p w14:paraId="2A15FF9D" w14:textId="77777777" w:rsidR="00FC79C1" w:rsidRPr="009342F9" w:rsidRDefault="00FC79C1" w:rsidP="00D4095E">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PROCEDIMIENTO</w:t>
      </w:r>
    </w:p>
    <w:p w14:paraId="28FBE24F"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132" w:name="ver_30073309"/>
      <w:bookmarkEnd w:id="1132"/>
    </w:p>
    <w:p w14:paraId="6225B3F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2.2.4.2.2.3.1. Fases de los Macroproyectos. El procedimiento general de anuncio, formulación, concertación y adopción de Macroproyectos comprende las siguientes fases: </w:t>
      </w:r>
    </w:p>
    <w:p w14:paraId="5B76A8B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233F42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Análisis de prefactibilidad y anuncio. </w:t>
      </w:r>
    </w:p>
    <w:p w14:paraId="4E29B34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0CEF55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2. Formulación y concertación. </w:t>
      </w:r>
    </w:p>
    <w:p w14:paraId="0EA803C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EA66B1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2.1. Análisis de viabilidad técnica, financiera y jurídica. </w:t>
      </w:r>
    </w:p>
    <w:p w14:paraId="31685F1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C143B7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2.2 Concertación interadministrativa entre el Ministerio de Vivienda, Ciudad y Territorio y el municipio o distrito correspondiente. </w:t>
      </w:r>
    </w:p>
    <w:p w14:paraId="7F3901D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90974B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Tratándose de MISN de categoría 2, ajuste especial del plan de ordenamiento territorial, previo cumplimiento de los requisitos legales y de aquellos establecidos en el presente decreto. </w:t>
      </w:r>
    </w:p>
    <w:p w14:paraId="0AD087C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CF670B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Adopción del Macroproyecto. </w:t>
      </w:r>
    </w:p>
    <w:p w14:paraId="154F84B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6A203D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 Ejecución. </w:t>
      </w:r>
    </w:p>
    <w:p w14:paraId="233126F1" w14:textId="51EBF99B"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133" w:name="ver_30073315"/>
      <w:bookmarkEnd w:id="1133"/>
    </w:p>
    <w:p w14:paraId="2FAFA08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2.2.4.2.2.3.2 Modificación de los Macroproyectos. La modificación de los Macroproyectos será adoptada por el Ministerio de Vivienda, Ciudad y Territorio siguiendo el mismo trámite previsto en la Ley 1469 de 2011 para su adopción, teniendo en cuenta únicamente las instancias o dependencias a cuyo cargo se encuentren los asuntos objeto de la modificación necesaria para el desarrollo del respectivo MISN. La propuesta de modificación deberá contener el documento técnico de soporte que justifique la respective modificación y garantizar el cumplimiento de todos los requisitos previstos en la presente sección. </w:t>
      </w:r>
    </w:p>
    <w:p w14:paraId="7FAE1EA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5D9DA2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Cuando la modificación propuesta pretenda ampliar el área anunciada, se iniciará el trámite desde la fase de análisis de prefactibilidad y anuncio, en los demás casos se adelantará la fase de formulación y concertación con respecto de la modificación propuesta. </w:t>
      </w:r>
    </w:p>
    <w:p w14:paraId="1E07487F" w14:textId="45AC807E" w:rsidR="00D4095E" w:rsidRPr="009342F9" w:rsidRDefault="00FC79C1" w:rsidP="00C8117B">
      <w:pPr>
        <w:spacing w:after="0" w:line="240" w:lineRule="auto"/>
        <w:jc w:val="both"/>
        <w:rPr>
          <w:rFonts w:ascii="Arial" w:eastAsia="Times New Roman" w:hAnsi="Arial" w:cs="Arial"/>
          <w:b/>
          <w:bCs/>
          <w:color w:val="000000"/>
          <w:lang w:eastAsia="es-CO"/>
        </w:rPr>
      </w:pPr>
      <w:r w:rsidRPr="009342F9">
        <w:rPr>
          <w:rFonts w:ascii="Arial" w:eastAsia="Times New Roman" w:hAnsi="Arial" w:cs="Arial"/>
          <w:color w:val="000000"/>
          <w:lang w:eastAsia="es-CO"/>
        </w:rPr>
        <w:t>  </w:t>
      </w:r>
      <w:bookmarkStart w:id="1134" w:name="ver_30073318"/>
      <w:bookmarkEnd w:id="1134"/>
    </w:p>
    <w:p w14:paraId="6FC0F681" w14:textId="3AF49EE8" w:rsidR="00FC79C1" w:rsidRPr="009342F9" w:rsidRDefault="00FC79C1" w:rsidP="00D4095E">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SUBSUBSECCIÓN 1</w:t>
      </w:r>
    </w:p>
    <w:p w14:paraId="58BD9338" w14:textId="77777777" w:rsidR="00FC79C1" w:rsidRPr="009342F9" w:rsidRDefault="00FC79C1" w:rsidP="00D4095E">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ANUNCIO</w:t>
      </w:r>
    </w:p>
    <w:p w14:paraId="7BC5BBF5"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135" w:name="ver_30073320"/>
      <w:bookmarkEnd w:id="1135"/>
    </w:p>
    <w:p w14:paraId="6BC8A66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2.2.4.2.2.3.1.1 Análisis de Prefactibilidad. El análisis de prefactibilidad tiene por objeto que el Ministerio de Vivienda, Ciudad y Territorio identifique de manera preliminar si existen las condiciones técnicas, jurídicas y financieras que posibiliten el desarrollo de un Macroproyecto. </w:t>
      </w:r>
    </w:p>
    <w:p w14:paraId="0BA5B0B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E782AF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El análisis ambiental a nivel de prefactibilidad corresponderá a la Corporación Autónoma Regional o de Desarrollo Sostenible correspondiente, y debe evaluar las condiciones de viabilidad ambiental del área de planificación del proyecto en términos de la localización e impacto en su área de planificación preliminar y su correspondiente área de influencia; disponibilidad, demanda y uso de recursos naturales renovables. El pronunciamiento ambiental favorable de la Corporación Autónoma Regional o de Desarrollo Sostenible, será requisito previo para la expedición del acto administrativo de anuncio. </w:t>
      </w:r>
    </w:p>
    <w:p w14:paraId="131586E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BE4E38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1°. De conformidad con lo dispuesto en el presente artículo y la normativa ambiental vigente, no procederá la localización de un Macroproyecto de Interés Social Nacional en áreas de conservación y protección ambiental, tales como las áreas del sistema nacional de áreas protegidas salvo lo dispuesto en el parágrafo 2 del presente artículo, áreas de especial importancia ecosistémica como reservas de recursos naturales, páramos, subpáramos, nacimientos de agua, zonas de recarga de acuíferos, humedales de la lista de importancia internacional de la Convención Ramsar, manglares, zonas de playa y bajamar. </w:t>
      </w:r>
    </w:p>
    <w:p w14:paraId="56F9477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437C4D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Parágrafo 2°. Los humedales, la franja paralela a los cuerpos de agua de que trata el artículo 83 literal d) del Decreto Ley 2811 de 1974, y los distritos de manejo integrado podrán considerarse </w:t>
      </w:r>
      <w:r w:rsidRPr="009342F9">
        <w:rPr>
          <w:rFonts w:ascii="Arial" w:eastAsia="Times New Roman" w:hAnsi="Arial" w:cs="Arial"/>
          <w:color w:val="000000"/>
          <w:lang w:eastAsia="es-CO"/>
        </w:rPr>
        <w:lastRenderedPageBreak/>
        <w:t>al interior de la unidad de planificación del macroproyecto respectivo, como suelo de protección y en ningún caso podrán ser tenidos como parte de las áreas netas urbanizables. Los macroproyectos que puedan afectar reservas forestales protectoras atenderán lo establecido en la legislación ambiental vigente. </w:t>
      </w:r>
    </w:p>
    <w:p w14:paraId="02F75851" w14:textId="6E6A0F5C"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136" w:name="ver_30073322"/>
      <w:bookmarkEnd w:id="1136"/>
    </w:p>
    <w:p w14:paraId="6603CFA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2.2.4.2.2.3.1.2 Contenido del documento técnico de soporte para la fase prefactibilidad del Macroproyecto. Para el análisis de prefactibilidad de la propuesta de Macroproyecto, el interesado debe elaborar radicar ante el Ministerio de Vivienda, Ciudad y Territorio un Documento Técnico de Soporte de Prefactibilidad DTS-P y la respectiva cartografía en medio físico y magnético, que incluya la siguiente información: </w:t>
      </w:r>
    </w:p>
    <w:p w14:paraId="3B42044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EABC52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Información general del MISN  </w:t>
      </w:r>
    </w:p>
    <w:p w14:paraId="4EB7587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AC8907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1.1 Nombre, categoría y titular de la iniciativa. </w:t>
      </w:r>
    </w:p>
    <w:p w14:paraId="2B5BD00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C491E8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1.2 Objetivo y justificación de la intervención propuesta. </w:t>
      </w:r>
    </w:p>
    <w:p w14:paraId="1C24BD1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8760C9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w:t>
      </w:r>
      <w:proofErr w:type="gramStart"/>
      <w:r w:rsidRPr="009342F9">
        <w:rPr>
          <w:rFonts w:ascii="Arial" w:eastAsia="Times New Roman" w:hAnsi="Arial" w:cs="Arial"/>
          <w:color w:val="000000"/>
          <w:lang w:eastAsia="es-CO"/>
        </w:rPr>
        <w:t>3.Análisis</w:t>
      </w:r>
      <w:proofErr w:type="gramEnd"/>
      <w:r w:rsidRPr="009342F9">
        <w:rPr>
          <w:rFonts w:ascii="Arial" w:eastAsia="Times New Roman" w:hAnsi="Arial" w:cs="Arial"/>
          <w:color w:val="000000"/>
          <w:lang w:eastAsia="es-CO"/>
        </w:rPr>
        <w:t xml:space="preserve"> que justifique el cumplimiento de los requisitos y las condiciones para el desarrollo del MISN según lo establecido en los artículos 2.2.4.2.2.2.1 y 2.2.4.2.2.2.2 de esta sección.  </w:t>
      </w:r>
    </w:p>
    <w:p w14:paraId="73CEE24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2CB0E8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Descripción del municipio y del impacto metropolitano o regional.  </w:t>
      </w:r>
    </w:p>
    <w:p w14:paraId="22F8A04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729210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Descripción general del municipio que incluya: i) la dinámica poblacional; ii) el déficit cualitativo y cuantitativo de vivienda en el municipio y en la cabecera municipal; iii) las características agrológicas del área cuando se encuentre en suelo rural; </w:t>
      </w:r>
      <w:proofErr w:type="spellStart"/>
      <w:r w:rsidRPr="009342F9">
        <w:rPr>
          <w:rFonts w:ascii="Arial" w:eastAsia="Times New Roman" w:hAnsi="Arial" w:cs="Arial"/>
          <w:color w:val="000000"/>
          <w:lang w:eastAsia="es-CO"/>
        </w:rPr>
        <w:t>iv</w:t>
      </w:r>
      <w:proofErr w:type="spellEnd"/>
      <w:r w:rsidRPr="009342F9">
        <w:rPr>
          <w:rFonts w:ascii="Arial" w:eastAsia="Times New Roman" w:hAnsi="Arial" w:cs="Arial"/>
          <w:color w:val="000000"/>
          <w:lang w:eastAsia="es-CO"/>
        </w:rPr>
        <w:t>) los indicadores de espacio público efectivo y equipamientos colectivos municipales, y v) análisis de mercado del suelo y de vivienda que permita establecer la imposibilidad de destinar otros suelos para estos usos. Cuando el MISN sea de impacto metropolitano o regional o atienda población de otros municipios, esta descripción deberá incluir la información de los numerales i) y ii) para todos los municipios en los que se genera dicho impacto. </w:t>
      </w:r>
    </w:p>
    <w:p w14:paraId="3FE4D89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9560AE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Localización e identificación del área de planificación del MISN  </w:t>
      </w:r>
    </w:p>
    <w:p w14:paraId="04ECDE9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E231F5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3.1 La localización del área de planificación del MISN en el municipio, señalando la clasificación del suelo, los sistemas generales de movilidad, espacio público y equipamientos colectivos y las características de la infraestructura de servicios públicos domiciliarios, en la que se determine cómo se conecta con el </w:t>
      </w:r>
      <w:proofErr w:type="gramStart"/>
      <w:r w:rsidRPr="009342F9">
        <w:rPr>
          <w:rFonts w:ascii="Arial" w:eastAsia="Times New Roman" w:hAnsi="Arial" w:cs="Arial"/>
          <w:color w:val="000000"/>
          <w:lang w:eastAsia="es-CO"/>
        </w:rPr>
        <w:t>casco urbano o el área urbana</w:t>
      </w:r>
      <w:proofErr w:type="gramEnd"/>
      <w:r w:rsidRPr="009342F9">
        <w:rPr>
          <w:rFonts w:ascii="Arial" w:eastAsia="Times New Roman" w:hAnsi="Arial" w:cs="Arial"/>
          <w:color w:val="000000"/>
          <w:lang w:eastAsia="es-CO"/>
        </w:rPr>
        <w:t xml:space="preserve"> consolidada. </w:t>
      </w:r>
    </w:p>
    <w:p w14:paraId="74753A9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054CC3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3.2 La identificación del área de planificación preliminar donde se desarrollará el MISN que incluya i) la composición predial con base en la información catastral disponible con la identificación del inmueble o de los inmuebles que conforman el área de planificación preliminar, incluyendo el propietario, el área de cada uno de ellos, el número de matrícula inmobiliaria y/o cédula catastral del predio; ii) el área total del área de planificación del MISN y el alinderamiento de dicha área, con los mojones y cuadro de coordenadas de mojones, y iii) la identificación de los predios vecinos. </w:t>
      </w:r>
    </w:p>
    <w:p w14:paraId="602AC6B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4168D4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3.3 Plano con las características topográficas básicas del terreno, incluyendo la delimitación preliminar del área de planificación, las curvas de nivel, la altimetría del terreno y las obras civiles que se encuentren ubicadas en el área del Macroproyecto de Interés Social Nacional. </w:t>
      </w:r>
    </w:p>
    <w:p w14:paraId="503605F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38F277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3.4. Cuando el MISN se pretenda localizar en suelo rural, se debe determinar si se encuentra ubicado en suelo de clasificación agrológica IGAC I, II o III, en cuyo caso el promotor deberá presentar una memoria en el que se analice y justifique la imposibilidad de destinar para el desarrollo urbano otros suelos de diferente calidad y condición. </w:t>
      </w:r>
    </w:p>
    <w:p w14:paraId="65EA31E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4889EA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Estudio Ambiental de prefactibilidad  </w:t>
      </w:r>
    </w:p>
    <w:p w14:paraId="683AD6D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451BB9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4.1 Descripción de las determinantes ambientales en el área de planificación preliminar, que comprenda como mínimo: i) la identificación de las áreas de conservación y protección ambiental, reservas forestales y reservas de la sociedad civil así como el régimen de uso correspondiente y posibles traslapes con el área de planificación preliminar; ii) la existencia de prioridades de conservación del nivel nacional, regional y local; iii) identificación preliminar de disponibilidad de recursos naturales renovables y la demanda de uso o aprovechamiento de los mismos requeridos para el desarrollo del Macroproyecto y de las necesidades de permisos o autorizaciones ambientales correspondientes; </w:t>
      </w:r>
      <w:proofErr w:type="spellStart"/>
      <w:r w:rsidRPr="009342F9">
        <w:rPr>
          <w:rFonts w:ascii="Arial" w:eastAsia="Times New Roman" w:hAnsi="Arial" w:cs="Arial"/>
          <w:color w:val="000000"/>
          <w:lang w:eastAsia="es-CO"/>
        </w:rPr>
        <w:t>iv</w:t>
      </w:r>
      <w:proofErr w:type="spellEnd"/>
      <w:r w:rsidRPr="009342F9">
        <w:rPr>
          <w:rFonts w:ascii="Arial" w:eastAsia="Times New Roman" w:hAnsi="Arial" w:cs="Arial"/>
          <w:color w:val="000000"/>
          <w:lang w:eastAsia="es-CO"/>
        </w:rPr>
        <w:t>) Zonificación ambiental del área de planificación preliminar, y v) relación del área de planificación del MISN con los instrumentos de planificación ambiental y territorial. </w:t>
      </w:r>
    </w:p>
    <w:p w14:paraId="3E9691D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1665E0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4.2 Identificación y evaluación de los impactos ambientales positivos y negativos asociados a la propuesta de Macroproyecto a nivel de prefactibilidad en su área preliminar de planificación y su área de influencia y análisis preliminar de la viabilidad ambiental y las medidas y alternativas preliminares para su manejo. </w:t>
      </w:r>
    </w:p>
    <w:p w14:paraId="3F31A90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F2E48C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 Análisis de amenaza y vulnerabilidad.  </w:t>
      </w:r>
    </w:p>
    <w:p w14:paraId="5DAA24C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3529CB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Análisis a nivel de prefactibilidad de amenaza y vulnerabilidad por ocurrencia de fenómenos naturales que puedan llegar a generar restricciones para el desarrollo del Macroproyecto y su área de influencia ambiental. </w:t>
      </w:r>
    </w:p>
    <w:p w14:paraId="73532D4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8FD3FA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 Corporación Autónoma Regional o de Desarrollo Sostenible correspondiente, se pronunciará en la etapa de prefactibilidad únicamente sobre el análisis de amenaza y vulnerabilidad por inundación, crecientes súbitas y deslizamientos de origen hidrometeorológico. </w:t>
      </w:r>
    </w:p>
    <w:p w14:paraId="0680E14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94F76A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6. Descripción de otras determinantes de suelos de protección.  </w:t>
      </w:r>
    </w:p>
    <w:p w14:paraId="1887A2F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682827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Descripción de las principales determinantes para el desarrollo del área de planificación preliminar, que comprenda: i) las áreas de protección por el componente cultural y arqueológico tales como bienes declarados patrimonio cultural, histórico, artístico y arquitectónico o áreas declaradas de interés arqueológico; ii) áreas destinadas para infraestructura de vías, puertos y aeropuertos, líneas de gasoductos y oleoductos, infraestructura de comunicaciones y servicios públicos domiciliarios. </w:t>
      </w:r>
    </w:p>
    <w:p w14:paraId="77D4E32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D1C398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7. Infraestructura  </w:t>
      </w:r>
    </w:p>
    <w:p w14:paraId="7ED78D0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E4A9DC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Debe anexar una memoria descriptiva que contenga como mínimo la siguiente información del proyecto: i) cómo se suple la demanda de los servicios públicos domiciliarios; ii) cuál es la estructura del sistema vial y de transporte, identificando las vías existentes y proyectadas; iii) cuál es la respuesta del sistema de espacio público y equipamientos, identificando las áreas existentes y proyectadas, y </w:t>
      </w:r>
      <w:proofErr w:type="spellStart"/>
      <w:r w:rsidRPr="009342F9">
        <w:rPr>
          <w:rFonts w:ascii="Arial" w:eastAsia="Times New Roman" w:hAnsi="Arial" w:cs="Arial"/>
          <w:color w:val="000000"/>
          <w:lang w:eastAsia="es-CO"/>
        </w:rPr>
        <w:t>iv</w:t>
      </w:r>
      <w:proofErr w:type="spellEnd"/>
      <w:r w:rsidRPr="009342F9">
        <w:rPr>
          <w:rFonts w:ascii="Arial" w:eastAsia="Times New Roman" w:hAnsi="Arial" w:cs="Arial"/>
          <w:color w:val="000000"/>
          <w:lang w:eastAsia="es-CO"/>
        </w:rPr>
        <w:t>) factibilidad de servicios públicos. </w:t>
      </w:r>
    </w:p>
    <w:p w14:paraId="7F940A3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D5A181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8. Propuesta urbanística preliminar y presupuesto preliminar  </w:t>
      </w:r>
    </w:p>
    <w:p w14:paraId="345BC28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w:t>
      </w:r>
    </w:p>
    <w:p w14:paraId="3F41FB6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8.1 Propuesta urbanística preliminar que incluya un esquema básico del planteamiento urbano, señalando, entre otros aspectos, i) zonificación ambiental; ii) los sistemas generales del Macroproyecto, tales como el sistema de movilidad, servicios públicos domiciliarios, espacio público y equipamientos; iii) las posibles áreas de actividad y tratamientos urbanísticos; </w:t>
      </w:r>
      <w:proofErr w:type="spellStart"/>
      <w:r w:rsidRPr="009342F9">
        <w:rPr>
          <w:rFonts w:ascii="Arial" w:eastAsia="Times New Roman" w:hAnsi="Arial" w:cs="Arial"/>
          <w:color w:val="000000"/>
          <w:lang w:eastAsia="es-CO"/>
        </w:rPr>
        <w:t>iv</w:t>
      </w:r>
      <w:proofErr w:type="spellEnd"/>
      <w:r w:rsidRPr="009342F9">
        <w:rPr>
          <w:rFonts w:ascii="Arial" w:eastAsia="Times New Roman" w:hAnsi="Arial" w:cs="Arial"/>
          <w:color w:val="000000"/>
          <w:lang w:eastAsia="es-CO"/>
        </w:rPr>
        <w:t>) cuadro de áreas que discrimine de forma preliminar el área bruta, área neta urbanizable, área útil, área destinada a infraestructura y cesiones obligatorias de suelo para la red vial local y secundaria, equipamientos colectivos y espacio público, y v) la propuesta preliminar del potencial de viviendas VIS, VIP y no VIS que se busca generar, especificando cómo se cumplirá con los requisitos señalados en los artículos 2.2.4.2.2.2.1 y 2.2.4.2.2.2.2 de esta Sección. </w:t>
      </w:r>
    </w:p>
    <w:p w14:paraId="6157444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BE38D7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8.2 Presupuesto preliminar que contenga: i) valor del suelo; ii) costos directos e indirectos de urbanismo; ii) costos directos e indirectos de construcción de viviendas según el esquema de ventas del MISN, y iii) se debe especificar si en el municipio está reglamentada plusvalía. </w:t>
      </w:r>
    </w:p>
    <w:p w14:paraId="13B806F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5F03D0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Adicionalmente se deberá aportar un cronograma preliminar de ejecución anual de urbanismo y ejecución de viviendas, especificando el número de viviendas a construir; fuentes de financiación del MISN; los componentes del reparto de cargas y beneficios, especificando la fuente de financiación de cada una con su respectivo soporte. </w:t>
      </w:r>
    </w:p>
    <w:p w14:paraId="3C61DC5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14F6C5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9. Análisis de la propuesta de MISN y el contenido del plan de ordenamiento territorial. Análisis de la propuesta de MISN y el contenido del plan de ordenamiento territorial vigente, principalmente en relación con lo dispuesto en los componentes general y urbano y las normas urbanísticas. </w:t>
      </w:r>
    </w:p>
    <w:p w14:paraId="2EFC4B4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FE0BE6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10. Descripción de impacto del macroproyecto.  </w:t>
      </w:r>
    </w:p>
    <w:p w14:paraId="0BF6616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6042F7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Con el fin de determinar la viabilidad de la propuesta de macroproyecto, deberá anexarse un documento que sintetice la información descriptiva con la justificación de la intervención propuesta y el impacto ambiental, en el que se demuestre el impacto estructural sobre políticas y estrategias de ordenamiento urbano, la calidad de vida y la organización espacial del respectivo municipio, región o área metropolitana, según sea del caso. </w:t>
      </w:r>
    </w:p>
    <w:p w14:paraId="699CFFA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707ADD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11. Documentos anexos  </w:t>
      </w:r>
    </w:p>
    <w:p w14:paraId="0CA3D4B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42517C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11.1 Certificado del Ministerio del Interior sobre presencia o no de comunidades étnicas en el área de planificación del Macroproyecto. </w:t>
      </w:r>
    </w:p>
    <w:p w14:paraId="1E0DDAD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491A17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11.2 Certificado del ICAHN. </w:t>
      </w:r>
    </w:p>
    <w:p w14:paraId="31EBCB3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DDEC76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11.3 Certificado del </w:t>
      </w:r>
      <w:proofErr w:type="spellStart"/>
      <w:r w:rsidRPr="009342F9">
        <w:rPr>
          <w:rFonts w:ascii="Arial" w:eastAsia="Times New Roman" w:hAnsi="Arial" w:cs="Arial"/>
          <w:color w:val="000000"/>
          <w:lang w:eastAsia="es-CO"/>
        </w:rPr>
        <w:t>Incoder</w:t>
      </w:r>
      <w:proofErr w:type="spellEnd"/>
      <w:r w:rsidRPr="009342F9">
        <w:rPr>
          <w:rFonts w:ascii="Arial" w:eastAsia="Times New Roman" w:hAnsi="Arial" w:cs="Arial"/>
          <w:color w:val="000000"/>
          <w:lang w:eastAsia="es-CO"/>
        </w:rPr>
        <w:t xml:space="preserve"> sobre la existencia o de territorios legalmente titulados o resguardos indígenas o títulos colectivos pertenecientes a comunidades afrocolombianas en el área de planificación del proyecto. </w:t>
      </w:r>
    </w:p>
    <w:p w14:paraId="26959C6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49D11C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11.4 Certificado de tradición y libertad de los predios que se encuentran en el área de planificación de MISN, cuya fecha de expedición no sea superior a un (1) mes. </w:t>
      </w:r>
    </w:p>
    <w:p w14:paraId="28BFBF4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F1A0BA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11.5 Estudio de títulos por lo menos de los últimos diez (10) años. </w:t>
      </w:r>
    </w:p>
    <w:p w14:paraId="053D6E4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0BCF35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11.6 Plano de delimitación preliminar amarrado a las coordenadas IGAC, con el señalamiento y localización de los suelos de protección en los términos del artículo 35 de la Ley 388 de 1997, la </w:t>
      </w:r>
      <w:r w:rsidRPr="009342F9">
        <w:rPr>
          <w:rFonts w:ascii="Arial" w:eastAsia="Times New Roman" w:hAnsi="Arial" w:cs="Arial"/>
          <w:color w:val="000000"/>
          <w:lang w:eastAsia="es-CO"/>
        </w:rPr>
        <w:lastRenderedPageBreak/>
        <w:t>identificación y delimitación de las áreas de conservación y protección ambiental y las zonas de amenazas y riesgos. </w:t>
      </w:r>
    </w:p>
    <w:p w14:paraId="0BCF032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FB8C6C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11.7 Plano catastral con la relación e identificación de los predios del área de planificación con indicación de sus propietarios y/o poseedores. </w:t>
      </w:r>
    </w:p>
    <w:p w14:paraId="0EADE74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08E70B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11.8 Información catastral disponible de los predios que se encuentran en el área de planificación del respetivo MISN. </w:t>
      </w:r>
    </w:p>
    <w:p w14:paraId="3387528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976FA4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11.9 Certificado y plancha IGAC o la autoridad competente a escala 1:2.000 o 1:5.000, que contenga el inmueble o los inmuebles que conforman el área de planificación del MISN. </w:t>
      </w:r>
    </w:p>
    <w:p w14:paraId="146BACA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1CBC4D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11.10 Poder o poderes de todos los propietarios de los inmuebles del área de planificación preliminar, inscritos en los folios de matrículas inmobiliarias, que faculten al promotor, cuando la iniciativa sea privada, para representar sus intereses. </w:t>
      </w:r>
    </w:p>
    <w:p w14:paraId="014A04E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FA9F0C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11.11 Folios de matrículas inmobiliarias expedidas en un término no mayor a 30 días. </w:t>
      </w:r>
    </w:p>
    <w:p w14:paraId="0585CB6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8D8734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11.12 Certificado de Existencia y Representación Legal, o del documento que haga sus veces, cuya fecha de expedición no sea mayor a un (1) mes, expedido por autoridad competente de acuerdo con la naturaleza jurídica del promotor; o copia del documento de identidad, cuando se trate de personas naturales. </w:t>
      </w:r>
    </w:p>
    <w:p w14:paraId="22CB66C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032D99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11.13 Soportes de la información suministrada en el DTS especificando la fuente de </w:t>
      </w:r>
      <w:proofErr w:type="gramStart"/>
      <w:r w:rsidRPr="009342F9">
        <w:rPr>
          <w:rFonts w:ascii="Arial" w:eastAsia="Times New Roman" w:hAnsi="Arial" w:cs="Arial"/>
          <w:color w:val="000000"/>
          <w:lang w:eastAsia="es-CO"/>
        </w:rPr>
        <w:t>la misma</w:t>
      </w:r>
      <w:proofErr w:type="gramEnd"/>
      <w:r w:rsidRPr="009342F9">
        <w:rPr>
          <w:rFonts w:ascii="Arial" w:eastAsia="Times New Roman" w:hAnsi="Arial" w:cs="Arial"/>
          <w:color w:val="000000"/>
          <w:lang w:eastAsia="es-CO"/>
        </w:rPr>
        <w:t>. </w:t>
      </w:r>
    </w:p>
    <w:p w14:paraId="69D2C5B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5F785C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11.14 Certificado de la autoridad competente, con los usos del suelo del área del macroproyecto. </w:t>
      </w:r>
    </w:p>
    <w:p w14:paraId="13D4C32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4501D3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Parágrafo 1°. Para efectos de lo previsto en la presente sección, se entiende por área de actividad la destinación general asignada a las diferentes zonas dentro del área de planificación de un Macroproyecto en función de la estructura urbana propuesta. Las áreas de actividad establecen los parámetros generales </w:t>
      </w:r>
      <w:proofErr w:type="gramStart"/>
      <w:r w:rsidRPr="009342F9">
        <w:rPr>
          <w:rFonts w:ascii="Arial" w:eastAsia="Times New Roman" w:hAnsi="Arial" w:cs="Arial"/>
          <w:color w:val="000000"/>
          <w:lang w:eastAsia="es-CO"/>
        </w:rPr>
        <w:t>a</w:t>
      </w:r>
      <w:proofErr w:type="gramEnd"/>
      <w:r w:rsidRPr="009342F9">
        <w:rPr>
          <w:rFonts w:ascii="Arial" w:eastAsia="Times New Roman" w:hAnsi="Arial" w:cs="Arial"/>
          <w:color w:val="000000"/>
          <w:lang w:eastAsia="es-CO"/>
        </w:rPr>
        <w:t xml:space="preserve"> tener en cuenta para la asignación de usos específicos en las fases posteriores a la adopción del mismo. </w:t>
      </w:r>
    </w:p>
    <w:p w14:paraId="707DA39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EF9C52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2°. El Ministerio de Vivienda, Ciudad y Territorio podrá señalar los documentos que se requieren para efectos de la elaboración de los estudios y el cumplimiento de los requisitos señalados en el presente artículo para adelantar la evaluación técnica, financiera y jurídica de los Macroproyectos. </w:t>
      </w:r>
    </w:p>
    <w:p w14:paraId="6F0E29C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D65E71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3°. El Ministerio de Ambiente y Desarrollo Sostenible establecerá los términos de referencia para la elaboración del estudio ambiental de prefactibilidad que será adoptado mediante acto administrativo. </w:t>
      </w:r>
    </w:p>
    <w:p w14:paraId="195EA2D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E99CAE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4°. El Ministerio de Vivienda, Ciudad y Territorio enviará el documento técnico de soporte a la Corporación Autónoma Regional o de Desarrollo Sostenible correspondiente para el análisis ambiental a nivel de prefactibilidad. El pronunciamiento ambiental favorable de la respectiva Corporación Autónoma Regional será requisito previo para la expedición del acto administrativo de anuncio. </w:t>
      </w:r>
    </w:p>
    <w:p w14:paraId="4D09CD9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C220E1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5°. Si la información y/o documentos no son suficientes para el pronunciamiento de la autoridad competente, ésta podrá requerirla por una sola vez. Este requerimiento interrumpirá los términos establecidos para que estas Corporaciones decidan. </w:t>
      </w:r>
    </w:p>
    <w:p w14:paraId="5E8AAEC3"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137" w:name="ver_30073324"/>
      <w:bookmarkEnd w:id="1137"/>
      <w:r w:rsidRPr="009342F9">
        <w:rPr>
          <w:rFonts w:ascii="Arial" w:eastAsia="Times New Roman" w:hAnsi="Arial" w:cs="Arial"/>
          <w:color w:val="000000"/>
          <w:lang w:eastAsia="es-CO"/>
        </w:rPr>
        <w:lastRenderedPageBreak/>
        <w:t>Artículo 2.2.4.2.2.3.1.3 Costos de elaboración y análisis de prefactibilidad. Los costos de elaboración del documento técnico de soporte de prefactibilidad serán asumidos por cuenta exclusiva de quienes presenten el respectivo Macroproyecto. </w:t>
      </w:r>
    </w:p>
    <w:p w14:paraId="095F532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9067AC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Cuando la evaluación y análisis de prefactibilidad de la propuesta de MISN se adelante por parte de un tercero designado por el Ministerio de Vivienda, Ciudad y Territorio, los costos que se generen por concepto de dicha evaluación correrán por cuenta del promotor del MISN. </w:t>
      </w:r>
    </w:p>
    <w:p w14:paraId="4295A901" w14:textId="77777777" w:rsidR="00C8117B" w:rsidRDefault="00C8117B" w:rsidP="00FC79C1">
      <w:pPr>
        <w:spacing w:after="0" w:line="240" w:lineRule="auto"/>
        <w:jc w:val="both"/>
        <w:rPr>
          <w:rFonts w:ascii="Arial" w:eastAsia="Times New Roman" w:hAnsi="Arial" w:cs="Arial"/>
          <w:color w:val="000000"/>
          <w:lang w:eastAsia="es-CO"/>
        </w:rPr>
      </w:pPr>
      <w:bookmarkStart w:id="1138" w:name="ver_30073325"/>
      <w:bookmarkEnd w:id="1138"/>
    </w:p>
    <w:p w14:paraId="30229CFE" w14:textId="161F1C84"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2.2.4.2.2.3.1.4 Anuncio de los Macroproyectos. El análisis y evaluación del estudio de prefactibilidad de cada MISN culminará con la expedición de un acto administrativo de anuncio o de archivo por parte del Ministerio de Vivienda, Ciudad y Territorio según corresponda. </w:t>
      </w:r>
    </w:p>
    <w:p w14:paraId="3AED970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7C726A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El acto administrativo de anuncio tendrá por lo menos el siguiente contenido: </w:t>
      </w:r>
    </w:p>
    <w:p w14:paraId="3E22C95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792949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La delimitación del área de planificación preliminar mediante coordenadas IGAC. </w:t>
      </w:r>
    </w:p>
    <w:p w14:paraId="2D5B9FC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F0E5CB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La orden de solicitar la práctica de avalúos de referencia para determinar el precio del suelo antes del anuncio del Macroproyecto, en caso de que éstos no se hubiesen realizado, y siempre y cuando no tengan más de diez (10) meses de anterioridad a la fecha de la expedición del acto de anuncio del proyecto. </w:t>
      </w:r>
    </w:p>
    <w:p w14:paraId="550842E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8FC8BD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La orden de publicación del acto administrativo de anuncio en el Diario Oficial y en la Gaceta o registro municipal o distrital o en un diario de amplia circulación en el municipio o distrito cuando carezcan de los anteriores medios de publicidad. </w:t>
      </w:r>
    </w:p>
    <w:p w14:paraId="4B8E6A3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18E6E8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La orden de inscripción del acto administrativo de anuncio en el folio de matrícula inmobiliaria del predio o predios incluidos en el área de planificación. </w:t>
      </w:r>
    </w:p>
    <w:p w14:paraId="40338FC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520AC5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El Documento Técnico de Soporte de Prefactibilidad, el plano de delimitación preliminar amarrado a las coordenadas IGAC, y el plano catastral del área de planificación, que fundamentan la decisión contenida en el acto administrativo de anuncio, estarán disponibles en la página web del Ministerio de Vivienda, Ciudad y Territorio hasta que se expida el acto administrativo de adopción o archivo del respectivo Macroproyecto. De igual forma, copia de esta información se remitirá al alcalde del respectivo municipio o distrito con el fin de que esta esté disponible en las instalaciones de la alcaldía para que cualquier interesado pueda consultar la información respectiva. </w:t>
      </w:r>
    </w:p>
    <w:p w14:paraId="2180BC5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2C6C9B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Contra el acto administrativo que ordena el archivo de la iniciativa del Macroproyecto proceden los recursos de ley. </w:t>
      </w:r>
    </w:p>
    <w:p w14:paraId="12DC4A53" w14:textId="3FC76189"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139" w:name="ver_30073326"/>
      <w:bookmarkEnd w:id="1139"/>
    </w:p>
    <w:p w14:paraId="281C1D8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2.2.4.2.2.3.1.5 Efectos del acto administrativo de anuncio. La publicación del anuncio del Macroproyecto concreta los motivos de utilidad pública e interés social a que hace referencia el artículo 11 de la Ley 1469 de 2011 y permite descontar del avalúo comercial del predio, el monto correspondiente a la plusvalía o mayor valor generado por el anuncio del proyecto, salvo aquellos casos en que los propietarios hubieren pagado la participación en plusvalía o la contribución de valorización, según sea del caso. </w:t>
      </w:r>
    </w:p>
    <w:p w14:paraId="59A5B9E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5D9C86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De conformidad con lo previsto en los artículos 7 y 8 de la Ley 1469 de 2011, el anuncio de que trata esta sección no generará obligación de formular o adoptar el respectivo Macroproyecto ni obligará a la Administración a presentar oferta de compra sobre los bienes objeto </w:t>
      </w:r>
      <w:proofErr w:type="gramStart"/>
      <w:r w:rsidRPr="009342F9">
        <w:rPr>
          <w:rFonts w:ascii="Arial" w:eastAsia="Times New Roman" w:hAnsi="Arial" w:cs="Arial"/>
          <w:color w:val="000000"/>
          <w:lang w:eastAsia="es-CO"/>
        </w:rPr>
        <w:t>del mismo</w:t>
      </w:r>
      <w:proofErr w:type="gramEnd"/>
      <w:r w:rsidRPr="009342F9">
        <w:rPr>
          <w:rFonts w:ascii="Arial" w:eastAsia="Times New Roman" w:hAnsi="Arial" w:cs="Arial"/>
          <w:color w:val="000000"/>
          <w:lang w:eastAsia="es-CO"/>
        </w:rPr>
        <w:t>. </w:t>
      </w:r>
    </w:p>
    <w:p w14:paraId="4EEA106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4850CD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Con el fin de garantizar el pleno conocimiento de los propietarios y terceros, el acto administrativo que contiene el anuncio del Macroproyecto se inscribirá en el folio de matrícula inmobiliaria de todos los predios incluidos en el área de planificación. </w:t>
      </w:r>
    </w:p>
    <w:p w14:paraId="7F4AC63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2A2D63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Los efectos del anuncio cesarán y, por consiguiente, el Ministerio de Vivienda, Ciudad y Territorio adelantará, de oficio o a solicitud de parte, los trámites para cancelar la inscripción en el folio de matrícula inmobiliaria de los predios del área anunciada cuando: </w:t>
      </w:r>
    </w:p>
    <w:p w14:paraId="6C01CD1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C25804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Se ordene el archivo de la iniciativa de Macroproyecto mediante acto administrativo motivado. </w:t>
      </w:r>
    </w:p>
    <w:p w14:paraId="65B657E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F569F9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Se excluyan predios del área de planificación según lo determine la resolución de adopción o modificación del respectivo Macroproyecto. </w:t>
      </w:r>
    </w:p>
    <w:p w14:paraId="58A00072" w14:textId="786D83FF" w:rsidR="00D4095E"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140" w:name="ver_30073327"/>
      <w:bookmarkEnd w:id="1140"/>
    </w:p>
    <w:p w14:paraId="3A40A1BD" w14:textId="55810A57" w:rsidR="00FC79C1" w:rsidRPr="009342F9" w:rsidRDefault="00FC79C1" w:rsidP="00D4095E">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SUBSUBSECCIÓN 2</w:t>
      </w:r>
    </w:p>
    <w:p w14:paraId="5C899F02" w14:textId="77777777" w:rsidR="00FC79C1" w:rsidRPr="009342F9" w:rsidRDefault="00FC79C1" w:rsidP="00D4095E">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FORMULACIÓN Y CONCERTACIÓN</w:t>
      </w:r>
    </w:p>
    <w:p w14:paraId="5BB1F7AE" w14:textId="77777777" w:rsidR="00D07FCE" w:rsidRDefault="00D07FCE" w:rsidP="00D4095E">
      <w:pPr>
        <w:spacing w:after="0" w:line="240" w:lineRule="auto"/>
        <w:jc w:val="center"/>
        <w:rPr>
          <w:rFonts w:ascii="Arial" w:eastAsia="Times New Roman" w:hAnsi="Arial" w:cs="Arial"/>
          <w:b/>
          <w:bCs/>
          <w:color w:val="000000"/>
          <w:lang w:eastAsia="es-CO"/>
        </w:rPr>
      </w:pPr>
    </w:p>
    <w:p w14:paraId="26A5F748" w14:textId="52768033" w:rsidR="00FC79C1" w:rsidRPr="009342F9" w:rsidRDefault="00FC79C1" w:rsidP="00D4095E">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NUMERAL 1</w:t>
      </w:r>
    </w:p>
    <w:p w14:paraId="480C39AE" w14:textId="77777777" w:rsidR="00FC79C1" w:rsidRPr="009342F9" w:rsidRDefault="00FC79C1" w:rsidP="00D4095E">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EVALUACIÓN TÉCNICA, FINANCIERA Y JURÍDICA</w:t>
      </w:r>
    </w:p>
    <w:p w14:paraId="180DAEB7"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141" w:name="ver_30073328"/>
      <w:bookmarkEnd w:id="1141"/>
    </w:p>
    <w:p w14:paraId="5FF4688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2.2.4.2.2.3.2.1.1. Formulación del Macroproyecto. Una vez el Ministerio de Vivienda, Ciudad y Territorio expida el acto administrativo de anuncio, se iniciará la fase de formulación de la propuesta de Macroproyecto con la elaboración del Documento Técnico de Soporte - DTS a que hace referencia el artículo siguiente, con el fin de someterlo al correspondiente análisis de viabilidad técnica, ambiental, financiera y jurídica. </w:t>
      </w:r>
    </w:p>
    <w:p w14:paraId="3E5B499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F23801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Los interesados en adelantar el respectivo Macroproyecto deben presentar dentro de los ocho (8) meses siguientes a la publicación del acto administrativo de anuncio, la formulación de la propuesta de Macroproyecto con el Documento Técnico de Soporte. La presentación de esta iniciativa ante el Ministerio no genera ningún tipo de obligación para su adopción. </w:t>
      </w:r>
    </w:p>
    <w:p w14:paraId="6646459E" w14:textId="1B25379E"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142" w:name="ver_30073329"/>
      <w:bookmarkEnd w:id="1142"/>
    </w:p>
    <w:p w14:paraId="30E9A37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2.2.4.2.2.3.2.1.2 Contenido del Documento Técnico de Soporte - DTS para la formulación del Macroproyecto. Con la solicitud de inicio de la fase de formulación de la propuesta de Macroproyecto, el interesado deberá anexar un Documento Técnico de Soporte de formulación en medio físico y magnético, que incluya la siguiente información: </w:t>
      </w:r>
    </w:p>
    <w:p w14:paraId="0E315A7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667295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Información general del MISN.  </w:t>
      </w:r>
    </w:p>
    <w:p w14:paraId="0EAADB3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BA854D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1.1 Nombre, categoría y titular de la iniciativa. </w:t>
      </w:r>
    </w:p>
    <w:p w14:paraId="13CBE57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02E0D6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1.2 Objetivo y justificación de la intervención propuesta. </w:t>
      </w:r>
    </w:p>
    <w:p w14:paraId="51C3CFE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00AA07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1.3 Análisis que justifique el cumplimiento de los requisitos y las condiciones para el desarrollo del MISN según lo establecido en los artículos 2.2.4.2.2.2.1 y 2.2.4.2.2.2.2 de esta sección. </w:t>
      </w:r>
    </w:p>
    <w:p w14:paraId="12BAB1C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F42C9C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Análisis del municipio y del impacto metropolitano o regional.  </w:t>
      </w:r>
    </w:p>
    <w:p w14:paraId="6043B0C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FE0D7A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Análisis general del municipio que incluya: i) la dinámica poblacional, ii) el déficit cualitativo y cuantitativo de vivienda en el municipio y en la cabecera municipal; iii) las características agrológicas del área cuando se encuentre en suelo rural, </w:t>
      </w:r>
      <w:proofErr w:type="spellStart"/>
      <w:r w:rsidRPr="009342F9">
        <w:rPr>
          <w:rFonts w:ascii="Arial" w:eastAsia="Times New Roman" w:hAnsi="Arial" w:cs="Arial"/>
          <w:color w:val="000000"/>
          <w:lang w:eastAsia="es-CO"/>
        </w:rPr>
        <w:t>iv</w:t>
      </w:r>
      <w:proofErr w:type="spellEnd"/>
      <w:r w:rsidRPr="009342F9">
        <w:rPr>
          <w:rFonts w:ascii="Arial" w:eastAsia="Times New Roman" w:hAnsi="Arial" w:cs="Arial"/>
          <w:color w:val="000000"/>
          <w:lang w:eastAsia="es-CO"/>
        </w:rPr>
        <w:t>) los indicadores de espacio público efectivo y equipamientos colectivos municipales, y v) análisis de mercado del suelo y de vivienda que permita establecer la imposibilidad de destinar otros suelos para estos usos. </w:t>
      </w:r>
    </w:p>
    <w:p w14:paraId="0FBEA91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w:t>
      </w:r>
    </w:p>
    <w:p w14:paraId="206AB04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Cuando el MISN sea de impacto metropolitano o regional o atienda población de otros municipios, esta descripción deberá incluir la información de los numerales (i) y (ii) para todos los municipios en los que se genera dicho impacto. </w:t>
      </w:r>
    </w:p>
    <w:p w14:paraId="37F8649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F389AF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Localización definitiva del área de planificación del MISN.  </w:t>
      </w:r>
    </w:p>
    <w:p w14:paraId="499D33C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ED8D29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3.1 La localización del área de planificación del MISN en el municipio, señalando la clasificación del suelo, los sistemas generales de movilidad, espacio público y equipamientos colectivos y las características de la infraestructura de servicios públicos domiciliarios, en la que se determine cómo se conecta con el </w:t>
      </w:r>
      <w:proofErr w:type="gramStart"/>
      <w:r w:rsidRPr="009342F9">
        <w:rPr>
          <w:rFonts w:ascii="Arial" w:eastAsia="Times New Roman" w:hAnsi="Arial" w:cs="Arial"/>
          <w:color w:val="000000"/>
          <w:lang w:eastAsia="es-CO"/>
        </w:rPr>
        <w:t>casco urbano o el área urbana</w:t>
      </w:r>
      <w:proofErr w:type="gramEnd"/>
      <w:r w:rsidRPr="009342F9">
        <w:rPr>
          <w:rFonts w:ascii="Arial" w:eastAsia="Times New Roman" w:hAnsi="Arial" w:cs="Arial"/>
          <w:color w:val="000000"/>
          <w:lang w:eastAsia="es-CO"/>
        </w:rPr>
        <w:t xml:space="preserve"> consolidada. </w:t>
      </w:r>
    </w:p>
    <w:p w14:paraId="4F135DD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50303E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3.2 La identificación del área de planificación donde se desarrollará el MISN que incluya i) la composición predial con base en la información catastral disponible con la identificación del inmueble o de los inmuebles que conforman el área de planificación definitiva señalando el propietario, el área de cada uno de ellos, el número de matrícula inmobiliaria y/o cédula catastral del predio; ii) el área total del área de planificación del MISN y el alinderamiento de dicha área, con los mojones y cuadro de coordenadas de mojones, y iii) la identificación de los predios vecinos. </w:t>
      </w:r>
    </w:p>
    <w:p w14:paraId="4FB97AC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9A6FCA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 delimitación definitiva del área de planificación en la cual se desarrollarán las actuaciones urbanísticas previstas en las normas que adopte el Macroproyecto. </w:t>
      </w:r>
    </w:p>
    <w:p w14:paraId="36386C6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DA2EF4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Si el área de planificación presentada en la formulación es menor al área de planificación del anuncio, en el DTS de formulación se deberá justificar técnicamente el motivo de dicho cambio. </w:t>
      </w:r>
    </w:p>
    <w:p w14:paraId="5EC1498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82FCE9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Cuando el área de planificación resultante del proceso de formulación sea superior al área de planificación preliminar se deberá justificar técnica, jurídica y financieramente el motivo de dicha modificación y una vez determinada la viabilidad de toda el área de planificación, se expedirá el acto administrativo de anuncio, sobre el área adicional. </w:t>
      </w:r>
    </w:p>
    <w:p w14:paraId="1D152FF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0DD66D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3.3 Topográfico que contenga la precisión de la delimitación del área de planificación, la altimetría y planimetría del terreno, los elementos naturales tales como la red hídrica y la cobertura vegetal; así como las obras civiles que se encuentren ubicadas en el área </w:t>
      </w:r>
    </w:p>
    <w:p w14:paraId="58BF9069" w14:textId="77777777" w:rsidR="00FC79C1" w:rsidRPr="009342F9" w:rsidRDefault="00FC79C1" w:rsidP="00FC79C1">
      <w:pPr>
        <w:spacing w:after="0" w:line="240" w:lineRule="auto"/>
        <w:jc w:val="both"/>
        <w:rPr>
          <w:rFonts w:ascii="Arial" w:eastAsia="Times New Roman" w:hAnsi="Arial" w:cs="Arial"/>
          <w:color w:val="000000"/>
          <w:lang w:eastAsia="es-CO"/>
        </w:rPr>
      </w:pPr>
    </w:p>
    <w:p w14:paraId="4813F67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MISN, las curvas de nivel, el área del MISN. Lo anterior deberá identificarse y delimitarse mediante mojones y coordenadas, con el sistema de unidades según lo establecido por el IGAC. </w:t>
      </w:r>
    </w:p>
    <w:p w14:paraId="40E329C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5C62BA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Cuando el MISN se localice en suelo rural, se debe determinar si se encuentra ubicado en suelo de </w:t>
      </w:r>
      <w:proofErr w:type="spellStart"/>
      <w:r w:rsidRPr="009342F9">
        <w:rPr>
          <w:rFonts w:ascii="Arial" w:eastAsia="Times New Roman" w:hAnsi="Arial" w:cs="Arial"/>
          <w:color w:val="000000"/>
          <w:lang w:eastAsia="es-CO"/>
        </w:rPr>
        <w:t>clasifícación</w:t>
      </w:r>
      <w:proofErr w:type="spellEnd"/>
      <w:r w:rsidRPr="009342F9">
        <w:rPr>
          <w:rFonts w:ascii="Arial" w:eastAsia="Times New Roman" w:hAnsi="Arial" w:cs="Arial"/>
          <w:color w:val="000000"/>
          <w:lang w:eastAsia="es-CO"/>
        </w:rPr>
        <w:t xml:space="preserve"> agrológica IGAC 1, II o III, en cuyo caso el promotor deberá presentar un estudio en el que se analice y justifique la imposibilidad de destinar para el desarrollo urbano suelos de diferente calidad y condición. </w:t>
      </w:r>
    </w:p>
    <w:p w14:paraId="7E86862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9D48A9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Estudio Ambiental de formulación  </w:t>
      </w:r>
    </w:p>
    <w:p w14:paraId="39D66EC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2653FB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El estudio ambiental contendrá, como mínimo: i) la delimitación y descripción de las características ambientales del área específica del proyecto, que comprenda: determinantes ambientales; la identificación y delimitación de los elementos que por sus valores naturales, ambientales o paisajísticos deban ser conservados y las medidas específicas de protección para evitar su alteración o afectación con la ejecución del macroproyecto; hidrología e hidráulica; ii) </w:t>
      </w:r>
      <w:r w:rsidRPr="009342F9">
        <w:rPr>
          <w:rFonts w:ascii="Arial" w:eastAsia="Times New Roman" w:hAnsi="Arial" w:cs="Arial"/>
          <w:color w:val="000000"/>
          <w:lang w:eastAsia="es-CO"/>
        </w:rPr>
        <w:lastRenderedPageBreak/>
        <w:t>identificación y evaluación de los impactos ambientales del proyecto y las correspondientes medidas de manejo. </w:t>
      </w:r>
    </w:p>
    <w:p w14:paraId="3149D40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858D3B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Se deberán presentar las medidas de manejo de los impactos ambientales, que contenga las medidas de prevención, mitigación, corrección y compensación de los impactos ambientales identificados y dimensionados y la definición del manejo de vertimientos, emisiones y residuos. Estas medidas de manejo deberán incluir, de manera preliminar, la estructura organizacional y los recursos para su ejecución, durante la construcción y operación del proyecto. </w:t>
      </w:r>
    </w:p>
    <w:p w14:paraId="02BEB08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887FD5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Con base en la información obtenida sobre recursos naturales renovables y descargas al medio ambiente, en esta fase se determinará la demanda de uso, aprovechamiento y/o afectación de los recursos naturales renovables, con el señalamiento de los permisos ambientales que se requerirían para la ejecución del MISN. </w:t>
      </w:r>
    </w:p>
    <w:p w14:paraId="440EF6E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D23F0C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 Otras determinantes de suelos de protección  </w:t>
      </w:r>
    </w:p>
    <w:p w14:paraId="36D83CA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09CE93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Identificar las principales determinantes para el desarrollo del área de planificación preliminar, que comprenda entre otras: i) las áreas de protección por el componente cultural y arqueológico tales como bienes declarados patrimonio cultural, histórico, artístico y arquitectónico o áreas declaradas de interés arqueológico; ii) áreas destinadas para infraestructura de vías, puertos y aeropuertos, líneas de gasoductos y oleoductos, infraestructura de comunicaciones y servicios públicos domiciliarios, y iii) las zonas de amenaza y riesgos. </w:t>
      </w:r>
    </w:p>
    <w:p w14:paraId="3EAC463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20F68C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 Corporación Autónoma Regional o de Desarrollo Sostenible correspondiente, se pronunciará en la etapa de formulación únicamente sobre el análisis de amenaza, vulnerabilidad y riesgo por inundación, crecientes súbitas y deslizamientos de origen hidrometeorológico. </w:t>
      </w:r>
    </w:p>
    <w:p w14:paraId="5433733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4D88FA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6. Infraestructura  </w:t>
      </w:r>
    </w:p>
    <w:p w14:paraId="130BBEC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4A1B7B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6.1 Se debe entregar anteproyecto de los diseños de los sistemas de servicios públicos domiciliarios. </w:t>
      </w:r>
    </w:p>
    <w:p w14:paraId="0B12043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D3924F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6.2 Se deben entregar los diseños, memorias y estudios que garanticen la prestación efectiva de los servicios públicos domiciliarios al Macroproyecto. </w:t>
      </w:r>
    </w:p>
    <w:p w14:paraId="244C409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C57D74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6.3 Memoria </w:t>
      </w:r>
      <w:proofErr w:type="spellStart"/>
      <w:r w:rsidRPr="009342F9">
        <w:rPr>
          <w:rFonts w:ascii="Arial" w:eastAsia="Times New Roman" w:hAnsi="Arial" w:cs="Arial"/>
          <w:color w:val="000000"/>
          <w:lang w:eastAsia="es-CO"/>
        </w:rPr>
        <w:t>Sintesis</w:t>
      </w:r>
      <w:proofErr w:type="spellEnd"/>
      <w:r w:rsidRPr="009342F9">
        <w:rPr>
          <w:rFonts w:ascii="Arial" w:eastAsia="Times New Roman" w:hAnsi="Arial" w:cs="Arial"/>
          <w:color w:val="000000"/>
          <w:lang w:eastAsia="es-CO"/>
        </w:rPr>
        <w:t xml:space="preserve"> que contenga la aplicación del estudio de tráfico en el MISN. </w:t>
      </w:r>
    </w:p>
    <w:p w14:paraId="70EA652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B37895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7. Estructura urbanística del MISN.  </w:t>
      </w:r>
    </w:p>
    <w:p w14:paraId="4C9DD34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DBE6B6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7.1 Estructura urbana que incluya el planteamiento definitivo, señalando, entre otros, lo siguiente: i) zonificación ambiental que incluye la estructura ecológica; ii) Sistema de tráfico y movilidad, iii) Sistema general de servicios públicos domiciliarios, </w:t>
      </w:r>
      <w:proofErr w:type="spellStart"/>
      <w:r w:rsidRPr="009342F9">
        <w:rPr>
          <w:rFonts w:ascii="Arial" w:eastAsia="Times New Roman" w:hAnsi="Arial" w:cs="Arial"/>
          <w:color w:val="000000"/>
          <w:lang w:eastAsia="es-CO"/>
        </w:rPr>
        <w:t>iv</w:t>
      </w:r>
      <w:proofErr w:type="spellEnd"/>
      <w:r w:rsidRPr="009342F9">
        <w:rPr>
          <w:rFonts w:ascii="Arial" w:eastAsia="Times New Roman" w:hAnsi="Arial" w:cs="Arial"/>
          <w:color w:val="000000"/>
          <w:lang w:eastAsia="es-CO"/>
        </w:rPr>
        <w:t>) Sistema de espacio público y equipamientos colectivos. </w:t>
      </w:r>
    </w:p>
    <w:p w14:paraId="6D2B6C3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5E3685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Justificación técnica de la necesidad de áreas fuera del Macroproyecto que se requieran para ejecutar obras de conexión del Macroproyecto con las redes matrices de servicios públicos domiciliarios y la red vial principal. </w:t>
      </w:r>
    </w:p>
    <w:p w14:paraId="70270D9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5419CA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7.2 Proyecto de normas urbanísticas, que incluya: i) planteamiento urbanístico general, ii) áreas de actividad; iii) usos del suelo; </w:t>
      </w:r>
      <w:proofErr w:type="spellStart"/>
      <w:r w:rsidRPr="009342F9">
        <w:rPr>
          <w:rFonts w:ascii="Arial" w:eastAsia="Times New Roman" w:hAnsi="Arial" w:cs="Arial"/>
          <w:color w:val="000000"/>
          <w:lang w:eastAsia="es-CO"/>
        </w:rPr>
        <w:t>iv</w:t>
      </w:r>
      <w:proofErr w:type="spellEnd"/>
      <w:r w:rsidRPr="009342F9">
        <w:rPr>
          <w:rFonts w:ascii="Arial" w:eastAsia="Times New Roman" w:hAnsi="Arial" w:cs="Arial"/>
          <w:color w:val="000000"/>
          <w:lang w:eastAsia="es-CO"/>
        </w:rPr>
        <w:t>) unidades de ejecución, v) tratamientos urbanísticos; vi) organización de las unidades prediales; vii) índices de edificabilidad, y (</w:t>
      </w:r>
      <w:proofErr w:type="spellStart"/>
      <w:r w:rsidRPr="009342F9">
        <w:rPr>
          <w:rFonts w:ascii="Arial" w:eastAsia="Times New Roman" w:hAnsi="Arial" w:cs="Arial"/>
          <w:color w:val="000000"/>
          <w:lang w:eastAsia="es-CO"/>
        </w:rPr>
        <w:t>viii</w:t>
      </w:r>
      <w:proofErr w:type="spellEnd"/>
      <w:r w:rsidRPr="009342F9">
        <w:rPr>
          <w:rFonts w:ascii="Arial" w:eastAsia="Times New Roman" w:hAnsi="Arial" w:cs="Arial"/>
          <w:color w:val="000000"/>
          <w:lang w:eastAsia="es-CO"/>
        </w:rPr>
        <w:t>) normas volumétricas. </w:t>
      </w:r>
    </w:p>
    <w:p w14:paraId="6124302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w:t>
      </w:r>
    </w:p>
    <w:p w14:paraId="44580E7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7.3 El planteamiento urbanístico general adicionalmente debe contener un cuadro de áreas que discrimine por lo menos área bruta, área neta urbanizable, área útil, área destinada a infraestructura y cesiones obligatorias de suelo; y la propuesta del potencial de viviendas VIS, VIP y no VIS que se busca generar, con su cuadro de áreas, especificando cómo se cumplirá con los requisitos señalados en los artículos 2.2.4.2.2.2.1 y 2.2.4.2.2.2.2 de esta sección. </w:t>
      </w:r>
    </w:p>
    <w:p w14:paraId="012F3A2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BD6C4F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los MISN de categoría 2 las cesiones obligatorias de suelo destinadas a parques, zonas verdes y equipamientos colectivos, será el 25% del área neta urbanizable y deberá configurar un sistema integrado a la infraestructura general del área de planificación del MISN. </w:t>
      </w:r>
    </w:p>
    <w:p w14:paraId="494FB0B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13B588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8. Estructuración financiera del MISN que incluya:  </w:t>
      </w:r>
    </w:p>
    <w:p w14:paraId="2CBFEE6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A29206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8.1 Presupuesto de factibilidad de urbanismo discriminando cargas generales y cargas locales. El presupuesto debe contener: (i) valor del suelo; (ii) costos directos con unidad, cantidad, valor global de mercado unitario (incluidos los costos de “Administración, Imprevistos y Utilidad” - AIU) y valor total; (iii) Costos Indirectos de Urbanismo: el cual debe cubrir: impuestos, derechos y servicios, honorarios diseños y gerencia, interventoría, construcción, gastos de administración, costos de ventas, costos financieros, entre otros; (</w:t>
      </w:r>
      <w:proofErr w:type="spellStart"/>
      <w:r w:rsidRPr="009342F9">
        <w:rPr>
          <w:rFonts w:ascii="Arial" w:eastAsia="Times New Roman" w:hAnsi="Arial" w:cs="Arial"/>
          <w:color w:val="000000"/>
          <w:lang w:eastAsia="es-CO"/>
        </w:rPr>
        <w:t>iv</w:t>
      </w:r>
      <w:proofErr w:type="spellEnd"/>
      <w:r w:rsidRPr="009342F9">
        <w:rPr>
          <w:rFonts w:ascii="Arial" w:eastAsia="Times New Roman" w:hAnsi="Arial" w:cs="Arial"/>
          <w:color w:val="000000"/>
          <w:lang w:eastAsia="es-CO"/>
        </w:rPr>
        <w:t>) se debe anexar el soporte del cálculo de las cantidades, el avalúo objeto del anuncio, y si el esquema de gestión del MISN consiste en la venta de vivienda anexar presupuesto de factibilidad de construcción de viviendas incluyendo costos directos con AIU y costos indirectos de los inmuebles contemplados en el MISN. </w:t>
      </w:r>
    </w:p>
    <w:p w14:paraId="76CD2AD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7F0897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8.2 Mecanismo(s) de reparto de cargas generales, cuando a ello haya lugar, de conformidad con la normatividad vigente. </w:t>
      </w:r>
    </w:p>
    <w:p w14:paraId="21D75A1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DA85B2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8.3 Cronograma de actividades semestral que describa la ejecución de las obras de urbanismo propuestas además de la construcción de las viviendas y los otros usos. </w:t>
      </w:r>
    </w:p>
    <w:p w14:paraId="1EBED55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A0B5E7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8.4 Flujo de caja anual proyectado discriminando cada una de las fuentes de financiación. Se debe incluir las ventas discriminadas por usos. </w:t>
      </w:r>
    </w:p>
    <w:p w14:paraId="41330E3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EB4FC7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8.5 Fuentes de financiación esperadas del MISN y la destinación que se dará a cada uno de los recursos. </w:t>
      </w:r>
    </w:p>
    <w:p w14:paraId="6045582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F54FAC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9. Análisis de la propuesta de MISN y el contenido del plan de ordenamiento territorial vigente.  </w:t>
      </w:r>
    </w:p>
    <w:p w14:paraId="5A26BB1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AE3CCF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Análisis de la propuesta de MISN y el contenido del plan de ordenamiento territorial vigente, principalmente en relación con lo dispuesto en los componentes general y urbano y las normas urbanísticas. </w:t>
      </w:r>
    </w:p>
    <w:p w14:paraId="303B5D1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06E7BF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Cuando se propongan Macroproyectos categoría 2 se deberá incluir el alcance y la necesidad del ajuste propuesto, haciendo un análisis comparativo en el que se indiquen las disposiciones del POT aplicables al área en que se propone desarrollar el MISN, las disposiciones que contendría la propuesta del MISN y la identificación de los ajustes que se requerían al POT vigente y los instrumentos que lo desarrollan y complementan. </w:t>
      </w:r>
    </w:p>
    <w:p w14:paraId="5996994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18438C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10. Descripción de impacto del Macroproyecto.  </w:t>
      </w:r>
    </w:p>
    <w:p w14:paraId="4883E6C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739B6D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Con el fin de determinar la viabilidad de la propuesta de Macroproyecto, deberá anexarse un documento que sintetice la información y estudios contenidos en la fase de formulación con la </w:t>
      </w:r>
      <w:r w:rsidRPr="009342F9">
        <w:rPr>
          <w:rFonts w:ascii="Arial" w:eastAsia="Times New Roman" w:hAnsi="Arial" w:cs="Arial"/>
          <w:color w:val="000000"/>
          <w:lang w:eastAsia="es-CO"/>
        </w:rPr>
        <w:lastRenderedPageBreak/>
        <w:t>justificación de la intervención propuesta y el impacto ambiental, en el que se demuestre el impacto estructural sobre políticas y estrategias de ordenamiento urbano, la calidad de vida y la organización espacial del respectivo municipio, región o área metropolitana, según sea del caso. De igual manera se deberán anexar los estudios adicionales que se requieran para justificar el impacto del Macroproyecto. </w:t>
      </w:r>
    </w:p>
    <w:p w14:paraId="4C27304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67461D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Se deberá incluir el Impacto de la operación del MISN sobre los hechos metropolitanos, cuando a ello hubiere lugar. </w:t>
      </w:r>
    </w:p>
    <w:p w14:paraId="09DA88F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FC4477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11. Documentos anexos  </w:t>
      </w:r>
    </w:p>
    <w:p w14:paraId="47F75A4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74E534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11.1 Certificados de tradición y libertad de los predios que se encuentran en el área de planificación del MISN, cuya fecha de expedición no sea superior a un (1) mes. </w:t>
      </w:r>
    </w:p>
    <w:p w14:paraId="12DD47E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E1B0CB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11.2 Estudio de títulos actualizado de por lo menos diez (10) años. </w:t>
      </w:r>
    </w:p>
    <w:p w14:paraId="7EC3354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1E091A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11.3 Información catastral disponible de los predios que se encuentran en el área de planificación del respectivo MISN. </w:t>
      </w:r>
    </w:p>
    <w:p w14:paraId="3F3FB26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9AC800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11.4 Certificado y plancha IGAC o la autoridad competente a escala 1:2.000 o 1:5.000, que contenga el inmueble o los inmuebles que conforman el área de planificación del MISN. </w:t>
      </w:r>
    </w:p>
    <w:p w14:paraId="39B929A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F7F7E4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11.5 La orden de inscripción del acto administrativo de anuncio en el folio de matrícula inmobiliaria del predio o predios incluidos en el área de planificación. </w:t>
      </w:r>
    </w:p>
    <w:p w14:paraId="291B38E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4623BE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11.6 Poder o poderes de los propietarios de los inmuebles del área de planificación preliminar, inscritos en los folios de matrículas inmobiliarias, cuando existan novedades relacionadas con el predio, ocurridas después de que se otorgó el poder inicialmente y se trate de iniciativa privada. </w:t>
      </w:r>
    </w:p>
    <w:p w14:paraId="17A1B65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1DBCBE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11.7 Certificado de Existencia y Representación Legal cuya fecha de expedición no sea mayor a un (1) mes y/o acreditar con certificación de autoridad competente cuando la representación legal de quien tenga la iniciativa o quien sea propietario sean personas jurídicas. Copia del documento de identidad, cuando se trate de personas naturales. </w:t>
      </w:r>
    </w:p>
    <w:p w14:paraId="582ABA5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A3B1F0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12. Estudios Técnicos.  </w:t>
      </w:r>
    </w:p>
    <w:p w14:paraId="49231D3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324018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Anexo al DTS se presentarán los siguientes estudios técnicos que servirán de soporte para las decisiones del MISN: (i) Ambiental, (ii) hidrológico e hidráulico, (iii) geología y suelo, (</w:t>
      </w:r>
      <w:proofErr w:type="spellStart"/>
      <w:r w:rsidRPr="009342F9">
        <w:rPr>
          <w:rFonts w:ascii="Arial" w:eastAsia="Times New Roman" w:hAnsi="Arial" w:cs="Arial"/>
          <w:color w:val="000000"/>
          <w:lang w:eastAsia="es-CO"/>
        </w:rPr>
        <w:t>iv</w:t>
      </w:r>
      <w:proofErr w:type="spellEnd"/>
      <w:r w:rsidRPr="009342F9">
        <w:rPr>
          <w:rFonts w:ascii="Arial" w:eastAsia="Times New Roman" w:hAnsi="Arial" w:cs="Arial"/>
          <w:color w:val="000000"/>
          <w:lang w:eastAsia="es-CO"/>
        </w:rPr>
        <w:t>) amenazas, vulnerabilidad y riesgos, (v) de tráfico y movilidad, (vi) paisajístico, (</w:t>
      </w:r>
      <w:proofErr w:type="spellStart"/>
      <w:r w:rsidRPr="009342F9">
        <w:rPr>
          <w:rFonts w:ascii="Arial" w:eastAsia="Times New Roman" w:hAnsi="Arial" w:cs="Arial"/>
          <w:color w:val="000000"/>
          <w:lang w:eastAsia="es-CO"/>
        </w:rPr>
        <w:t>vii</w:t>
      </w:r>
      <w:proofErr w:type="spellEnd"/>
      <w:r w:rsidRPr="009342F9">
        <w:rPr>
          <w:rFonts w:ascii="Arial" w:eastAsia="Times New Roman" w:hAnsi="Arial" w:cs="Arial"/>
          <w:color w:val="000000"/>
          <w:lang w:eastAsia="es-CO"/>
        </w:rPr>
        <w:t>) topográfico, (</w:t>
      </w:r>
      <w:proofErr w:type="spellStart"/>
      <w:r w:rsidRPr="009342F9">
        <w:rPr>
          <w:rFonts w:ascii="Arial" w:eastAsia="Times New Roman" w:hAnsi="Arial" w:cs="Arial"/>
          <w:color w:val="000000"/>
          <w:lang w:eastAsia="es-CO"/>
        </w:rPr>
        <w:t>viii</w:t>
      </w:r>
      <w:proofErr w:type="spellEnd"/>
      <w:r w:rsidRPr="009342F9">
        <w:rPr>
          <w:rFonts w:ascii="Arial" w:eastAsia="Times New Roman" w:hAnsi="Arial" w:cs="Arial"/>
          <w:color w:val="000000"/>
          <w:lang w:eastAsia="es-CO"/>
        </w:rPr>
        <w:t>) Arqueológico (</w:t>
      </w:r>
      <w:proofErr w:type="spellStart"/>
      <w:r w:rsidRPr="009342F9">
        <w:rPr>
          <w:rFonts w:ascii="Arial" w:eastAsia="Times New Roman" w:hAnsi="Arial" w:cs="Arial"/>
          <w:color w:val="000000"/>
          <w:lang w:eastAsia="es-CO"/>
        </w:rPr>
        <w:t>ix</w:t>
      </w:r>
      <w:proofErr w:type="spellEnd"/>
      <w:r w:rsidRPr="009342F9">
        <w:rPr>
          <w:rFonts w:ascii="Arial" w:eastAsia="Times New Roman" w:hAnsi="Arial" w:cs="Arial"/>
          <w:color w:val="000000"/>
          <w:lang w:eastAsia="es-CO"/>
        </w:rPr>
        <w:t>) cultural y de territorios de grupos étnicos y (</w:t>
      </w:r>
      <w:proofErr w:type="spellStart"/>
      <w:r w:rsidRPr="009342F9">
        <w:rPr>
          <w:rFonts w:ascii="Arial" w:eastAsia="Times New Roman" w:hAnsi="Arial" w:cs="Arial"/>
          <w:color w:val="000000"/>
          <w:lang w:eastAsia="es-CO"/>
        </w:rPr>
        <w:t>ix</w:t>
      </w:r>
      <w:proofErr w:type="spellEnd"/>
      <w:r w:rsidRPr="009342F9">
        <w:rPr>
          <w:rFonts w:ascii="Arial" w:eastAsia="Times New Roman" w:hAnsi="Arial" w:cs="Arial"/>
          <w:color w:val="000000"/>
          <w:lang w:eastAsia="es-CO"/>
        </w:rPr>
        <w:t>) de títulos. </w:t>
      </w:r>
    </w:p>
    <w:p w14:paraId="775B3CE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23C783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1°. Durante la etapa de formulación, el Ministerio de Vivienda, Ciudad y Territorio coordinará con otras entidades del Gobierno Nacional las inversiones sectoriales para la ejecución del Macroproyecto, cuando a ello haya lugar. </w:t>
      </w:r>
    </w:p>
    <w:p w14:paraId="64DC60B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576658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2°. De conformidad con el artículo 9 del Decreto 019 de 2012, para la fase de formulación los documentos que se hayan presentado en la fase de prefactibilidad y hayan perdido vigencia deberán ser presentados al Ministerio de Vivienda, Ciudad y Territorio. </w:t>
      </w:r>
    </w:p>
    <w:p w14:paraId="5A21ED3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2965CE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Parágrafo 3°. El Ministerio de Ambiente y Desarrollo Sostenible establecerá los términos de referencia para la elaboración del estudio ambiental en la fase de formulación mediante acto administrativo. </w:t>
      </w:r>
    </w:p>
    <w:p w14:paraId="3D75EDE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035237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4°. El Ministerio de Vivienda, Ciudad y Territorio mediante resolución podrá señalar los documentos que se requieren para efectos de la elaboración de los estudios y el cumplimiento de los requisitos señalados en el presente artículo para adelantar la evaluación técnica, financiera y jurídica de los Macroproyectos. </w:t>
      </w:r>
    </w:p>
    <w:p w14:paraId="419E76E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745551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5°. El Ministerio de Vivienda, Ciudad y Territorio enviará el documento técnico de soporte a la Corporación Autónoma Regional y de Desarrollo Sostenible correspondiente para la evaluación ambiental respectiva. </w:t>
      </w:r>
    </w:p>
    <w:p w14:paraId="39DF0C6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CEBC7B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6°. Si la información y/o documentos no son suficientes para el pronunciamiento de la autoridad competente, esta podrá requerirla por una sola vez. Este requerimiento interrumpirá los términos establecidos para que estas autoridades decidan. </w:t>
      </w:r>
    </w:p>
    <w:p w14:paraId="5A692329" w14:textId="05D1B941"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143" w:name="ver_30073334"/>
      <w:bookmarkEnd w:id="1143"/>
    </w:p>
    <w:p w14:paraId="0E76C55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2.2.4.2.2.3.2.1.3 Evaluación de la propuesta Macroproyecto. Una vez radicado el proyecto de Macroproyecto, así como su Documento Técnico de Soporte por parte del interesado, previa verificación del cumplimiento de todos los requisitos contenidos en el artículo anterior, el Ministerio de Vivienda, Ciudad y Territorio o la entidad que este designe para el efecto procederá a efectuar la evaluación técnica, financiera y jurídica del proyecto de Macroproyecto. </w:t>
      </w:r>
    </w:p>
    <w:p w14:paraId="7D7CA41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1AF12B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 evaluación ambiental corresponderá a la Corporación Autónoma Regional o de Desarrollo Sostenible, para lo cual el Ministerio de Vivienda, Ciudad y Territorio remitirá los documentos correspondientes. </w:t>
      </w:r>
    </w:p>
    <w:p w14:paraId="1DDC4D98" w14:textId="1C0BE24A" w:rsidR="00D4095E"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144" w:name="ver_30073388"/>
      <w:bookmarkEnd w:id="1144"/>
    </w:p>
    <w:p w14:paraId="71DD0A7B" w14:textId="27210124" w:rsidR="00FC79C1" w:rsidRPr="009342F9" w:rsidRDefault="00FC79C1" w:rsidP="00D4095E">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NUMERAL 2</w:t>
      </w:r>
    </w:p>
    <w:p w14:paraId="47E7F7EF" w14:textId="38358909" w:rsidR="00FC79C1" w:rsidRPr="009342F9" w:rsidRDefault="00FC79C1" w:rsidP="00D4095E">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PROCESO DE CONCERTACIÓN ENTRE EL MUNICIPIO O DISTRITO Y EL MINISTERIO DE VIVIENDA, CIUDAD Y TERRITORIO PARA LOS MACROPROYECTOS CATEGORÍA 1</w:t>
      </w:r>
    </w:p>
    <w:p w14:paraId="291F715B" w14:textId="77777777" w:rsidR="00FC79C1" w:rsidRPr="009342F9" w:rsidRDefault="00FC79C1" w:rsidP="00D4095E">
      <w:pPr>
        <w:spacing w:after="0" w:line="240" w:lineRule="auto"/>
        <w:jc w:val="center"/>
        <w:rPr>
          <w:rFonts w:ascii="Arial" w:eastAsia="Times New Roman" w:hAnsi="Arial" w:cs="Arial"/>
          <w:b/>
          <w:bCs/>
          <w:color w:val="000000"/>
          <w:lang w:eastAsia="es-CO"/>
        </w:rPr>
      </w:pPr>
      <w:bookmarkStart w:id="1145" w:name="ver_30073390"/>
      <w:bookmarkEnd w:id="1145"/>
    </w:p>
    <w:p w14:paraId="364C684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2.2.4.2.2.3.2.2.1 Concertación con el municipio o distrito. Una vez la propuesta de Macroproyecto cuente con viabilidad técnica, ambiental, financiera y jurídica y el documento técnico de soporte incluya las observaciones efectuadas si a ello hubiere lugar, el Ministerio de Vivienda, Ciudad y Territorio iniciará el proceso de concertación con el alcalde municipal o distrital. </w:t>
      </w:r>
    </w:p>
    <w:p w14:paraId="2C48684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0D5E78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Para la concertación del proyecto se dispondrá de un término de treinta (30) días hábiles contados a partir de la radicación de la solicitud ante el respectivo alcalde. Como resultado de la concertación, el alcalde municipal o distrital y el Ministerio Vivienda, Ciudad y Territorio suscribirán un Convenio en el cual dejarán consagrados los acuerdos sobre todos los aspectos contenidos en la formulación del Macroproyecto, así como los compromisos que asumirá cada una de las entidades en desarrollo de los principios de concurrencia, subsidiariedad y complementariedad. </w:t>
      </w:r>
    </w:p>
    <w:p w14:paraId="5920F20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FF2B0D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caso de que no se llegare a ningún acuerdo, después de transcurridos los plazos establecidos en el presente artículo, el Ministerio de Vivienda, Ciudad y Territorio, podrá someter nuevamente, y por una sola vez, el proyecto de Macroproyecto a concertación con el respectivo alcalde municipal o distrital, después de incluir los ajustes que considere pertinentes. Si en esta segunda oportunidad, no hubiere concertación dentro de los treinta (30) días hábiles siguientes a la radicación de la solicitud, se entenderá negada y, por consiguiente, el Ministerio procederá a su archivo y los documentos serán devueltos al interesado. </w:t>
      </w:r>
    </w:p>
    <w:p w14:paraId="7C780DC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w:t>
      </w:r>
    </w:p>
    <w:p w14:paraId="24B6C43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No </w:t>
      </w:r>
      <w:proofErr w:type="gramStart"/>
      <w:r w:rsidRPr="009342F9">
        <w:rPr>
          <w:rFonts w:ascii="Arial" w:eastAsia="Times New Roman" w:hAnsi="Arial" w:cs="Arial"/>
          <w:color w:val="000000"/>
          <w:lang w:eastAsia="es-CO"/>
        </w:rPr>
        <w:t>obstante</w:t>
      </w:r>
      <w:proofErr w:type="gramEnd"/>
      <w:r w:rsidRPr="009342F9">
        <w:rPr>
          <w:rFonts w:ascii="Arial" w:eastAsia="Times New Roman" w:hAnsi="Arial" w:cs="Arial"/>
          <w:color w:val="000000"/>
          <w:lang w:eastAsia="es-CO"/>
        </w:rPr>
        <w:t xml:space="preserve"> lo anterior, en cualquier tiempo se podrá formular otra propuesta de Macroproyecto sobre la misma área. </w:t>
      </w:r>
    </w:p>
    <w:p w14:paraId="12937D1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F323A1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Una vez suscrito el respectivo Convenio entre el Ministerio de Vivienda, Ciudad y Territorio y el alcalde del municipio o distrito, se adelantará el trámite de adopción, de acuerdo con lo dispuesto en lo dispuesto en </w:t>
      </w:r>
      <w:proofErr w:type="gramStart"/>
      <w:r w:rsidRPr="009342F9">
        <w:rPr>
          <w:rFonts w:ascii="Arial" w:eastAsia="Times New Roman" w:hAnsi="Arial" w:cs="Arial"/>
          <w:color w:val="000000"/>
          <w:lang w:eastAsia="es-CO"/>
        </w:rPr>
        <w:t>la el</w:t>
      </w:r>
      <w:proofErr w:type="gramEnd"/>
      <w:r w:rsidRPr="009342F9">
        <w:rPr>
          <w:rFonts w:ascii="Arial" w:eastAsia="Times New Roman" w:hAnsi="Arial" w:cs="Arial"/>
          <w:color w:val="000000"/>
          <w:lang w:eastAsia="es-CO"/>
        </w:rPr>
        <w:t xml:space="preserve"> artículo 2.2.4.2.2.3.4.1 del presente decreto. </w:t>
      </w:r>
    </w:p>
    <w:p w14:paraId="3529186F" w14:textId="1C50851D"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146" w:name="ver_30073393"/>
      <w:bookmarkEnd w:id="1146"/>
    </w:p>
    <w:p w14:paraId="049B1F4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2.2.4.2.2.3.2.2.2 Concertación ambiental. Tratándose de MISN Categoría 1, solamente procederá la concertación ambiental que se adelante en el marco de la adopción del respectivo instrumento que desarrolla y complementa el plan de ordenamiento territorial, de acuerdo con lo establecido en el mismo plan y en las normas vigentes. </w:t>
      </w:r>
    </w:p>
    <w:p w14:paraId="4E0B050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7CC1C5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todo caso, las normas ambientales son de orden público y en consecuencia no opera el silencio administrativo positivo. </w:t>
      </w:r>
    </w:p>
    <w:p w14:paraId="52732CFD" w14:textId="0067CFD4"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147" w:name="ver_30073701"/>
      <w:bookmarkEnd w:id="1147"/>
    </w:p>
    <w:p w14:paraId="2791D54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2.2.4.2.2.3.2.2.3 Participación democrática. La participación democrática en los Macroproyectos busca que las personas interesadas en la respectiva operación urbana </w:t>
      </w:r>
      <w:proofErr w:type="gramStart"/>
      <w:r w:rsidRPr="009342F9">
        <w:rPr>
          <w:rFonts w:ascii="Arial" w:eastAsia="Times New Roman" w:hAnsi="Arial" w:cs="Arial"/>
          <w:color w:val="000000"/>
          <w:lang w:eastAsia="es-CO"/>
        </w:rPr>
        <w:t>integral,</w:t>
      </w:r>
      <w:proofErr w:type="gramEnd"/>
      <w:r w:rsidRPr="009342F9">
        <w:rPr>
          <w:rFonts w:ascii="Arial" w:eastAsia="Times New Roman" w:hAnsi="Arial" w:cs="Arial"/>
          <w:color w:val="000000"/>
          <w:lang w:eastAsia="es-CO"/>
        </w:rPr>
        <w:t xml:space="preserve"> puedan presentar observaciones y recomendaciones al proyecto de Macroproyectos. </w:t>
      </w:r>
    </w:p>
    <w:p w14:paraId="20AEF54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305913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los Macroproyectos Categoría 1, la participación democrática se garantizará de acuerdo con los mecanismos previstos por la Ley 388 de 1997 y demás normatividad vigente sobre la materia para el instrumento con el que se deba adoptar la respectiva operación urbana según el plan de ordenamiento territorial. </w:t>
      </w:r>
    </w:p>
    <w:p w14:paraId="4992D050" w14:textId="6F4205AC" w:rsidR="00D4095E"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148" w:name="ver_30073713"/>
      <w:bookmarkEnd w:id="1148"/>
    </w:p>
    <w:p w14:paraId="47435BC6" w14:textId="78D6F8A1" w:rsidR="00FC79C1" w:rsidRPr="009342F9" w:rsidRDefault="00FC79C1" w:rsidP="00D4095E">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NUMERAL 3</w:t>
      </w:r>
    </w:p>
    <w:p w14:paraId="7E249836" w14:textId="6A0D3AF0" w:rsidR="00FC79C1" w:rsidRPr="009342F9" w:rsidRDefault="00FC79C1" w:rsidP="00D4095E">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PROCESO DE CONCERTACIÓN ENTRE EL MUNICIPIO O DISTRITO Y EL MINISTERIO DE VIVIENDA, CIUDAD Y TERRITORIO PARA LOS MACROPROYECTOS CATEGORÍA 2</w:t>
      </w:r>
    </w:p>
    <w:p w14:paraId="5CF0554A"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149" w:name="ver_30073726"/>
      <w:bookmarkEnd w:id="1149"/>
    </w:p>
    <w:p w14:paraId="0B04D38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2.2.4.2.2.3.2.3.1 Instancias de concertación y consulta ante el alcalde del municipio o distrito. Para los Macroproyectos Categoría 2 el alcalde del municipio o distrito en caso de tener interés en el documento presentado por el Ministerio de Vivienda, Ciudad y </w:t>
      </w:r>
      <w:proofErr w:type="gramStart"/>
      <w:r w:rsidRPr="009342F9">
        <w:rPr>
          <w:rFonts w:ascii="Arial" w:eastAsia="Times New Roman" w:hAnsi="Arial" w:cs="Arial"/>
          <w:color w:val="000000"/>
          <w:lang w:eastAsia="es-CO"/>
        </w:rPr>
        <w:t>Territorio,</w:t>
      </w:r>
      <w:proofErr w:type="gramEnd"/>
      <w:r w:rsidRPr="009342F9">
        <w:rPr>
          <w:rFonts w:ascii="Arial" w:eastAsia="Times New Roman" w:hAnsi="Arial" w:cs="Arial"/>
          <w:color w:val="000000"/>
          <w:lang w:eastAsia="es-CO"/>
        </w:rPr>
        <w:t xml:space="preserve"> iniciará de forma simultánea dentro de los diez (10) días siguiente a la radicación de la información, los procedimientos de concertación y consulta ante las siguientes instancias: </w:t>
      </w:r>
    </w:p>
    <w:p w14:paraId="533374C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813B98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1. Concertación con la Corporación Autónoma Regional o de Desarrollo Sostenible. El resultado de la concertación ambiental quedará consagrado en acta suscrita por el alcalde del municipio y distrito y el </w:t>
      </w:r>
      <w:proofErr w:type="gramStart"/>
      <w:r w:rsidRPr="009342F9">
        <w:rPr>
          <w:rFonts w:ascii="Arial" w:eastAsia="Times New Roman" w:hAnsi="Arial" w:cs="Arial"/>
          <w:color w:val="000000"/>
          <w:lang w:eastAsia="es-CO"/>
        </w:rPr>
        <w:t>Director</w:t>
      </w:r>
      <w:proofErr w:type="gramEnd"/>
      <w:r w:rsidRPr="009342F9">
        <w:rPr>
          <w:rFonts w:ascii="Arial" w:eastAsia="Times New Roman" w:hAnsi="Arial" w:cs="Arial"/>
          <w:color w:val="000000"/>
          <w:lang w:eastAsia="es-CO"/>
        </w:rPr>
        <w:t xml:space="preserve"> de la Corporación Autónoma Regional, copia de la cual será remitida por el alcalde al Ministerio de Vivienda, Ciudad y Territorio. </w:t>
      </w:r>
    </w:p>
    <w:p w14:paraId="27C0611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A59269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Solicitud de concepto a la Junta Metropolitana para los municipios que hagan parte de las áreas metropolitanas, sobre la armonía de la propuesta de Macroproyecto con el plan integral de desarrollo metropolitano, exclusivamente en los asuntos de su competencia y, siempre y cuando en el respectivo Macroproyecto se involucren materias referidas a los hechos metropolitanos, de acuerdo con lo previsto en la Ley 128 de 1994. </w:t>
      </w:r>
    </w:p>
    <w:p w14:paraId="692A3F0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4C0D70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Solicitud de concepto al Consejo Territorial de Planeación y demás instancias de participación ciudadana previstas en el numeral 4 del artículo 24 de la Ley 388 de 1997 en relación con los ajustes al Plan de Ordenamiento Territorial que proponga el respectivo Macroproyecto. </w:t>
      </w:r>
    </w:p>
    <w:p w14:paraId="4505AEB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60D4CE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Las actuaciones de que tratan los literales anteriores se adelantarán de manera simultánea en un término máximo e improrrogable de treinta (30) días contados a partir del recibo de la propuesta en cada una de ellas o de la convocatoria pública para la participación ciudadana, sin que se permita, la suspensión de los términos previstos en este numeral para el pronunciamiento correspondiente. </w:t>
      </w:r>
    </w:p>
    <w:p w14:paraId="474CBF6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65842D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Si la Corporación Autónoma Regional o de Desarrollo Sostenible, no se hubiere pronunciado definitivamente dentro de este término o si habiéndose pronunciado no se lograra la concertación, le corresponderá al Ministerio de Ambiente y Desarrollo Sostenible decidir sobre los asuntos ambientales, para lo que dispondrá de un término máximo e improrrogable de quince (15) días hábiles contados a partir del recibo del respectivo expediente. </w:t>
      </w:r>
    </w:p>
    <w:p w14:paraId="6309EDB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EF0EEE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Cuando el alcalde solicite los conceptos o pronunciamientos a que hace referencia los numerales 2 y 3 del presente artículo y el artículo sobre participación ciudadana y los mismos no se expidan dentro de los plazos señalados, se continuará con el trámite establecido en los siguientes artículos de esta sección. </w:t>
      </w:r>
    </w:p>
    <w:p w14:paraId="4C0AE07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8517A4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Si la información y/o documentos no son suficientes para el pronunciamiento de la autoridad competente, esta podrá requerirla por una sola vez. Este requerimiento interrumpirá los términos establecidos para que las autoridades decidan. </w:t>
      </w:r>
    </w:p>
    <w:p w14:paraId="595D6442" w14:textId="14A4A3BD"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150" w:name="ver_30073787"/>
      <w:bookmarkEnd w:id="1150"/>
    </w:p>
    <w:p w14:paraId="6EDC0F9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2.2.4.2.2.3.2.3.2 Asuntos que se deben someter a concertación con la Corporación Autónoma Regional. De conformidad con lo establecido en el artículo 8 de la Ley 1469 de 2011 la propuesta de ajuste especial del plan de ordenamiento territorial se presentará para concertación con la Corporación Autónoma Regional correspondiente cuando se requieran hacer modificaciones relacionadas con, entre otros, los siguientes asuntos: </w:t>
      </w:r>
    </w:p>
    <w:p w14:paraId="0B4E147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D746E4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Delimitación y reglamentación de los suelos y áreas de protección y conservación de recursos naturales. </w:t>
      </w:r>
    </w:p>
    <w:p w14:paraId="06B6769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0F0B44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Delimitación y reglamentación de las áreas de amenazas y riesgos. </w:t>
      </w:r>
    </w:p>
    <w:p w14:paraId="7126DEDB" w14:textId="1729B9C0"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151" w:name="ver_30073791"/>
      <w:bookmarkEnd w:id="1151"/>
    </w:p>
    <w:p w14:paraId="7B4062E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2.2.4.2.2.3.2.3.3 Participación ciudadana. Simultáneamente con los trámites de concertación y consulta a que hace referencia los artículos precedentes, la propuesta de Macroproyecto estará disponible durante todo el trámite de formulación en las instalaciones de la alcaldía del respectivo municipio o distrito para que cualquier interesado pueda consultar la información respectiva, para el efecto y en todo caso antes de presentar el proyecto de acuerdo al concejo municipal, el alcalde convocará una audiencia pública con el objeto de que los interesados presenten y expongan sus observaciones y recomendaciones. </w:t>
      </w:r>
    </w:p>
    <w:p w14:paraId="7020298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CE66E5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Las recomendaciones y observaciones presentadas por los interesados serán resueltas por el alcalde del municipio, previa la adopción del respectivo proyecto, quien para el efecto podrá consultar al Ministerio de Vivienda, Ciudad y Territorio. </w:t>
      </w:r>
    </w:p>
    <w:p w14:paraId="12AEF202" w14:textId="7DFFE179"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152" w:name="ver_30073793"/>
      <w:bookmarkEnd w:id="1152"/>
    </w:p>
    <w:p w14:paraId="5C86E9D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2.2.4.2.2.3.2.3.4 Concertación entre el municipio o distrito y el Ministerio de Vivienda, Ciudad y Territorio. Cumplidos los trámites previstos en los artículos precedentes, y dentro de los cinco (5) días hábiles siguientes al recibo de la totalidad de los pronunciamientos respectivos, el Ministerio de Vivienda, Ciudad y Territorio junto con el respectivo municipio o distrito ajustarán y concertarán la formulación presentada, para lo cual dispondrán de un término de cuarenta y cinco (45) días hábiles. </w:t>
      </w:r>
    </w:p>
    <w:p w14:paraId="3EC53F3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016C24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Como resultado de la concertación, el alcalde municipal o distrital y el Ministerio de Vivienda, Ciudad y Territorio suscribirán un Convenio en el cual dejarán consagrados los acuerdos sobre todos los aspectos contenidos en el proyecto de Macroproyecto, así como los compromisos que asumirá cada una de las entidades en desarrollo de los principios de concurrencia, subsidiariedad y complementariedad. </w:t>
      </w:r>
    </w:p>
    <w:p w14:paraId="7426DD9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2103A4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caso de que no se llegare a ningún acuerdo, una vez transcurrido el plazo establecido anteriormente, el Ministerio de Vivienda, Ciudad y Territorio podrá someter nuevamente, y por una sola vez, dentro de los treinta (30) días hábiles siguientes, a concertación con el respectivo alcalde municipal o distrital, después de incluir los ajustes que considere pertinentes. Si en esta segunda oportunidad, no hubiere concertación dentro de los treinta (30) días hábiles siguientes a la radicación de la solicitud, se entenderá negada y, por consiguiente, el Ministerio procederá a su archivo mediante acto administrativo motivado y los documentos serán devueltos al interesado. </w:t>
      </w:r>
    </w:p>
    <w:p w14:paraId="1399A8C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8EC264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No </w:t>
      </w:r>
      <w:proofErr w:type="gramStart"/>
      <w:r w:rsidRPr="009342F9">
        <w:rPr>
          <w:rFonts w:ascii="Arial" w:eastAsia="Times New Roman" w:hAnsi="Arial" w:cs="Arial"/>
          <w:color w:val="000000"/>
          <w:lang w:eastAsia="es-CO"/>
        </w:rPr>
        <w:t>obstante</w:t>
      </w:r>
      <w:proofErr w:type="gramEnd"/>
      <w:r w:rsidRPr="009342F9">
        <w:rPr>
          <w:rFonts w:ascii="Arial" w:eastAsia="Times New Roman" w:hAnsi="Arial" w:cs="Arial"/>
          <w:color w:val="000000"/>
          <w:lang w:eastAsia="es-CO"/>
        </w:rPr>
        <w:t xml:space="preserve"> lo anterior, en cualquier tiempo se podrá formular otra propuesta de Macroproyecto sobre la misma área. </w:t>
      </w:r>
    </w:p>
    <w:p w14:paraId="7A7E0135" w14:textId="2A859572" w:rsidR="00D4095E"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153" w:name="ver_30073798"/>
      <w:bookmarkEnd w:id="1153"/>
    </w:p>
    <w:p w14:paraId="1C40406E" w14:textId="189AEC2C" w:rsidR="00FC79C1" w:rsidRPr="009342F9" w:rsidRDefault="00FC79C1" w:rsidP="00D4095E">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NUMERAL 4</w:t>
      </w:r>
    </w:p>
    <w:p w14:paraId="67F47EF2" w14:textId="77777777" w:rsidR="00FC79C1" w:rsidRPr="009342F9" w:rsidRDefault="00FC79C1" w:rsidP="00D4095E">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CONVENIO URBANÍSTICO</w:t>
      </w:r>
    </w:p>
    <w:p w14:paraId="29B6F297" w14:textId="77777777" w:rsidR="00FC79C1" w:rsidRPr="009342F9" w:rsidRDefault="00FC79C1" w:rsidP="00D4095E">
      <w:pPr>
        <w:spacing w:after="0" w:line="240" w:lineRule="auto"/>
        <w:jc w:val="center"/>
        <w:rPr>
          <w:rFonts w:ascii="Arial" w:eastAsia="Times New Roman" w:hAnsi="Arial" w:cs="Arial"/>
          <w:b/>
          <w:bCs/>
          <w:color w:val="000000"/>
          <w:lang w:eastAsia="es-CO"/>
        </w:rPr>
      </w:pPr>
      <w:bookmarkStart w:id="1154" w:name="ver_30073799"/>
      <w:bookmarkEnd w:id="1154"/>
    </w:p>
    <w:p w14:paraId="6A855B2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2.2.4.2.2.3.2.4.1 Convenio urbanístico requerido para desarrollar Macroproyectos. El convenio de que trata la Ley 1469 de 2011 es un acuerdo de voluntades que tiene por finalidad agilizar e impulsar el trámite de formulación, adopción y ejecución de los Macroproyectos. Su objeto versará sobre los mecanismos para asegurar que las operaciones urbanas y actuaciones urbanísticas eficaces y expeditas, de tal manera que permitan ejecutar de forma efectiva proyectos estratégicos de desarrollo urbano y territorial en beneficio del interés general. </w:t>
      </w:r>
    </w:p>
    <w:p w14:paraId="1907C2C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9C77E8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El convenio urbanístico se suscribirá entre el Ministerio de Vivienda, Ciudad y Territorio, el municipio o distrito y los titulares de la iniciativa del Macroproyecto de acuerdo con lo previsto en el artículo 2.2.4.2.2.1.4 de esta sección. </w:t>
      </w:r>
    </w:p>
    <w:p w14:paraId="554D795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8344A2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Podrán suscribir el convenio todas las personas jurídicas o naturales que apoyen el desarrollo del respectivo Macroproyecto en una o varias de sus fases, siempre y cuando cumplan con los siguientes requisitos: </w:t>
      </w:r>
    </w:p>
    <w:p w14:paraId="290DB4A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DD92A0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Aceptar todos los compromisos y condiciones acordados en el Convenio. </w:t>
      </w:r>
    </w:p>
    <w:p w14:paraId="5F2D94C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2B1480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2. Señalar expresamente los compromisos que se asumen en desarrollo </w:t>
      </w:r>
      <w:proofErr w:type="gramStart"/>
      <w:r w:rsidRPr="009342F9">
        <w:rPr>
          <w:rFonts w:ascii="Arial" w:eastAsia="Times New Roman" w:hAnsi="Arial" w:cs="Arial"/>
          <w:color w:val="000000"/>
          <w:lang w:eastAsia="es-CO"/>
        </w:rPr>
        <w:t>del mismo</w:t>
      </w:r>
      <w:proofErr w:type="gramEnd"/>
      <w:r w:rsidRPr="009342F9">
        <w:rPr>
          <w:rFonts w:ascii="Arial" w:eastAsia="Times New Roman" w:hAnsi="Arial" w:cs="Arial"/>
          <w:color w:val="000000"/>
          <w:lang w:eastAsia="es-CO"/>
        </w:rPr>
        <w:t xml:space="preserve"> en las diferentes fases de ejecución del Macroproyecto. </w:t>
      </w:r>
    </w:p>
    <w:p w14:paraId="1625BF3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125662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Aceptar expresamente las consecuencias en caso de incumplimiento de los compromisos consagrados en el Convenio. </w:t>
      </w:r>
    </w:p>
    <w:p w14:paraId="68AC39BC" w14:textId="1EFF9DDA"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155" w:name="ver_30073800"/>
      <w:bookmarkEnd w:id="1155"/>
    </w:p>
    <w:p w14:paraId="322FE04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2.2.4.2.2.3.2.4.2 Contenido del Convenio. El Convenio contendrá como mínimo los siguientes elementos: </w:t>
      </w:r>
    </w:p>
    <w:p w14:paraId="71BCCAB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2B9485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Identificación de las partes, anexando la documentación necesaria para demostrar la capacidad para suscribir este tipo de documento. </w:t>
      </w:r>
    </w:p>
    <w:p w14:paraId="4918E94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BBA212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2. Justificación del carácter estratégico del Macroproyecto y su impacto en beneficio del interés general. </w:t>
      </w:r>
    </w:p>
    <w:p w14:paraId="0E95F51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9E9124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Objeto, alcance y plazo. </w:t>
      </w:r>
    </w:p>
    <w:p w14:paraId="6D6E34B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7E8EF9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Condiciones de cooperación y compromisos entre el Ministerio de Vivienda, Ciudad y Territorio y el municipio o distrito en desarrollo de los principios de concurrencia, subsidiariedad y complementariedad. </w:t>
      </w:r>
    </w:p>
    <w:p w14:paraId="7E3BC2E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5B1E6D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 El compromiso del municipio o distrito de adelantar el proceso de ajuste especial del Plan de Ordenamiento Territorial de acuerdo con la formulación del Macroproyecto concertada entre las partes, teniendo en cuenta los resultados del proceso de concertación y consulta. </w:t>
      </w:r>
    </w:p>
    <w:p w14:paraId="24F1EA4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FB5584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6. El compromiso de los municipios, distritos o gobernadores para presentar a consideración de los respectivos concejos y asambleas las iniciativas que hagan posibles las exenciones tributarias de que trata el artículo 17 de la Ley 1469 de 2011 sobre incentivos fiscales para la construcción de Vivienda de Interés Prioritario (VIP). </w:t>
      </w:r>
    </w:p>
    <w:p w14:paraId="1B091F6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807348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7. Los compromisos en cabeza de los titulares de la iniciativa del Macroproyecto y de los demás actores que se vinculen, en cada una de las fases </w:t>
      </w:r>
      <w:proofErr w:type="gramStart"/>
      <w:r w:rsidRPr="009342F9">
        <w:rPr>
          <w:rFonts w:ascii="Arial" w:eastAsia="Times New Roman" w:hAnsi="Arial" w:cs="Arial"/>
          <w:color w:val="000000"/>
          <w:lang w:eastAsia="es-CO"/>
        </w:rPr>
        <w:t>del mismo</w:t>
      </w:r>
      <w:proofErr w:type="gramEnd"/>
      <w:r w:rsidRPr="009342F9">
        <w:rPr>
          <w:rFonts w:ascii="Arial" w:eastAsia="Times New Roman" w:hAnsi="Arial" w:cs="Arial"/>
          <w:color w:val="000000"/>
          <w:lang w:eastAsia="es-CO"/>
        </w:rPr>
        <w:t>. </w:t>
      </w:r>
    </w:p>
    <w:p w14:paraId="5777AF2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5886D2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8. Compromiso de modificar el documento técnico de soporte, de acuerdo con las observaciones presentadas por las partes. </w:t>
      </w:r>
    </w:p>
    <w:p w14:paraId="7DCF304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07CE55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9. Cronograma de cumplimiento de las obligaciones pactadas por las partes. </w:t>
      </w:r>
    </w:p>
    <w:p w14:paraId="2277460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4C7157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10. Mecanismos de evaluación y seguimiento de los compromisos que se asuman en el Convenio. </w:t>
      </w:r>
    </w:p>
    <w:p w14:paraId="748F97F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3C7180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11. Consecuencias por incumplimiento de los compromisos adquiridos por las partes que suscriban el convenio, de acuerdo con lo establecido en el presente capítulo decreto. </w:t>
      </w:r>
    </w:p>
    <w:p w14:paraId="47F2CC3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8905E5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12. Garantías que amparen el cumplimiento de los compromisos en cabeza de los titulares de la iniciativa del Macroproyecto y de los demás actores que se vinculen, cuando el Ministerio de Vivienda, Ciudad y Territorio lo determine. </w:t>
      </w:r>
    </w:p>
    <w:p w14:paraId="6580616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925D44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13. Términos y condiciones bajo los cuales se deberá adelantar la liquidación del Convenio. </w:t>
      </w:r>
    </w:p>
    <w:p w14:paraId="0B4CBD0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9FC48E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Parágrafo 1°. Harán parte integral del convenio todas las autorizaciones de los órganos colegiados que se </w:t>
      </w:r>
      <w:proofErr w:type="gramStart"/>
      <w:r w:rsidRPr="009342F9">
        <w:rPr>
          <w:rFonts w:ascii="Arial" w:eastAsia="Times New Roman" w:hAnsi="Arial" w:cs="Arial"/>
          <w:color w:val="000000"/>
          <w:lang w:eastAsia="es-CO"/>
        </w:rPr>
        <w:t>requieran</w:t>
      </w:r>
      <w:proofErr w:type="gramEnd"/>
      <w:r w:rsidRPr="009342F9">
        <w:rPr>
          <w:rFonts w:ascii="Arial" w:eastAsia="Times New Roman" w:hAnsi="Arial" w:cs="Arial"/>
          <w:color w:val="000000"/>
          <w:lang w:eastAsia="es-CO"/>
        </w:rPr>
        <w:t xml:space="preserve"> así como los soportes presupuestales cuando se comprometan recursos para el desarrollo de actividades del convenio, el documento técnico de soporte del proyecto de Macroproyecto, y los demás documentos necesarios para respaldar el convenio. </w:t>
      </w:r>
    </w:p>
    <w:p w14:paraId="7E848DF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E473FB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2°. El convenio urbanístico quedará sujeto a condición resolutoria por la no adopción del Macroproyecto por parte del Ministerio de Vivienda, Ciudad y Territorio, así como por la no aprobación del ajuste especial del POT requerido para Macroproyectos Categoría 2. El acaecimiento de esta condición, en ningún caso, genera responsabilidad por parte de quienes suscriben el Convenio. </w:t>
      </w:r>
    </w:p>
    <w:p w14:paraId="1C30BBC6" w14:textId="32A60621"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156" w:name="ver_30073801"/>
      <w:bookmarkEnd w:id="1156"/>
    </w:p>
    <w:p w14:paraId="14A0577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2.2.4.2.2.3.2.4.3 Incumplimiento de obligaciones contenidas en los Convenios. Sin perjuicio de las sanciones establecidas en la ley, el incumplimiento de las obligaciones previstas </w:t>
      </w:r>
      <w:r w:rsidRPr="009342F9">
        <w:rPr>
          <w:rFonts w:ascii="Arial" w:eastAsia="Times New Roman" w:hAnsi="Arial" w:cs="Arial"/>
          <w:color w:val="000000"/>
          <w:lang w:eastAsia="es-CO"/>
        </w:rPr>
        <w:lastRenderedPageBreak/>
        <w:t>en el convenio urbanístico a cargo de los particulares, entidades territoriales y demás actores que se vinculen al respectivo Macroproyecto de Interés Social Nacional, podrá dar lugar a la imposición de multas por parte del MVCT en la forma en que se disponga en el respectivo convenio. Adicionalmente, el incumplimiento definitivo de estas mismas obligaciones podrá servir de fundamento al Ministerio de Vivienda, Ciudad y Territorio para abstenerse de apoyar nuevas iniciativas presentadas por la parte incumplida. </w:t>
      </w:r>
    </w:p>
    <w:p w14:paraId="0959EC2B" w14:textId="53581161"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157" w:name="ver_30073802"/>
      <w:bookmarkEnd w:id="1157"/>
    </w:p>
    <w:p w14:paraId="59C5F54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2.2.4.2.2.3.2.4.4 Publicidad. Los convenios urbanísticos deberán publicarse en la página web del Ministerio de Vivienda, Ciudad y </w:t>
      </w:r>
      <w:proofErr w:type="gramStart"/>
      <w:r w:rsidRPr="009342F9">
        <w:rPr>
          <w:rFonts w:ascii="Arial" w:eastAsia="Times New Roman" w:hAnsi="Arial" w:cs="Arial"/>
          <w:color w:val="000000"/>
          <w:lang w:eastAsia="es-CO"/>
        </w:rPr>
        <w:t>Territorio</w:t>
      </w:r>
      <w:proofErr w:type="gramEnd"/>
      <w:r w:rsidRPr="009342F9">
        <w:rPr>
          <w:rFonts w:ascii="Arial" w:eastAsia="Times New Roman" w:hAnsi="Arial" w:cs="Arial"/>
          <w:color w:val="000000"/>
          <w:lang w:eastAsia="es-CO"/>
        </w:rPr>
        <w:t xml:space="preserve"> así como del municipio o distrito correspondiente donde se ubica el área de planificación del Macroproyecto. El Convenio y sus anexos estarán disponibles para consulta en las instalaciones tanto del Ministerio como del alcalde del municipio o distrito. </w:t>
      </w:r>
    </w:p>
    <w:p w14:paraId="0025F083" w14:textId="752646E0" w:rsidR="00D4095E"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158" w:name="ver_30073803"/>
      <w:bookmarkEnd w:id="1158"/>
    </w:p>
    <w:p w14:paraId="59B16FA2" w14:textId="0A630571" w:rsidR="00FC79C1" w:rsidRPr="009342F9" w:rsidRDefault="00FC79C1" w:rsidP="00D4095E">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SUBSUBSECCIÓN 3</w:t>
      </w:r>
    </w:p>
    <w:p w14:paraId="0714715F" w14:textId="77777777" w:rsidR="00FC79C1" w:rsidRPr="009342F9" w:rsidRDefault="00FC79C1" w:rsidP="00D4095E">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AJUSTE ESPECIAL DEL PLAN DE ORDENAMIENTO TERRITORIAL</w:t>
      </w:r>
    </w:p>
    <w:p w14:paraId="364E02FC"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159" w:name="ver_30073804"/>
      <w:bookmarkEnd w:id="1159"/>
    </w:p>
    <w:p w14:paraId="69D53D3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2.2.4.2.2.3.3.1 Aprobación de los usos del suelo. Culminados los trámites previstos en la Sub -Subsección anterior, el alcalde someterá a consideración del concejo municipal o distrital la propuesta de ajuste especial al plan de ordenamiento territorial, lo cual se hará dentro de los diez (10) días siguientes a la suscripción del convenio. </w:t>
      </w:r>
    </w:p>
    <w:p w14:paraId="349B0FC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BB8E4C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En el evento en que el concejo estuviere en receso el alcalde deberá convocarlo a sesiones extraordinarias. Toda modificación que pretenda introducir el Concejo al proyecto de Acuerdo deberá demostrar las ventajas de </w:t>
      </w:r>
      <w:proofErr w:type="gramStart"/>
      <w:r w:rsidRPr="009342F9">
        <w:rPr>
          <w:rFonts w:ascii="Arial" w:eastAsia="Times New Roman" w:hAnsi="Arial" w:cs="Arial"/>
          <w:color w:val="000000"/>
          <w:lang w:eastAsia="es-CO"/>
        </w:rPr>
        <w:t>la misma</w:t>
      </w:r>
      <w:proofErr w:type="gramEnd"/>
      <w:r w:rsidRPr="009342F9">
        <w:rPr>
          <w:rFonts w:ascii="Arial" w:eastAsia="Times New Roman" w:hAnsi="Arial" w:cs="Arial"/>
          <w:color w:val="000000"/>
          <w:lang w:eastAsia="es-CO"/>
        </w:rPr>
        <w:t xml:space="preserve"> sobre la solución de ordenamiento propuesta y contar con la aceptación previa y por escrito del alcalde. </w:t>
      </w:r>
    </w:p>
    <w:p w14:paraId="3F2CF1C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A43DFB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Transcurridos treinta (30) días calendario desde la presentación de la propuesta de modificación a las normas del plan de ordenamiento sin que el Concejo Municipal o Distrital apruebe las modificaciones al mismo, el alcalde podrá adoptarlo mediante decreto. </w:t>
      </w:r>
    </w:p>
    <w:p w14:paraId="1689275E" w14:textId="2F39F843"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160" w:name="ver_30073805"/>
      <w:bookmarkEnd w:id="1160"/>
    </w:p>
    <w:p w14:paraId="26B7FA3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2.2.4.2.2.3.3.2 Ajuste especial del plan de ordenamiento territorial. La aprobación de usos del suelo para la adopción de los Macroproyectos de interés social nacional categoría II, implicará adelantar el procedimiento especial de ajuste, a iniciativa del alcalde, de los objetivos, directrices, políticas, estrategias, metas, programas, actuaciones o normas del plan de ordenamiento territorial, relacionadas con el área de planificación del MISN así como todas aquellas que sean necesarias para articular el respectivo MISN con los sistemas generales existentes o proyectados de acuerdo con el modelo de ocupación del municipio o distrito. </w:t>
      </w:r>
    </w:p>
    <w:p w14:paraId="5EE15641" w14:textId="77777777" w:rsidR="00C8117B"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161" w:name="ver_30073806"/>
      <w:bookmarkEnd w:id="1161"/>
    </w:p>
    <w:p w14:paraId="150E7E13" w14:textId="44CF46F1"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2.2.4.2.2.3.3.3 Documentos a presentar para el ajuste especial del plan de ordenamiento territorial. Para adelantar la etapa de concertación, consulta y aprobación del proyecto de ajuste especial del Plan de Ordenamiento Territorial en los términos del artículo 8° de la Ley 1469 de 2001, dicho proyecto acuerdo deberá contener por lo menos los siguientes documentos y estudios técnicos, sin perjuicio de aquellos que sean necesarios para la correcta sustentación </w:t>
      </w:r>
      <w:proofErr w:type="gramStart"/>
      <w:r w:rsidRPr="009342F9">
        <w:rPr>
          <w:rFonts w:ascii="Arial" w:eastAsia="Times New Roman" w:hAnsi="Arial" w:cs="Arial"/>
          <w:color w:val="000000"/>
          <w:lang w:eastAsia="es-CO"/>
        </w:rPr>
        <w:t>del mismo</w:t>
      </w:r>
      <w:proofErr w:type="gramEnd"/>
      <w:r w:rsidRPr="009342F9">
        <w:rPr>
          <w:rFonts w:ascii="Arial" w:eastAsia="Times New Roman" w:hAnsi="Arial" w:cs="Arial"/>
          <w:color w:val="000000"/>
          <w:lang w:eastAsia="es-CO"/>
        </w:rPr>
        <w:t xml:space="preserve"> a juicio de las distintas instancias y autoridades de concertación, consulta y aprobación: </w:t>
      </w:r>
    </w:p>
    <w:p w14:paraId="680766F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F06A15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Documento de evaluación y seguimiento del POT vigente en los temas relacionados con el desarrollo del Macroproyecto: </w:t>
      </w:r>
    </w:p>
    <w:p w14:paraId="3C6897F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39AC74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1.1 Análisis poblacional del municipio que permita determinar el comportamiento de la dinámica de crecimiento poblacional y los requerimientos de suelo y vivienda asociados a dicha dinámica. </w:t>
      </w:r>
    </w:p>
    <w:p w14:paraId="33DAF15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16A541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1.2 Análisis de oferta y demanda de vivienda que se ha dado en el tiempo de implementación del respectivo POT, que sustente los requerimientos de vivienda en particular de VIS y VIP. </w:t>
      </w:r>
    </w:p>
    <w:p w14:paraId="17284E3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04CA03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1.3 Análisis del POT vigente respecto a: (i) La disponibilidad de suelo para localización de programas de vivienda; (ii) Las políticas y normas urbanísticas para el desarrollo de programas de vivienda, en particular de VIS y VIP en el POT vigente. </w:t>
      </w:r>
    </w:p>
    <w:p w14:paraId="16AB45D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3A2CCC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1.4 Análisis de la cobertura y disponibilidad de servicios públicos domiciliarios. </w:t>
      </w:r>
    </w:p>
    <w:p w14:paraId="5796D2A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01D27D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1.5 Conclusiones del análisis efectuado en los numerales anteriores y que permitan justificar la necesidad de revisión del POT. </w:t>
      </w:r>
    </w:p>
    <w:p w14:paraId="098E39A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046674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Documento Técnico de Soporte que incluya la información técnica que permita determinar el impacto del Macroproyecto sobre el territorio, incluido el ambiental, así como el desarrollo técnico de la propuesta de revisión o ajuste especial del POT que incluya lo siguiente: </w:t>
      </w:r>
    </w:p>
    <w:p w14:paraId="17F4DDB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7E9B36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2.1 La articulación del Macroproyecto con las respectivas políticas, objetivos y estrategias definidos en los componentes general y urbano del respectivo POT, o la propuesta para su complementación o modificación. </w:t>
      </w:r>
    </w:p>
    <w:p w14:paraId="4B946A0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7B4992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2.2 La propuesta de ajuste en la clasificación del suelo cuando se requiera, con la correspondiente delimitación del perímetro urbano propuesto. </w:t>
      </w:r>
    </w:p>
    <w:p w14:paraId="0664951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BB822A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2.3 La definición del trazado de redes primarias y secundarias de servicios públicos domiciliarios para el área definida en el Macroproyecto y su articulación con los sistemas de servicios públicos domiciliarios previstos en el POT o la propuesta que permita la dotación de dichos servicios públicos para el área del Macroproyecto. </w:t>
      </w:r>
    </w:p>
    <w:p w14:paraId="4215C98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8E0A1E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2.4 La propuesta y dimensionamiento de la infraestructura para el sistema vial y de transporte que permita la adecuada intercomunicación entre el área definida para el Macroproyecto y su articulación con los respectivos sistemas de comunicación y de transporte urbano previstos en el POT. </w:t>
      </w:r>
    </w:p>
    <w:p w14:paraId="3CB0B3D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1EF7E5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2.5 El señalamiento y delimitación de las áreas de conservación y protección de los recursos naturales, paisajísticos y ambientales. </w:t>
      </w:r>
    </w:p>
    <w:p w14:paraId="3BCFB86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AE1787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2.6 La delimitación de las áreas de conservación y protección del patrimonio histórico, cultural y arquitectónico. </w:t>
      </w:r>
    </w:p>
    <w:p w14:paraId="26D6760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C7A780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2.7 La determinación y señalamiento de las zonas que presenten alto riesgo para la localización de asentamientos humanos, por amenazas o riesgos naturales o por condiciones de insalubridad y las medidas y normas que permitan el manejo adecuado de estas zonas. </w:t>
      </w:r>
    </w:p>
    <w:p w14:paraId="515B990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20B993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2.8 La determinación de los diferentes tratamientos y actuaciones urbanísticas en el área de planificación del MISN. </w:t>
      </w:r>
    </w:p>
    <w:p w14:paraId="520262E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098CBB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2.9 La localización de actividades, infraestructuras y equipamientos básicos para garantizar relaciones funcionales adecuadas entre el área del Macroproyecto y la estructura urbana propuesta en el POT. </w:t>
      </w:r>
    </w:p>
    <w:p w14:paraId="40CB6A1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6B0F86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2.10 La localización prevista para los equipamientos colectivos y espacios libres para parques y zonas verdes públicas de escala urbana o zonal, y el señalamiento de las cesiones urbanísticas gratuitas correspondientes a dichas infraestructuras. </w:t>
      </w:r>
    </w:p>
    <w:p w14:paraId="5E3736C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73E421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2.11 La propuesta para el desarrollo de programas de vivienda de interés social (VIS) y prioritario (VIP). </w:t>
      </w:r>
    </w:p>
    <w:p w14:paraId="7A79801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23393C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2.12 El señalamiento de las áreas declaradas como de utilidad pública e interés social. </w:t>
      </w:r>
    </w:p>
    <w:p w14:paraId="2FB8ED5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477123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2.13 La estrategia de desarrollo del área definida como Macroproyecto, así como las respectivas unidades de gestión. </w:t>
      </w:r>
    </w:p>
    <w:p w14:paraId="470233A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A85451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2.14 La definición de los procedimientos e instrumentos de gestión y actuación urbanística requeridos para la ejecución del respectivo macroproyecto, así como los criterios generales para su conveniente aplicación, incluida la adopción de los instrumentos de financiación y la participación municipal o distrital en la plusvalía generada por el desarrollo del respectivo Macroproyecto. </w:t>
      </w:r>
    </w:p>
    <w:p w14:paraId="25B7997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F87EAA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2.15 Cartografía en la que se representen los ajustes realizados al POT </w:t>
      </w:r>
      <w:proofErr w:type="gramStart"/>
      <w:r w:rsidRPr="009342F9">
        <w:rPr>
          <w:rFonts w:ascii="Arial" w:eastAsia="Times New Roman" w:hAnsi="Arial" w:cs="Arial"/>
          <w:color w:val="000000"/>
          <w:lang w:eastAsia="es-CO"/>
        </w:rPr>
        <w:t>de acuerdo a</w:t>
      </w:r>
      <w:proofErr w:type="gramEnd"/>
      <w:r w:rsidRPr="009342F9">
        <w:rPr>
          <w:rFonts w:ascii="Arial" w:eastAsia="Times New Roman" w:hAnsi="Arial" w:cs="Arial"/>
          <w:color w:val="000000"/>
          <w:lang w:eastAsia="es-CO"/>
        </w:rPr>
        <w:t xml:space="preserve"> los numerales señalados anteriormente. La escala de representación cartográfica será como mínimo la empleada por el POT vigente o una de mayor detalle. </w:t>
      </w:r>
    </w:p>
    <w:p w14:paraId="6C4138B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D29CBF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2.16 Los anexos, planos y demás documentación de carácter técnico requerida para la aprobación del ajuste especial. </w:t>
      </w:r>
    </w:p>
    <w:p w14:paraId="678212B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4144CA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Proyecto de Acuerdo, con los artículos que desarrollan las decisiones establecidas en el documento técnico de soporte y adoptan la cartografía correspondiente. </w:t>
      </w:r>
    </w:p>
    <w:p w14:paraId="19CE2EB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5E1E55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Memoria justificativa, que incluya los sustentos de las modificaciones propuestas, señalando la necesidad, el propósito y las ventajas de las modificaciones que se pretenden efectuar al POT para la incorporación del Macroproyecto, indicando los impactos del mismo en el POT, teniendo en cuenta al menos los siguientes aspectos: clasificación del suelo, componentes y determinantes ambientales, sistemas de servicios públicos, vivienda, usos del suelo, equipamientos, espacio público, instrumentos de gestión y financiación previstos y ajustes requeridos al programa de ejecución del POT en la respectiva vigencia. </w:t>
      </w:r>
    </w:p>
    <w:p w14:paraId="749BF55E" w14:textId="50CE6FAE" w:rsidR="00D4095E"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162" w:name="ver_30073807"/>
      <w:bookmarkEnd w:id="1162"/>
    </w:p>
    <w:p w14:paraId="717FD64D" w14:textId="13D46F09" w:rsidR="00FC79C1" w:rsidRPr="009342F9" w:rsidRDefault="00FC79C1" w:rsidP="00D4095E">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SUBSUBSECCIÓN 4</w:t>
      </w:r>
    </w:p>
    <w:p w14:paraId="504D30DF" w14:textId="77777777" w:rsidR="00FC79C1" w:rsidRPr="009342F9" w:rsidRDefault="00FC79C1" w:rsidP="00D4095E">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ADOPCIÓN</w:t>
      </w:r>
    </w:p>
    <w:p w14:paraId="3C58C03E" w14:textId="77777777" w:rsidR="00FC79C1" w:rsidRPr="009342F9" w:rsidRDefault="00FC79C1" w:rsidP="00D4095E">
      <w:pPr>
        <w:spacing w:after="0" w:line="240" w:lineRule="auto"/>
        <w:jc w:val="center"/>
        <w:rPr>
          <w:rFonts w:ascii="Arial" w:eastAsia="Times New Roman" w:hAnsi="Arial" w:cs="Arial"/>
          <w:b/>
          <w:bCs/>
          <w:color w:val="000000"/>
          <w:lang w:eastAsia="es-CO"/>
        </w:rPr>
      </w:pPr>
      <w:bookmarkStart w:id="1163" w:name="ver_30073808"/>
      <w:bookmarkEnd w:id="1163"/>
    </w:p>
    <w:p w14:paraId="33D3CD3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2.2.4.2.2.3.4.1 Adopción del Macroproyecto. Cumplidos los trámites señalados en las fases precedentes, el Ministerio de Vivienda, Ciudad y Territorio adoptará mediante resolución el respectivo Macroproyecto, así: </w:t>
      </w:r>
    </w:p>
    <w:p w14:paraId="5F745D6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E30B2A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Adopción para Macroproyectos Categoría 1. El Ministerio de Vivienda, Ciudad y Territorio adoptará mediante resolución el Macroproyecto definitivo, dentro de los treinta (30) días hábiles siguientes a la suscripción del Convenio Urbanístico. </w:t>
      </w:r>
    </w:p>
    <w:p w14:paraId="7D438AC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32F349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Adopción para Macroproyectos Categoría 2. Cumplidos los trámites señalados en los artículos precedentes, el Ministerio de Vivienda, Ciudad y Territorio podrá adoptar mediante resolución, dentro de los treinta (30) días hábiles siguientes a la aprobación del ajuste especial del plan de ordenamiento territorial por parte del Concejo Municipal o Distrital. </w:t>
      </w:r>
    </w:p>
    <w:p w14:paraId="53EBB694" w14:textId="19CEF07B"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w:t>
      </w:r>
      <w:bookmarkStart w:id="1164" w:name="ver_30073809"/>
      <w:bookmarkEnd w:id="1164"/>
    </w:p>
    <w:p w14:paraId="14C81BC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2.2.4.2.2.3.4.2 Acto Administrativo mediante el cual se adopta el Macroproyecto. La formulación del Macroproyecto por parte del Ministerio de Vivienda, Ciudad y Territorio culminará con su adopción mediante resolución expedida por el Ministerio. El acto administrativo que adopta el Macroproyecto tendrá, por lo menos, el siguiente contenido: </w:t>
      </w:r>
    </w:p>
    <w:p w14:paraId="5BDEEDE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25A52E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Objetivos generales del Macroproyecto. </w:t>
      </w:r>
    </w:p>
    <w:p w14:paraId="2E2B051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36E29E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La delimitación del área de planificación, con su localización, límites, coordenadas, mojones e identificación predial del área a adoptar. </w:t>
      </w:r>
    </w:p>
    <w:p w14:paraId="744A5CC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3D5502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Estructura urbana (componente ambiental, sistema de servicios públicos, sistema vial y de transporte, sistema de espacio público y equipamientos). </w:t>
      </w:r>
    </w:p>
    <w:p w14:paraId="09709B5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0045B2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Mecanismos de mitigación de amenazas y riesgos en el Macroproyecto si a ello hubiere lugar. </w:t>
      </w:r>
    </w:p>
    <w:p w14:paraId="0228EAD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6C6ED0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 Normas urbanísticas. </w:t>
      </w:r>
    </w:p>
    <w:p w14:paraId="487F65E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A76442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6. Los instrumentos de manejo del suelo, captación de plusvalías, reparto de cargas y beneficios, procedimientos de gestión, evaluación financiera de las obras de urbanización y su programa de ejecución, junto al programa de Financiamiento. </w:t>
      </w:r>
    </w:p>
    <w:p w14:paraId="0620C30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1E725A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7. Mecanismos de seguimiento y control. </w:t>
      </w:r>
    </w:p>
    <w:p w14:paraId="0B9D764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2CE60A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8. Harán parte integral de la resolución: </w:t>
      </w:r>
    </w:p>
    <w:p w14:paraId="325D98C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BBA6B5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8.1 Plano que delimita mediante coordenadas geográficas el área de planificación del Macroproyecto y demás cartografía anexa al documento técnico de soporte. </w:t>
      </w:r>
    </w:p>
    <w:p w14:paraId="49B50E7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1F9FDD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8.2 Documento Técnico de Soporte de Formulación que dé cuenta de los requisitos previstos en el artículo 2.2.4.2.2.3.2.1.2 del presente decreto, consolidado con las observaciones que hubiesen resultado pertinentes durante las fases de cada uno de los Macroproyectos Categoría 1 y 2, respectivamente. </w:t>
      </w:r>
    </w:p>
    <w:p w14:paraId="2E8B396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E2615A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Parágrafo. Una vez publicado en el Diario Oficial el acto administrativo por el cual se adopte un Macroproyecto se enviará copia del mismo a los municipios, distritos y autoridades ambientales con jurisdicción en su área de </w:t>
      </w:r>
      <w:proofErr w:type="gramStart"/>
      <w:r w:rsidRPr="009342F9">
        <w:rPr>
          <w:rFonts w:ascii="Arial" w:eastAsia="Times New Roman" w:hAnsi="Arial" w:cs="Arial"/>
          <w:color w:val="000000"/>
          <w:lang w:eastAsia="es-CO"/>
        </w:rPr>
        <w:t>ejecución</w:t>
      </w:r>
      <w:proofErr w:type="gramEnd"/>
      <w:r w:rsidRPr="009342F9">
        <w:rPr>
          <w:rFonts w:ascii="Arial" w:eastAsia="Times New Roman" w:hAnsi="Arial" w:cs="Arial"/>
          <w:color w:val="000000"/>
          <w:lang w:eastAsia="es-CO"/>
        </w:rPr>
        <w:t xml:space="preserve"> así como a Fonvivienda y al Ministerio de Ambiente y Desarrollo Sostenible. La resolución se notificará a quienes hubiesen suscrito el Convenio. </w:t>
      </w:r>
    </w:p>
    <w:p w14:paraId="18F68228" w14:textId="155E69AC"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165" w:name="ver_30073810"/>
      <w:bookmarkEnd w:id="1165"/>
    </w:p>
    <w:p w14:paraId="43EBEBB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2.2.4.2.2.3.4.3 Efectos de la adopción. La adopción de los Macroproyectos producirá los siguientes efectos: </w:t>
      </w:r>
    </w:p>
    <w:p w14:paraId="4CBE666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F6BE8F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La prevalencia de sus normas que serán, por tanto, de obligada observancia por parte de los municipios y distritos en las posteriores revisiones y modificaciones de sus planes de ordenamiento territorial. </w:t>
      </w:r>
    </w:p>
    <w:p w14:paraId="29D6351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9C04F0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La obligatoriedad del cumplimiento de sus disposiciones por todas las personas de derecho público y privado. Para el efecto, las licencias urbanísticas para el desarrollo de los Macroproyectos de Interés Social Nacional se otorgarán con sujeción a las normas adoptadas en los mismos. Los Macroproyectos no requerirán de planes parciales, ni ningún otro instrumento de planeamiento urbano para su desarrollo. </w:t>
      </w:r>
    </w:p>
    <w:p w14:paraId="01A4DA4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w:t>
      </w:r>
    </w:p>
    <w:p w14:paraId="2C56664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 destinación de los predios e inmuebles incluidos en su ámbito de planificación y/o gestión a los usos urbanos y aprovechamientos que resulten aplicables en virtud de las disposiciones del Macroproyecto. </w:t>
      </w:r>
    </w:p>
    <w:p w14:paraId="099E8A2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226259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Parágrafo 1°. Los municipios y distritos en los cuales se ejecuten los Macroproyectos serán los beneficiarios de la plusvalía que se pueda generar por la adopción de </w:t>
      </w:r>
      <w:proofErr w:type="gramStart"/>
      <w:r w:rsidRPr="009342F9">
        <w:rPr>
          <w:rFonts w:ascii="Arial" w:eastAsia="Times New Roman" w:hAnsi="Arial" w:cs="Arial"/>
          <w:color w:val="000000"/>
          <w:lang w:eastAsia="es-CO"/>
        </w:rPr>
        <w:t>los mismos</w:t>
      </w:r>
      <w:proofErr w:type="gramEnd"/>
      <w:r w:rsidRPr="009342F9">
        <w:rPr>
          <w:rFonts w:ascii="Arial" w:eastAsia="Times New Roman" w:hAnsi="Arial" w:cs="Arial"/>
          <w:color w:val="000000"/>
          <w:lang w:eastAsia="es-CO"/>
        </w:rPr>
        <w:t>, la cual deberá destinarse al desarrollo del Macroproyecto para los fines descritos en el artículo 85 de la Ley 388 de 1997. </w:t>
      </w:r>
    </w:p>
    <w:p w14:paraId="2C7DBF6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F24BFE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2°. Las áreas incluidas en un Macroproyecto que no se encuentren en suelo urbano se considerarán incorporadas a esta clase de suelo cuando se acredite la calidad de áreas urbanizadas. Se entenderá que se encuentran urbanizadas las áreas cuyos predios cuenten con (i) la culminación de las obras y dotaciones a cargo del urbanizador sobre las zonas de cesión obligatoria contempladas en la respectiva licencia, de conformidad con las normas urbanísticas del respectivo Macroproyecto; y, (ii) la entrega a satisfacción a los municipios y distritos y/o las empresas de servicios públicos domiciliarios correspondientes, de dichas obras y dotaciones, de acuerdo con la normatividad vigente sobre la materia. </w:t>
      </w:r>
    </w:p>
    <w:p w14:paraId="6FE3BFB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F3E1B1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3°. La modificación de los instrumentos de planificación que complementen y desarrollen el plan de ordenamiento territorial tales como planes parciales y demás que se hayan expedido con anterioridad a la adopción del Macroproyecto, se ajustará a las previsiones contenidas en este último y no requerirá de agotar ninguna de las instancias y procedimientos previstos en la ley.  </w:t>
      </w:r>
    </w:p>
    <w:p w14:paraId="692CD3A5" w14:textId="0D6CF683" w:rsidR="00FC79C1" w:rsidRPr="009342F9" w:rsidRDefault="00FC79C1" w:rsidP="00C8117B">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7C0633D" w14:textId="57B45B79" w:rsidR="00FC79C1" w:rsidRPr="009342F9" w:rsidRDefault="00FC79C1" w:rsidP="00D4095E">
      <w:pPr>
        <w:spacing w:after="0" w:line="240" w:lineRule="auto"/>
        <w:jc w:val="center"/>
        <w:rPr>
          <w:rFonts w:ascii="Arial" w:eastAsia="Times New Roman" w:hAnsi="Arial" w:cs="Arial"/>
          <w:b/>
          <w:bCs/>
          <w:color w:val="000000"/>
          <w:lang w:eastAsia="es-CO"/>
        </w:rPr>
      </w:pPr>
      <w:bookmarkStart w:id="1166" w:name="ver_30073811"/>
      <w:bookmarkEnd w:id="1166"/>
      <w:r w:rsidRPr="009342F9">
        <w:rPr>
          <w:rFonts w:ascii="Arial" w:eastAsia="Times New Roman" w:hAnsi="Arial" w:cs="Arial"/>
          <w:b/>
          <w:bCs/>
          <w:color w:val="000000"/>
          <w:lang w:eastAsia="es-CO"/>
        </w:rPr>
        <w:t>SUBSUBSECCIÓN 5</w:t>
      </w:r>
    </w:p>
    <w:p w14:paraId="2AAC167E" w14:textId="77777777" w:rsidR="00FC79C1" w:rsidRPr="009342F9" w:rsidRDefault="00FC79C1" w:rsidP="00D4095E">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EJECUCIÓN</w:t>
      </w:r>
    </w:p>
    <w:p w14:paraId="26E7B904"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167" w:name="ver_30073812"/>
      <w:bookmarkEnd w:id="1167"/>
    </w:p>
    <w:p w14:paraId="22B18EB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2.2.4.2.2.3.5.1 Ejecución. Las entidades de orden nacional, departamental, municipal y distrital, y las áreas metropolitanas podrán participar en la ejecución de los Macroproyectos, mediante la celebración, entre otros, de contratos de fiducia mercantil con sujeción a las reglas generales y del derecho comercial, sin las limitaciones y restricciones previstas en el numeral 5 del artículo 32 de la Ley 80 de 1993 o en las normas que lo adicionen, modifiquen o sustituyan. </w:t>
      </w:r>
    </w:p>
    <w:p w14:paraId="10BDE30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FBB020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Corresponderá al Fondo Nacional de Vivienda, Fonvivienda, ejecutar los recursos y desarrollar las actividades necesarias para ejecutar y/o financiar los Macroproyectos en los que se inviertan recursos por parte del Gobierno Nacional. Para ello, el Ministerio de Vivienda, Ciudad y Territorio, en cada vigencia fiscal, programará los recursos del subsidio familiar de vivienda que se dirigirán a los MISN adoptados. </w:t>
      </w:r>
    </w:p>
    <w:p w14:paraId="244A47E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0B6001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Fonvivienda podrá girar anticipadamente a los patrimonios autónomos las sumas de dinero que correspondan a los subsidios familiares de vivienda que se asignarán por dicho Fondo a hogares beneficiarios en el respectivo Macroproyecto. </w:t>
      </w:r>
    </w:p>
    <w:p w14:paraId="3210C9C8" w14:textId="6142BDA1"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168" w:name="ver_30073813"/>
      <w:bookmarkEnd w:id="1168"/>
    </w:p>
    <w:p w14:paraId="4919CA8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2.2.4.2.2.3.5.2 Licencias urbanísticas para la ejecución de Macroproyecto. La expedición de todas las licencias urbanísticas en sus distintas modalidades y la ejecución de las actuaciones previstas en el Macroproyecto se sujetarán a todo lo previsto en la resolución de adopción. Corresponderá a la autoridad municipal o distrital o a los curadores urbanos, según el caso, estudiar, tramitar y expedir la licencia de urbanización en aplicación y cumplimiento de las normas adoptadas en el respectivo Macroproyecto. </w:t>
      </w:r>
    </w:p>
    <w:p w14:paraId="4B247600" w14:textId="648C2A0F"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169" w:name="ver_30073814"/>
      <w:bookmarkEnd w:id="1169"/>
    </w:p>
    <w:p w14:paraId="50CFCB8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Artículo 2.2.4.2.2.3.5.3 Decisión sobre los asuntos ambientales. De conformidad con lo previsto en el numeral 3 del artículo 27 de la Ley 388 de 1997, modificado por el artículo 180 del Decreto-ley 019 de 2012, cuando se trate de planes parciales que desarrollen los Macroproyectos de Interés Social Nacional, si la Corporación Autónoma Regional o de Desarrollo Sostenible no se pronuncia definitivamente dentro del término señalado, le corresponderá al Ministerio de Ambiente y Desarrollo Sostenible decidir sobre los asuntos ambientales para lo cual dispondrá de un término máximo e improrrogable de quince (15) días hábiles contados a partir del recibo del respectivo expediente. </w:t>
      </w:r>
    </w:p>
    <w:p w14:paraId="4A6568ED" w14:textId="70A5C5E9" w:rsidR="00FC79C1" w:rsidRPr="009342F9" w:rsidRDefault="00FC79C1" w:rsidP="00C8117B">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F773021" w14:textId="77777777" w:rsidR="00FC79C1" w:rsidRPr="009342F9" w:rsidRDefault="00FC79C1" w:rsidP="00D4095E">
      <w:pPr>
        <w:spacing w:after="0" w:line="240" w:lineRule="auto"/>
        <w:jc w:val="center"/>
        <w:rPr>
          <w:rFonts w:ascii="Arial" w:eastAsia="Times New Roman" w:hAnsi="Arial" w:cs="Arial"/>
          <w:b/>
          <w:bCs/>
          <w:color w:val="000000"/>
          <w:lang w:eastAsia="es-CO"/>
        </w:rPr>
      </w:pPr>
      <w:bookmarkStart w:id="1170" w:name="ver_30073815"/>
      <w:bookmarkEnd w:id="1170"/>
      <w:r w:rsidRPr="009342F9">
        <w:rPr>
          <w:rFonts w:ascii="Arial" w:eastAsia="Times New Roman" w:hAnsi="Arial" w:cs="Arial"/>
          <w:b/>
          <w:bCs/>
          <w:color w:val="000000"/>
          <w:lang w:eastAsia="es-CO"/>
        </w:rPr>
        <w:t>CAPÍTULO 3</w:t>
      </w:r>
    </w:p>
    <w:p w14:paraId="0A7E2846" w14:textId="77777777" w:rsidR="00FC79C1" w:rsidRDefault="00FC79C1" w:rsidP="00D4095E">
      <w:pPr>
        <w:spacing w:after="0" w:line="240" w:lineRule="auto"/>
        <w:jc w:val="center"/>
        <w:rPr>
          <w:rFonts w:ascii="Arial" w:eastAsia="Times New Roman" w:hAnsi="Arial" w:cs="Arial"/>
          <w:b/>
          <w:bCs/>
          <w:color w:val="000000"/>
          <w:lang w:eastAsia="es-CO"/>
        </w:rPr>
      </w:pPr>
      <w:r w:rsidRPr="231E957E">
        <w:rPr>
          <w:rFonts w:ascii="Arial" w:eastAsia="Times New Roman" w:hAnsi="Arial" w:cs="Arial"/>
          <w:b/>
          <w:color w:val="000000" w:themeColor="text1"/>
          <w:lang w:eastAsia="es-CO"/>
        </w:rPr>
        <w:t>PROYECTOS INTEGRALES DE DESARROLLO URBANO</w:t>
      </w:r>
    </w:p>
    <w:p w14:paraId="19EF76C7" w14:textId="77777777" w:rsidR="005C5EEB" w:rsidRPr="009342F9" w:rsidRDefault="005C5EEB" w:rsidP="005C5EEB">
      <w:pPr>
        <w:spacing w:after="0" w:line="240" w:lineRule="auto"/>
        <w:rPr>
          <w:rFonts w:ascii="Arial" w:eastAsia="Times New Roman" w:hAnsi="Arial" w:cs="Arial"/>
          <w:b/>
          <w:bCs/>
          <w:color w:val="000000"/>
          <w:lang w:eastAsia="es-CO"/>
        </w:rPr>
      </w:pPr>
    </w:p>
    <w:p w14:paraId="24DBC772" w14:textId="3D261B6E" w:rsidR="00FC79C1" w:rsidRPr="009342F9" w:rsidRDefault="00FC79C1" w:rsidP="00D4095E">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SECCIÓN 1</w:t>
      </w:r>
    </w:p>
    <w:p w14:paraId="1E7F14DE" w14:textId="77777777" w:rsidR="00FC79C1" w:rsidRPr="009342F9" w:rsidRDefault="00FC79C1" w:rsidP="00D4095E">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DISPOSICIONES GENERALES</w:t>
      </w:r>
    </w:p>
    <w:p w14:paraId="0C5041D2"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171" w:name="ver_30073816"/>
      <w:bookmarkEnd w:id="1171"/>
    </w:p>
    <w:p w14:paraId="7DF9DF7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2.2.4.3.1.1 Proyectos Integrales de Desarrollo Urbano. Constituyen el conjunto de decisiones administrativas y de actuaciones urbanísticas, definidas de común acuerdo con las autoridades de planeación de los municipios y distritos, necesarias para la ejecución de operaciones urbanas integrales que garanticen la habilitación de suelo urbanizable para la ejecución de los proyectos de construcción de vivienda y reubicación de asentamientos humanos para atender la emergencia económica, social y ecológica nacional. </w:t>
      </w:r>
    </w:p>
    <w:p w14:paraId="75FED1B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BBF37B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los Proyectos Integrales de Desarrollo Urbano se definirán las condiciones para la construcción y reubicación de viviendas, especialmente viviendas de interés social (VIS) y viviendas de interés prioritario (VIP), el desarrollo de otros usos, la extensión o ampliación de la infraestructura para el sistema vial, y de servicios públicos domiciliarios, y la ejecución de espacios públicos y equipamientos colectivos, ya sea que se trate de predios urbanos, rurales o de expansión urbana. </w:t>
      </w:r>
    </w:p>
    <w:p w14:paraId="01C914D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A30454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Cuando los Proyectos Integrales de Desarrollo Urbano se localicen en suelos rurales deberán apoyar el desarrollo compacto de la ciudad. </w:t>
      </w:r>
    </w:p>
    <w:p w14:paraId="734AE4BE" w14:textId="77777777" w:rsidR="00C8117B" w:rsidRDefault="00C8117B" w:rsidP="00FC79C1">
      <w:pPr>
        <w:spacing w:after="0" w:line="240" w:lineRule="auto"/>
        <w:jc w:val="both"/>
        <w:rPr>
          <w:rFonts w:ascii="Arial" w:eastAsia="Times New Roman" w:hAnsi="Arial" w:cs="Arial"/>
          <w:color w:val="000000"/>
          <w:lang w:eastAsia="es-CO"/>
        </w:rPr>
      </w:pPr>
      <w:bookmarkStart w:id="1172" w:name="ver_30073817"/>
      <w:bookmarkEnd w:id="1172"/>
    </w:p>
    <w:p w14:paraId="498B63ED" w14:textId="37633090"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2.2.4.3.1.2 Objetivo. El principal objetivo de los Proyectos Integrales de Desarrollo Urbano es garantizar la habilitación de suelo urbanizable para la ejecución de los proyectos de construcción de vivienda y reubicación de asentamientos humanos para atender la emergencia económica, social y ecológica nacional. </w:t>
      </w:r>
    </w:p>
    <w:p w14:paraId="03855BC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E1DE11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Los PIDU desarrollarán asentamientos urbanos con altos parámetros de calidad urbanística y ambiental y promover el ordenamiento territorial, el desarrollo y crecimiento equilibrado y equitativo de las ciudades y su articulación con los sistemas estructurantes de infraestructura de movilidad y de servicios públicos. </w:t>
      </w:r>
    </w:p>
    <w:p w14:paraId="1687C537" w14:textId="1D492663"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173" w:name="ver_30073818"/>
      <w:bookmarkEnd w:id="1173"/>
    </w:p>
    <w:p w14:paraId="71A59FA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2.2.4.3.1.3 Ámbito de atención territorial de los PIDU. Con el fin de garantizar una atención ágil y efectiva de las personas damnificadas o ubicadas en zonas de alto riesgo que deban ser reubicadas por el fenómeno de La Niña 2010-2011, los PIDU definirán los objetivos y las directrices urbanísticas específicas que orientarán la urbanización del suelo necesario, para atender las necesidades de construcción de vivienda de las zonas que se identifiquen como objeto de su ámbito de atención territorial. </w:t>
      </w:r>
    </w:p>
    <w:p w14:paraId="79EBAF6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1B48D9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Para ello, una vez definido el ámbito de atención territorial del respectivo PIDU, se establecerán los porcentajes de suelo útil que se destinarán para atender las necesidades de vivienda </w:t>
      </w:r>
      <w:r w:rsidRPr="009342F9">
        <w:rPr>
          <w:rFonts w:ascii="Arial" w:eastAsia="Times New Roman" w:hAnsi="Arial" w:cs="Arial"/>
          <w:color w:val="000000"/>
          <w:lang w:eastAsia="es-CO"/>
        </w:rPr>
        <w:lastRenderedPageBreak/>
        <w:t>identificadas en el mismo, para los hogares damnificados por la situación de desastre, incluidos en los sistemas de información que para el efecto determine el Gobierno Nacional y de los hogares ubicados en zonas de riesgo no mitigable que deban ser reubicados, según lo determine la oficina competente del respectivo municipio o distrito. </w:t>
      </w:r>
    </w:p>
    <w:p w14:paraId="66A8698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5E4C55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Con el fin de promover el uso racional del suelo, en armonía con las necesidades de empleo, cohesión social, seguridad y protección del medio ambiente, en cada PIDU se podrá destinar suelo para otros tipos de vivienda y para usos productivos que sean complementarios y compatibles con el uso residencial. </w:t>
      </w:r>
    </w:p>
    <w:p w14:paraId="14748DE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673A55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1°. El ámbito de atención territorial del PIDU hace referencia a la extensión espacial de las zonas afectadas por la situación de desastre y/o de las zonas de riesgo no mitigable, en donde se localicen viviendas que deban ser objeto de reubicación o reconstrucción, de conformidad con las necesidades de los hogares afectados. </w:t>
      </w:r>
    </w:p>
    <w:p w14:paraId="2D9AC1B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5064B6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No obstante, cualquier hogar afectado que se encuentre por fuera del ámbito de atención territorial del PIDU podrá ser objeto de los programas de vivienda para la atención de la emergencia que se adopten en el mismo, ya sea que se trate del mismo municipio o de otros municipios afectados. </w:t>
      </w:r>
    </w:p>
    <w:p w14:paraId="7D881BB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99C1F2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2°. Cuando de conformidad con el artículo 19 de la Ley 136 de 1994 se decida trasladar una cabecera municipal por afectación del Fenómeno de La Niña 2010– 2011, la destinación del suelo del nuevo centro urbano tendrá en cuenta los porcentajes de usos existentes en el asentamiento desalojado, según lo establecido en la aprobación de usos del suelo para la adopción del PIDU. </w:t>
      </w:r>
    </w:p>
    <w:p w14:paraId="4E11948B" w14:textId="3CB2F2A0"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174" w:name="ver_30073819"/>
      <w:bookmarkEnd w:id="1174"/>
    </w:p>
    <w:p w14:paraId="137C8A7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2.2.4.3.1.4 Categorías. Los PIDU serán adoptados por el Ministerio de Ambiente, Vivienda y Desarrollo Territorial y se diferenciarán, según tengan por objeto: </w:t>
      </w:r>
    </w:p>
    <w:p w14:paraId="2BD8B54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3AF013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4. PIDU Categoría 1. Los PIDU Categoría 1 tienen por objeto la definición de los términos y las condiciones de gestión y ejecución de los contenidos, actuaciones o normas urbanísticas del plan de ordenamiento territorial vigente, sobre la base de un convenio suscrito entre el Ministerio de Ambiente, Vivienda y Desarrollo Territorial y el </w:t>
      </w:r>
      <w:proofErr w:type="gramStart"/>
      <w:r w:rsidRPr="009342F9">
        <w:rPr>
          <w:rFonts w:ascii="Arial" w:eastAsia="Times New Roman" w:hAnsi="Arial" w:cs="Arial"/>
          <w:color w:val="000000"/>
          <w:lang w:eastAsia="es-CO"/>
        </w:rPr>
        <w:t>Alcalde</w:t>
      </w:r>
      <w:proofErr w:type="gramEnd"/>
      <w:r w:rsidRPr="009342F9">
        <w:rPr>
          <w:rFonts w:ascii="Arial" w:eastAsia="Times New Roman" w:hAnsi="Arial" w:cs="Arial"/>
          <w:color w:val="000000"/>
          <w:lang w:eastAsia="es-CO"/>
        </w:rPr>
        <w:t xml:space="preserve"> del respectivo municipio o distrito. Con la adopción de estos PIDU, en ningún caso, podrán modificarse las disposiciones del respectivo plan de ordenamiento territorial. </w:t>
      </w:r>
    </w:p>
    <w:p w14:paraId="5BCD889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6FD25B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 PIDU Categoría 2. Los PIDU Categoría 2 tienen por objeto la definición, además de lo previsto en el numeral anterior, de las posibles modificaciones de las normas urbanísticas que regulan el uso y aprovechamiento del suelo del plan de ordenamiento territorial vigente, cuando ello resulte necesario para asegurar la viabilidad de la operación urbana que se adopta con el PIDU. </w:t>
      </w:r>
    </w:p>
    <w:p w14:paraId="689D1E7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EA7C46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En estos casos, la adopción del PIDU implicará la ratificación previa del concejo municipal o distrital de la modificación de dichas normas, sobre la base del convenio suscrito entre el Ministerio de Ambiente, Vivienda y Desarrollo Territorial y el </w:t>
      </w:r>
      <w:proofErr w:type="gramStart"/>
      <w:r w:rsidRPr="009342F9">
        <w:rPr>
          <w:rFonts w:ascii="Arial" w:eastAsia="Times New Roman" w:hAnsi="Arial" w:cs="Arial"/>
          <w:color w:val="000000"/>
          <w:lang w:eastAsia="es-CO"/>
        </w:rPr>
        <w:t>Alcalde</w:t>
      </w:r>
      <w:proofErr w:type="gramEnd"/>
      <w:r w:rsidRPr="009342F9">
        <w:rPr>
          <w:rFonts w:ascii="Arial" w:eastAsia="Times New Roman" w:hAnsi="Arial" w:cs="Arial"/>
          <w:color w:val="000000"/>
          <w:lang w:eastAsia="es-CO"/>
        </w:rPr>
        <w:t xml:space="preserve"> del respectivo municipio o distrito. </w:t>
      </w:r>
    </w:p>
    <w:p w14:paraId="249914E7" w14:textId="77777777" w:rsidR="00C8117B" w:rsidRDefault="00C8117B" w:rsidP="00FC79C1">
      <w:pPr>
        <w:spacing w:after="0" w:line="240" w:lineRule="auto"/>
        <w:jc w:val="both"/>
        <w:rPr>
          <w:rFonts w:ascii="Arial" w:eastAsia="Times New Roman" w:hAnsi="Arial" w:cs="Arial"/>
          <w:color w:val="000000"/>
          <w:lang w:eastAsia="es-CO"/>
        </w:rPr>
      </w:pPr>
      <w:bookmarkStart w:id="1175" w:name="ver_30073820"/>
      <w:bookmarkEnd w:id="1175"/>
    </w:p>
    <w:p w14:paraId="03689A06" w14:textId="744C0CEF"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2.2.4.3.1.5 Fases de los PIDU. El procedimiento para el anuncio, la formulación, la concertación, la aprobación y la adopción de Proyectos Integrales de Desarrollo Urbano comprenden las siguientes fases: </w:t>
      </w:r>
    </w:p>
    <w:p w14:paraId="5EE9841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F7D364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Prefactibilidad. </w:t>
      </w:r>
    </w:p>
    <w:p w14:paraId="4197830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w:t>
      </w:r>
    </w:p>
    <w:p w14:paraId="6C898EF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Formulación. </w:t>
      </w:r>
    </w:p>
    <w:p w14:paraId="743E45C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40828B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Adopción. </w:t>
      </w:r>
    </w:p>
    <w:p w14:paraId="180F596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FE5016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Para efectos de la modificación del PIDU, ésta se deberá adelantar atendiendo el procedimiento establecido en la fase que corresponda a los asuntos objeto de la modificación. Cuando la propuesta implique la modificación de las normas contenidas en el plan de ordenamiento territorial, se seguirá el trámite previsto para los PIDU categoría 2; de lo contrario, se tramitará conforme a las reglas contempladas para los PIDU categoría 1. </w:t>
      </w:r>
    </w:p>
    <w:p w14:paraId="02B1F68A" w14:textId="77777777" w:rsidR="00C8117B"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176" w:name="ver_30073821"/>
      <w:bookmarkEnd w:id="1176"/>
    </w:p>
    <w:p w14:paraId="75B64145" w14:textId="68B1A91F"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2.2.4.3.1.6 Titulares de la iniciativa. Además del Ministerio de Ambiente, Vivienda y Desarrollo Territorial, la iniciativa para presentar un PIDU podrá ser de las entidades territoriales o de particulares, directamente o mediante mecanismos de asociación público privado. </w:t>
      </w:r>
    </w:p>
    <w:p w14:paraId="6BF2ED1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17DD93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todo caso, el área de planificación del respectivo PIDU deberá adelantarse en un solo municipio o distrito. </w:t>
      </w:r>
    </w:p>
    <w:p w14:paraId="03110E52" w14:textId="77777777" w:rsidR="00C8117B" w:rsidRDefault="00FC79C1" w:rsidP="00C8117B">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177" w:name="ver_30073822"/>
      <w:bookmarkEnd w:id="1177"/>
    </w:p>
    <w:p w14:paraId="1A5774B4" w14:textId="12AC5EAD" w:rsidR="00FC79C1" w:rsidRPr="009342F9" w:rsidRDefault="00FC79C1" w:rsidP="00C8117B">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SECCIÓN 2</w:t>
      </w:r>
    </w:p>
    <w:p w14:paraId="2824D571" w14:textId="77777777" w:rsidR="00FC79C1" w:rsidRPr="009342F9" w:rsidRDefault="00FC79C1" w:rsidP="00D4095E">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PREFACTIBILIDAD</w:t>
      </w:r>
    </w:p>
    <w:p w14:paraId="281D1570"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178" w:name="ver_30073823"/>
      <w:bookmarkEnd w:id="1178"/>
    </w:p>
    <w:p w14:paraId="7ECC24C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2.2.4.3.2.1 Documentación requerida para adelantar la prefactibilidad de los PIDU. Para efectos de que el Ministerio de Ambiente, Vivienda y Desarrollo Territorial pueda estudiar la prefactibilidad del proyecto de PIDU, el interesado deberá radicar ante el Ministerio de Ambiente, Vivienda y Desarrollo Territorial un documento técnico de soporte de prefactibilidad, en medio magnético y físico, que incluya al menos la siguiente información: </w:t>
      </w:r>
    </w:p>
    <w:p w14:paraId="78ACD8B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A03A5B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La localización, descripción y caracterización del área propuesta de planificación donde se desarrollará el PIDU que incluya: (i) las características ambientales, sociales, culturales, urbanísticas del área y las agrológicas cuando se encuentre en suelo rural; (ii) las características topográficas del terreno; (iii) la composición predial con base en la información catastral disponible y (</w:t>
      </w:r>
      <w:proofErr w:type="spellStart"/>
      <w:r w:rsidRPr="009342F9">
        <w:rPr>
          <w:rFonts w:ascii="Arial" w:eastAsia="Times New Roman" w:hAnsi="Arial" w:cs="Arial"/>
          <w:color w:val="000000"/>
          <w:lang w:eastAsia="es-CO"/>
        </w:rPr>
        <w:t>iv</w:t>
      </w:r>
      <w:proofErr w:type="spellEnd"/>
      <w:r w:rsidRPr="009342F9">
        <w:rPr>
          <w:rFonts w:ascii="Arial" w:eastAsia="Times New Roman" w:hAnsi="Arial" w:cs="Arial"/>
          <w:color w:val="000000"/>
          <w:lang w:eastAsia="es-CO"/>
        </w:rPr>
        <w:t>) la clasificación del suelo. </w:t>
      </w:r>
    </w:p>
    <w:p w14:paraId="18F8922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30CB38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Certificados de tradición y libertad de los predios que se encuentran en el área de planificación del PIDU, cuya fecha de expedición no sea superior a un mes. </w:t>
      </w:r>
    </w:p>
    <w:p w14:paraId="694EDF3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1D6E14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Información catastral disponible de los predios que se encuentran en el área de planificación del respetivo PIDU. </w:t>
      </w:r>
    </w:p>
    <w:p w14:paraId="7B8E456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C085E2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Plano georreferenciado de diagnóstico a escala 1:2000 o 1:5000 del área del PIDU, donde se aprecie la información de que trata el numeral 1 de este artículo y además el polígono amojonado que lo conforma, cuadro de coordenadas de mojones, la relación e identificación de los predios incluidos en la propuesta de delimitación y sus propietarios. </w:t>
      </w:r>
    </w:p>
    <w:p w14:paraId="080FBAF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E85025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 Descripción del impacto territorial de la operación urbana, que deberá incluir, por lo menos: (i) el potencial de unidades habitacionales para atender las necesidades de vivienda del ámbito de atención territorial del PIDU, de conformidad con lo previsto en el artículo 2.2.4.3.1.3 del presente decreto; (ii) la infraestructura de servicios públicos domiciliarios para garantizar la viabilidad; (iii) los sistemas de movilidad; (</w:t>
      </w:r>
      <w:proofErr w:type="spellStart"/>
      <w:r w:rsidRPr="009342F9">
        <w:rPr>
          <w:rFonts w:ascii="Arial" w:eastAsia="Times New Roman" w:hAnsi="Arial" w:cs="Arial"/>
          <w:color w:val="000000"/>
          <w:lang w:eastAsia="es-CO"/>
        </w:rPr>
        <w:t>iv</w:t>
      </w:r>
      <w:proofErr w:type="spellEnd"/>
      <w:r w:rsidRPr="009342F9">
        <w:rPr>
          <w:rFonts w:ascii="Arial" w:eastAsia="Times New Roman" w:hAnsi="Arial" w:cs="Arial"/>
          <w:color w:val="000000"/>
          <w:lang w:eastAsia="es-CO"/>
        </w:rPr>
        <w:t>) los sistemas de espacio público y equipamientos colectivos, y (v) el manejo de las áreas de conservación y protección ambiental y de mitigación de riesgos cuando a ello haya lugar. </w:t>
      </w:r>
    </w:p>
    <w:p w14:paraId="2FB8285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w:t>
      </w:r>
    </w:p>
    <w:p w14:paraId="46F1405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El Ministerio de Ambiente, Vivienda y Desarrollo Territorial mediante resolución podrá desarrollar los requisitos señalados en el presente artículo y señalar documentos complementarios para adelantar el estudio de prefactibilidad técnica de los PIDU. </w:t>
      </w:r>
    </w:p>
    <w:p w14:paraId="0DAC74E4" w14:textId="03723A9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179" w:name="ver_30073824"/>
      <w:bookmarkEnd w:id="1179"/>
    </w:p>
    <w:p w14:paraId="2C0CFC1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2.2.4.3.2.2 Documentos adicionales para la presentación de los PIDU de iniciativa de entidades territoriales y particulares. Las entidades territoriales y los particulares interesados en adelantar un PIDU deberán incorporar en el documento técnico de soporte de prefactibilidad de que trata el artículo anterior, lo siguiente: </w:t>
      </w:r>
    </w:p>
    <w:p w14:paraId="092FA6B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41C9D3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Documento de identidad cuando se trate de personas naturales o certificado(s) de existencia y representación legal cuya fecha de expedición no sea mayor a un (1) mes, cuando se trate de personas jurídicas. </w:t>
      </w:r>
    </w:p>
    <w:p w14:paraId="58C7364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D7ABEC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2. Documento que contenga el acuerdo asociativo de las partes en el evento que en la iniciativa concurran entidades territoriales y/o </w:t>
      </w:r>
      <w:proofErr w:type="gramStart"/>
      <w:r w:rsidRPr="009342F9">
        <w:rPr>
          <w:rFonts w:ascii="Arial" w:eastAsia="Times New Roman" w:hAnsi="Arial" w:cs="Arial"/>
          <w:color w:val="000000"/>
          <w:lang w:eastAsia="es-CO"/>
        </w:rPr>
        <w:t>particulares</w:t>
      </w:r>
      <w:proofErr w:type="gramEnd"/>
      <w:r w:rsidRPr="009342F9">
        <w:rPr>
          <w:rFonts w:ascii="Arial" w:eastAsia="Times New Roman" w:hAnsi="Arial" w:cs="Arial"/>
          <w:color w:val="000000"/>
          <w:lang w:eastAsia="es-CO"/>
        </w:rPr>
        <w:t xml:space="preserve"> así como la forma de participación de cada uno de los integrantes en las diferentes fases del PIDU. </w:t>
      </w:r>
    </w:p>
    <w:p w14:paraId="18F4ADF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DC3551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Cuando la iniciativa del proyecto PIDU provenga de particulares, también se deberá presentar ante el Ministerio de Ambiente, Vivienda y Desarrollo Territorial poder debidamente otorgado por el(los) propietario(s) de los bienes inmuebles, cuando el PIDU haya sido sugerido por personas diferentes a los propietarios de los inmuebles ubicados en el área de planificación. </w:t>
      </w:r>
    </w:p>
    <w:p w14:paraId="49A53F0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370F04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El Ministerio de Ambiente, Vivienda y Desarrollo Territorial estudiará la documentación presentada para efectos de analizar la prefactibilidad de los PIDU, para lo cual contará con un término de treinta (30) días hábiles contados a partir de su radicación. </w:t>
      </w:r>
    </w:p>
    <w:p w14:paraId="7EBF893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501167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Cuando el Ministerio determine que el proyecto PIDU cuenta con la prefactibilidad, expedirá el acto administrativo a que hace referencia el artículo 2.2.4.3.3.1 del presente decreto. </w:t>
      </w:r>
    </w:p>
    <w:p w14:paraId="65C7D8A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ED051F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Cuando la iniciativa del PIDU provenga de una entidad territorial o de particulares, los costos para elaborar el documento técnico de soporte de prefactibilidad serán asumidos por cuenta exclusiva de quienes presenten el respectivo PIDU. En ningún evento el Ministerio de Ambiente, Vivienda y Desarrollo Territorial asumirá los costos ni responderá por los gastos en que deba incurrir o haya incurrido quien presente la iniciativa de un PIDU. </w:t>
      </w:r>
    </w:p>
    <w:p w14:paraId="48285A02" w14:textId="108C8304" w:rsidR="00D4095E" w:rsidRPr="009342F9" w:rsidRDefault="00FC79C1" w:rsidP="00C8117B">
      <w:pPr>
        <w:spacing w:after="0" w:line="240" w:lineRule="auto"/>
        <w:jc w:val="both"/>
        <w:rPr>
          <w:rFonts w:ascii="Arial" w:eastAsia="Times New Roman" w:hAnsi="Arial" w:cs="Arial"/>
          <w:b/>
          <w:bCs/>
          <w:color w:val="000000"/>
          <w:lang w:eastAsia="es-CO"/>
        </w:rPr>
      </w:pPr>
      <w:r w:rsidRPr="009342F9">
        <w:rPr>
          <w:rFonts w:ascii="Arial" w:eastAsia="Times New Roman" w:hAnsi="Arial" w:cs="Arial"/>
          <w:color w:val="000000"/>
          <w:lang w:eastAsia="es-CO"/>
        </w:rPr>
        <w:t>  </w:t>
      </w:r>
      <w:bookmarkStart w:id="1180" w:name="ver_30073825"/>
      <w:bookmarkEnd w:id="1180"/>
    </w:p>
    <w:p w14:paraId="7BE47925" w14:textId="79B8D707" w:rsidR="00FC79C1" w:rsidRPr="009342F9" w:rsidRDefault="00FC79C1" w:rsidP="00D4095E">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SECCIÓN 3</w:t>
      </w:r>
    </w:p>
    <w:p w14:paraId="07088239" w14:textId="77777777" w:rsidR="00FC79C1" w:rsidRPr="009342F9" w:rsidRDefault="00FC79C1" w:rsidP="00D4095E">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ANUNCIO</w:t>
      </w:r>
    </w:p>
    <w:p w14:paraId="6C7868E5"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181" w:name="ver_30073826"/>
      <w:bookmarkEnd w:id="1181"/>
    </w:p>
    <w:p w14:paraId="625D0F2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2.2.4.3.3.1 Anuncio de los PIDU. El estudio de prefactibilidad del PIDU por parte del Ministerio de Ambiente, Vivienda y Desarrollo Territorial culminará con su anuncio mediante resolución expedida por el Ministerio. </w:t>
      </w:r>
    </w:p>
    <w:p w14:paraId="271A3B3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45F22E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El acto administrativo que constituye el anuncio del PIDU tendrá, por lo menos, el siguiente contenido: </w:t>
      </w:r>
    </w:p>
    <w:p w14:paraId="40CA8A9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5330C0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La delimitación del área de planificación preliminar mediante cartera de coordenadas. </w:t>
      </w:r>
    </w:p>
    <w:p w14:paraId="0260841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BB743C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La orden de solicitar la práctica de avalúos de referencia para determinar el precio del suelo antes del anuncio del proyecto, en caso de que no se hubiesen realizado a la fecha. </w:t>
      </w:r>
    </w:p>
    <w:p w14:paraId="50AF638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38A6B7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3. La orden de publicación del anuncio en el Diario Oficial, Gaceta o registro municipal o distrital, o en el medio oficial idóneo del respectivo municipio o distrito y en un diario de amplia circulación en el municipio o distrito. </w:t>
      </w:r>
    </w:p>
    <w:p w14:paraId="204A89C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69387F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Harán parte de la resolución los siguientes documentos: </w:t>
      </w:r>
    </w:p>
    <w:p w14:paraId="44D3897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24E3ED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4.1 Documento Técnico de Soporte de Prefactibilidad que dé cuenta de lo previsto en los artículos 2.2.4.3.2.1 y 2.2.4.3.2.2 del presente decreto. </w:t>
      </w:r>
    </w:p>
    <w:p w14:paraId="0ECD0A4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B0F452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4.2 Plano que delimita mediante coordenadas geográficas el área preliminar en la cual se formulará el PIDU, con el señalamiento y localización de los suelos de protección en los términos del artículo 35 de la Ley 388 de 1997, la identificación y delimitación de las áreas de conservación y protección ambiental, las zonas de riesgos. </w:t>
      </w:r>
    </w:p>
    <w:p w14:paraId="43DC6BA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A1A4C4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4.3 Plano con la relación e identificación de los predios y sus propietarios. </w:t>
      </w:r>
    </w:p>
    <w:p w14:paraId="5DECB6C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D2DB81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1°. Contra el acto administrativo mediante el cual se anuncia el PIDU, no procede recurso alguno. </w:t>
      </w:r>
    </w:p>
    <w:p w14:paraId="3DFCB14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22A105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Parágrafo 2°. El anuncio de que trata este artículo no generará obligación de formular o adoptar el PIDU ni obligará al Ministerio de Ambiente, Vivienda y Desarrollo Territorial a presentar oferta de compra sobre los bienes objeto </w:t>
      </w:r>
      <w:proofErr w:type="gramStart"/>
      <w:r w:rsidRPr="009342F9">
        <w:rPr>
          <w:rFonts w:ascii="Arial" w:eastAsia="Times New Roman" w:hAnsi="Arial" w:cs="Arial"/>
          <w:color w:val="000000"/>
          <w:lang w:eastAsia="es-CO"/>
        </w:rPr>
        <w:t>del mismo</w:t>
      </w:r>
      <w:proofErr w:type="gramEnd"/>
      <w:r w:rsidRPr="009342F9">
        <w:rPr>
          <w:rFonts w:ascii="Arial" w:eastAsia="Times New Roman" w:hAnsi="Arial" w:cs="Arial"/>
          <w:color w:val="000000"/>
          <w:lang w:eastAsia="es-CO"/>
        </w:rPr>
        <w:t>. </w:t>
      </w:r>
    </w:p>
    <w:p w14:paraId="42C0C24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7E8EE6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3°. Los efectos del anuncio cesarán cuando el Ministerio de Ambiente, Vivienda y Desarrollo Territorial archive la solicitud de PIDU mediante acto administrativo por cualquiera de las causales previstas en este decreto. </w:t>
      </w:r>
    </w:p>
    <w:p w14:paraId="3E0E1D5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E88504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4°. Para efectos del anuncio se tendrá en cuenta lo establecido en el parágrafo 1° del artículo 61 de la Ley 388 de 1997. </w:t>
      </w:r>
    </w:p>
    <w:p w14:paraId="05709D97" w14:textId="7668B024"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182" w:name="ver_30073842"/>
      <w:bookmarkEnd w:id="1182"/>
    </w:p>
    <w:p w14:paraId="4C5A630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2.2.4.3.3.2 Requisitos para practicar los avalúos. Los avalúos de referencia tienen por objeto determinar el precio del suelo antes del respectivo anuncio y deberán tener en cuenta la reglamentación urbanística vigente antes del anuncio y en ningún caso incorporarán las expectativas que pueda generar el PIDU. </w:t>
      </w:r>
    </w:p>
    <w:p w14:paraId="4295CDB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802054E" w14:textId="77777777" w:rsidR="00FC79C1" w:rsidRPr="009342F9" w:rsidRDefault="00FC79C1" w:rsidP="00FC79C1">
      <w:pPr>
        <w:spacing w:after="0" w:line="240" w:lineRule="auto"/>
        <w:jc w:val="both"/>
        <w:rPr>
          <w:rFonts w:ascii="Arial" w:eastAsia="Times New Roman" w:hAnsi="Arial" w:cs="Arial"/>
          <w:color w:val="000000"/>
          <w:lang w:eastAsia="es-CO"/>
        </w:rPr>
      </w:pPr>
      <w:r w:rsidRPr="231E957E">
        <w:rPr>
          <w:rFonts w:ascii="Arial" w:eastAsia="Times New Roman" w:hAnsi="Arial" w:cs="Arial"/>
          <w:color w:val="000000" w:themeColor="text1"/>
          <w:lang w:eastAsia="es-CO"/>
        </w:rPr>
        <w:t>Parágrafo. Al valor comercial al que se refiere el presente artículo, se le descontará el monto correspondiente a la plusvalía o mayor valor generado por el anuncio del proyecto u obra que constituye el motivo de utilidad pública para la adquisición, salvo el caso en que el propietario hubiere pagado la participación en plusvalía o la contribución de valorización, según sea del caso. </w:t>
      </w:r>
    </w:p>
    <w:p w14:paraId="4F9C3E44" w14:textId="48C48214" w:rsidR="00AD58C2" w:rsidRDefault="00FC79C1" w:rsidP="00C27507">
      <w:pPr>
        <w:spacing w:after="0" w:line="240" w:lineRule="auto"/>
        <w:jc w:val="both"/>
        <w:rPr>
          <w:rFonts w:ascii="Arial" w:eastAsia="Times New Roman" w:hAnsi="Arial" w:cs="Arial"/>
          <w:color w:val="000000"/>
          <w:lang w:eastAsia="es-CO"/>
        </w:rPr>
      </w:pPr>
      <w:r w:rsidRPr="231E957E">
        <w:rPr>
          <w:rFonts w:ascii="Arial" w:eastAsia="Times New Roman" w:hAnsi="Arial" w:cs="Arial"/>
          <w:color w:val="000000" w:themeColor="text1"/>
          <w:lang w:eastAsia="es-CO"/>
        </w:rPr>
        <w:t>  </w:t>
      </w:r>
      <w:bookmarkStart w:id="1183" w:name="ver_30073843"/>
      <w:bookmarkEnd w:id="1183"/>
    </w:p>
    <w:p w14:paraId="6CB0A595" w14:textId="54A6F3BE" w:rsidR="00FC79C1" w:rsidRPr="009342F9" w:rsidRDefault="00FC79C1" w:rsidP="00C27507">
      <w:pPr>
        <w:spacing w:after="0" w:line="240" w:lineRule="auto"/>
        <w:jc w:val="center"/>
        <w:rPr>
          <w:rFonts w:ascii="Arial" w:eastAsia="Times New Roman" w:hAnsi="Arial" w:cs="Arial"/>
          <w:b/>
          <w:bCs/>
          <w:color w:val="000000"/>
          <w:lang w:eastAsia="es-CO"/>
        </w:rPr>
      </w:pPr>
      <w:r w:rsidRPr="231E957E">
        <w:rPr>
          <w:rFonts w:ascii="Arial" w:eastAsia="Times New Roman" w:hAnsi="Arial" w:cs="Arial"/>
          <w:b/>
          <w:color w:val="000000" w:themeColor="text1"/>
          <w:lang w:eastAsia="es-CO"/>
        </w:rPr>
        <w:t>SECCIÓN 4</w:t>
      </w:r>
    </w:p>
    <w:p w14:paraId="4FCD4149" w14:textId="77777777" w:rsidR="00FC79C1" w:rsidRDefault="00FC79C1" w:rsidP="00D4095E">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FORMULACIÓN</w:t>
      </w:r>
    </w:p>
    <w:p w14:paraId="03AECBAA" w14:textId="77777777" w:rsidR="00AD58C2" w:rsidRPr="009342F9" w:rsidRDefault="00AD58C2" w:rsidP="00D4095E">
      <w:pPr>
        <w:spacing w:after="0" w:line="240" w:lineRule="auto"/>
        <w:jc w:val="center"/>
        <w:rPr>
          <w:rFonts w:ascii="Arial" w:eastAsia="Times New Roman" w:hAnsi="Arial" w:cs="Arial"/>
          <w:b/>
          <w:bCs/>
          <w:color w:val="000000"/>
          <w:lang w:eastAsia="es-CO"/>
        </w:rPr>
      </w:pPr>
    </w:p>
    <w:p w14:paraId="104E669D" w14:textId="23E198D1" w:rsidR="00FC79C1" w:rsidRPr="009342F9" w:rsidRDefault="00FC79C1" w:rsidP="00D4095E">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SUBSECCIÓN 1</w:t>
      </w:r>
    </w:p>
    <w:p w14:paraId="2AC34763" w14:textId="77777777" w:rsidR="00FC79C1" w:rsidRPr="009342F9" w:rsidRDefault="00FC79C1" w:rsidP="00D4095E">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ASPECTOS GENERALES DE LA FORMULACIÓN DEL PIDU</w:t>
      </w:r>
    </w:p>
    <w:p w14:paraId="20967D34"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184" w:name="ver_30073844"/>
      <w:bookmarkEnd w:id="1184"/>
    </w:p>
    <w:p w14:paraId="484DFE5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2.2.4.3.4.1.1 Formulación de los PIDU. Una vez el Ministerio de Ambiente, Vivienda y Desarrollo Territorial hubiere expedido el acto administrativo de que trata el artículo 2.2.4.3.3.1 del presente decreto, se iniciará la fase de formulación el proyecto de PIDU con la elaboración </w:t>
      </w:r>
      <w:r w:rsidRPr="009342F9">
        <w:rPr>
          <w:rFonts w:ascii="Arial" w:eastAsia="Times New Roman" w:hAnsi="Arial" w:cs="Arial"/>
          <w:color w:val="000000"/>
          <w:lang w:eastAsia="es-CO"/>
        </w:rPr>
        <w:lastRenderedPageBreak/>
        <w:t>del documento técnico de soporte (DTS) a que hace referencia el artículo 2.2.4.3.4.1.2 con el fin de someterlo al correspondiente análisis de viabilidad. </w:t>
      </w:r>
    </w:p>
    <w:p w14:paraId="73244B1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262981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Cuando la iniciativa del PIDU provenga de una entidad territorial o un particular, los interesados deberán presentar dentro de los seis (6) meses siguientes a la publicación del acto administrativo mediante el cual se anuncia el respectivo PIDU, prorrogables a solicitud de parte, hasta por dos (2) meses, la formulación del proyecto de PIDU con el documento técnico de soporte. La presentación de esta iniciativa ante el Ministerio no genera ningún tipo de obligación para su adopción. </w:t>
      </w:r>
    </w:p>
    <w:p w14:paraId="75EA6B4D" w14:textId="4E4C8D4B"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185" w:name="ver_30073845"/>
      <w:bookmarkEnd w:id="1185"/>
    </w:p>
    <w:p w14:paraId="3D236FD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2.2.4.3.4.1.2 Documento técnico de soporte (DTS) para la formulación de los PIDU. Con la solicitud de formulación del proyecto de PIDU, el interesado deberá anexar un documento técnico de soporte que incluya: </w:t>
      </w:r>
    </w:p>
    <w:p w14:paraId="1386898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B562A7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Objeto, descripción y localización del PIDU. </w:t>
      </w:r>
    </w:p>
    <w:p w14:paraId="23A8538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B99274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Delimitación del área de planificación del PIDU mediante coordenadas geográficas donde se desarrollarán las actuaciones urbanísticas e identificación de los predios integrantes de dicha área, incluyendo el propietario y número de matrícula inmobiliaria y/o cédula catastral del predio. En ningún caso la delimitación definitiva del área de planificación donde se desarrollarán las actuaciones urbanísticas previstas en las normas que adopte el PIDU, podrá superar el área de planificación delimitada en el anuncio. </w:t>
      </w:r>
    </w:p>
    <w:p w14:paraId="0D84A25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454AB6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La propuesta del potencial de unidades habitacionales para atender las necesidades de vivienda del ámbito de atención territorial del PIDU, de conformidad con lo previsto en el artículo 2.2.4.3.1.3 del presente decreto. </w:t>
      </w:r>
    </w:p>
    <w:p w14:paraId="2F3FCF4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DFEC5B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Formulación general de la estructura urbana, incluyendo la estructura ecológica principal, el sistema de movilidad y transporte, el sistema general de servicios públicos y los sistemas de espacio público y equipamientos. </w:t>
      </w:r>
    </w:p>
    <w:p w14:paraId="71F47DF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B9116D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 Proyecto de normas urbanísticas necesarias para el desarrollo de los usos contemplados en cada una de las unidades de ejecución o gestión, así como las condiciones de edificabilidad y de localización de los usos previstos en el PIDU. </w:t>
      </w:r>
    </w:p>
    <w:p w14:paraId="1826133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7BD02E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6. Estructuración financiera del PIDU que incluya al menos el presupuesto general, las fuentes de financiación y el cronograma de actividades. </w:t>
      </w:r>
    </w:p>
    <w:p w14:paraId="7924EF1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8F4644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7. Los instrumentos de manejo del suelo, captación de plusvalías, reparto de cargas y beneficios, procedimientos de gestión, evaluación financiera de las obras de urbanización y su programa de ejecución, junto al programa de Financiamiento. </w:t>
      </w:r>
    </w:p>
    <w:p w14:paraId="72B6B58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65DEFE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8. Soporte de las áreas fuera del PIDU que se requieran para ejecutar las obras exteriores de conexión del PIDU con las redes principales de infraestructura vial y de servicios públicos. </w:t>
      </w:r>
    </w:p>
    <w:p w14:paraId="3CCA3DD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5B2A29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Anexo al documento técnico de soporte de formulación, se deberán entregar los siguientes estudios técnicos y planos: </w:t>
      </w:r>
    </w:p>
    <w:p w14:paraId="21154E8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971932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1. Estudio ambiental que contenga al menos: (i) un diagnóstico ambiental que incluya la identificación y delimitación de la estructura ecológica principal y las áreas que deben ser objeto de especial protección ambiental de acuerdo con la legislación vigente, (ii) los inmuebles o áreas </w:t>
      </w:r>
      <w:r w:rsidRPr="009342F9">
        <w:rPr>
          <w:rFonts w:ascii="Arial" w:eastAsia="Times New Roman" w:hAnsi="Arial" w:cs="Arial"/>
          <w:color w:val="000000"/>
          <w:lang w:eastAsia="es-CO"/>
        </w:rPr>
        <w:lastRenderedPageBreak/>
        <w:t>de patrimonio cultural, (iii) la evaluación de aspectos ambientales (identificación y cuantificación de los recursos naturales renovables requeridos para el proyecto y la identificación, evaluación y priorización de impactos ambientales positivos y negativos), (</w:t>
      </w:r>
      <w:proofErr w:type="spellStart"/>
      <w:r w:rsidRPr="009342F9">
        <w:rPr>
          <w:rFonts w:ascii="Arial" w:eastAsia="Times New Roman" w:hAnsi="Arial" w:cs="Arial"/>
          <w:color w:val="000000"/>
          <w:lang w:eastAsia="es-CO"/>
        </w:rPr>
        <w:t>iv</w:t>
      </w:r>
      <w:proofErr w:type="spellEnd"/>
      <w:r w:rsidRPr="009342F9">
        <w:rPr>
          <w:rFonts w:ascii="Arial" w:eastAsia="Times New Roman" w:hAnsi="Arial" w:cs="Arial"/>
          <w:color w:val="000000"/>
          <w:lang w:eastAsia="es-CO"/>
        </w:rPr>
        <w:t>) la sustracción de áreas de reserva forestal cuando a ello hubiere lugar, (v) la identificación y zonificación de amenazas y riesgos así como las acciones para su mitigación, y (vi) las medidas de mitigación, compensación y/o eliminación de los impactos ambientales identificados. </w:t>
      </w:r>
    </w:p>
    <w:p w14:paraId="2527861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850771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Estudio de títulos de los predios que hacen parte del área de delimitación propuesta. </w:t>
      </w:r>
    </w:p>
    <w:p w14:paraId="41F5EA4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2286FF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Estudios técnicos de soporte necesarios para justificar las propuestas que se incorporen en el PIDU, tales como: (i) hidrológico e hidráulico; (ii) arqueológico; (iii) estudio de geología y suelo: (</w:t>
      </w:r>
      <w:proofErr w:type="spellStart"/>
      <w:r w:rsidRPr="009342F9">
        <w:rPr>
          <w:rFonts w:ascii="Arial" w:eastAsia="Times New Roman" w:hAnsi="Arial" w:cs="Arial"/>
          <w:color w:val="000000"/>
          <w:lang w:eastAsia="es-CO"/>
        </w:rPr>
        <w:t>iv</w:t>
      </w:r>
      <w:proofErr w:type="spellEnd"/>
      <w:r w:rsidRPr="009342F9">
        <w:rPr>
          <w:rFonts w:ascii="Arial" w:eastAsia="Times New Roman" w:hAnsi="Arial" w:cs="Arial"/>
          <w:color w:val="000000"/>
          <w:lang w:eastAsia="es-CO"/>
        </w:rPr>
        <w:t>) capacidad vial; (v) topografía; y, (vi) componente social. </w:t>
      </w:r>
    </w:p>
    <w:p w14:paraId="345B507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E2A858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Plano urbanístico general y plano urbanístico de detalle para el desarrollo del uso residencial para VIS y/o VIP contemplado en el PIDU, entendido como la propuesta de implantación urbanística de las áreas residenciales con tipología para vivienda de interés social y/o de interés prioritaria contemplados en el PIDU. </w:t>
      </w:r>
    </w:p>
    <w:p w14:paraId="30514A8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9A52FF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 Los planos requeridos para la presentación del PIDU. </w:t>
      </w:r>
    </w:p>
    <w:p w14:paraId="112E6B3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CD46F0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El Ministerio de Ambiente, Vivienda y Desarrollo Territorial mediante resolución desarrollará los requisitos técnicos, financieros y jurídicos establecidos en el presente artículo y podrá señalar requisitos complementarios para la elaboración de los estudios de que trata este artículo. </w:t>
      </w:r>
    </w:p>
    <w:p w14:paraId="6D75E0FF" w14:textId="77777777" w:rsidR="00C27507" w:rsidRDefault="00C27507" w:rsidP="00FC79C1">
      <w:pPr>
        <w:spacing w:after="0" w:line="240" w:lineRule="auto"/>
        <w:jc w:val="both"/>
        <w:rPr>
          <w:rFonts w:ascii="Arial" w:eastAsia="Times New Roman" w:hAnsi="Arial" w:cs="Arial"/>
          <w:color w:val="000000"/>
          <w:lang w:eastAsia="es-CO"/>
        </w:rPr>
      </w:pPr>
      <w:bookmarkStart w:id="1186" w:name="ver_30073848"/>
      <w:bookmarkEnd w:id="1186"/>
    </w:p>
    <w:p w14:paraId="0CB4BA04" w14:textId="2B08035D"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2.2.4.3.4.1.3 Análisis de viabilidad técnica, financiera y jurídica del proyecto de PIDU. El Ministerio de Ambiente, Vivienda y Desarrollo Territorial o la entidad que este designe para el efecto, procederá a efectuar la evaluación técnica, financiera y jurídica del proyecto de PIDU. </w:t>
      </w:r>
    </w:p>
    <w:p w14:paraId="0C50E35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62EBA8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Una vez radicado el proyecto de PIDU así como su Documento Técnico de Soporte, previa verificación del cumplimiento de todos los requisitos contenidos en los artículos 2.2.4.3.4.1.1 y 2.2.4.3.4.1.2 del presente decreto, éste se someterá al análisis de viabilidad ambiental, urbanística, jurídica y financiera para lo cual el Ministerio de Ambiente, Vivienda y Desarrollo Territorial contará con un término de cuarenta y cinco (45) días hábiles, contados a partir de su presentación en legal y debida forma. </w:t>
      </w:r>
    </w:p>
    <w:p w14:paraId="19B5B34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AAC0236" w14:textId="77777777" w:rsidR="00FC79C1" w:rsidRPr="009342F9" w:rsidRDefault="00FC79C1" w:rsidP="00FC79C1">
      <w:pPr>
        <w:spacing w:after="0" w:line="240" w:lineRule="auto"/>
        <w:jc w:val="both"/>
        <w:rPr>
          <w:rFonts w:ascii="Arial" w:eastAsia="Times New Roman" w:hAnsi="Arial" w:cs="Arial"/>
          <w:color w:val="000000"/>
          <w:lang w:eastAsia="es-CO"/>
        </w:rPr>
      </w:pPr>
      <w:r w:rsidRPr="231E957E">
        <w:rPr>
          <w:rFonts w:ascii="Arial" w:eastAsia="Times New Roman" w:hAnsi="Arial" w:cs="Arial"/>
          <w:color w:val="000000" w:themeColor="text1"/>
          <w:lang w:eastAsia="es-CO"/>
        </w:rPr>
        <w:t>Parágrafo. El Ministerio de Ambiente, Vivienda y Desarrollo Territorial podrá señalar mediante resolución los criterios para efectuar el estudio de viabilidad técnica, financiera y jurídica, de la formulación del proyecto de PIDU. </w:t>
      </w:r>
    </w:p>
    <w:p w14:paraId="5160552D" w14:textId="5621E8D2" w:rsidR="00AD58C2"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187" w:name="ver_30073849"/>
      <w:bookmarkEnd w:id="1187"/>
    </w:p>
    <w:p w14:paraId="6C487699" w14:textId="6DED9F98" w:rsidR="00FC79C1" w:rsidRPr="009342F9" w:rsidRDefault="00FC79C1" w:rsidP="00D4095E">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SUBSECCIÓN 2</w:t>
      </w:r>
    </w:p>
    <w:p w14:paraId="32FAC365" w14:textId="77777777" w:rsidR="00FC79C1" w:rsidRPr="009342F9" w:rsidRDefault="00FC79C1" w:rsidP="00D4095E">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PROCESO DE CONCERTACIÓN CON EL MUNICIPIO O DISTRITO</w:t>
      </w:r>
    </w:p>
    <w:p w14:paraId="5926BE40"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188" w:name="ver_30073850"/>
      <w:bookmarkEnd w:id="1188"/>
    </w:p>
    <w:p w14:paraId="3E5D7EC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2.2.4.3.4.2.1 Concertación con el municipio o distrito. Una vez el proyecto de PIDU cuente con viabilidad técnica, financiera y jurídica y el documento técnico de soporte incluya las observaciones efectuadas, si a ello hubiere lugar, el Ministerio de Ambiente, Vivienda y Desarrollo Territorial iniciará el proceso de concertación con el alcalde municipal o distrital. </w:t>
      </w:r>
    </w:p>
    <w:p w14:paraId="23D691B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9A0A3A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Para la concertación del proyecto se dispondrá de un término de quince (15) días hábiles contados a partir de la radicación de la solicitud ante el respectivo alcalde, prorrogables hasta por un término adicional de quince (15) días hábiles cuando la fase de concertación no haya concluido </w:t>
      </w:r>
      <w:r w:rsidRPr="009342F9">
        <w:rPr>
          <w:rFonts w:ascii="Arial" w:eastAsia="Times New Roman" w:hAnsi="Arial" w:cs="Arial"/>
          <w:color w:val="000000"/>
          <w:lang w:eastAsia="es-CO"/>
        </w:rPr>
        <w:lastRenderedPageBreak/>
        <w:t>en el término inicial. El resultado de la concertación constará en acto administrativo expedido por el alcalde municipal o distrital. </w:t>
      </w:r>
    </w:p>
    <w:p w14:paraId="22B3CBF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6A3708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caso de que no se llegare a ningún acuerdo, después de transcurridos los plazos establecidos en el presente artículo, el Ministerio de Ambiente, Vivienda y Desarrollo Territorial podrá someter nuevamente y por una sola vez el proyecto de PIDU a concertación con el respectivo alcalde municipal o distrital, después de incluir los ajustes que considere pertinentes. Si en esta segunda oportunidad, no hubiere concertación dentro de los cinco (5) días hábiles siguientes a la radicación de la solicitud, se entenderá negada y, por consiguiente, el Ministerio procederá a su archivo y los documentos serán devueltos al interesado. </w:t>
      </w:r>
    </w:p>
    <w:p w14:paraId="4075EE93" w14:textId="546133D8"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189" w:name="ver_30073851"/>
      <w:bookmarkEnd w:id="1189"/>
    </w:p>
    <w:p w14:paraId="074E5E7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2.2.4.3.4.2.2 Convenio entre el Ministerio de Ambiente, Vivienda y Desarrollo Territorial y el alcalde del municipio o distrito. En caso de concertación entre el alcalde y el Ministerio de Ambiente, Vivienda y Desarrollo Territorial, esta fase culminará con la suscripción de un convenio que contendrá al menos los siguientes aspectos: </w:t>
      </w:r>
    </w:p>
    <w:p w14:paraId="6489AAC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069880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Objeto y plazo. </w:t>
      </w:r>
    </w:p>
    <w:p w14:paraId="3B95734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F743DB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Condiciones de cooperación y compromisos entre el Ministerio de Ambiente, Vivienda y Desarrollo Territorial y el alcalde del municipio o distrito. </w:t>
      </w:r>
    </w:p>
    <w:p w14:paraId="5971586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C59FC4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Compromisos por parte del alcalde para agilizar el trámite de aprobación de los PIDU ante las distintas instancias. </w:t>
      </w:r>
    </w:p>
    <w:p w14:paraId="53300FD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5DCF2F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Modificaciones técnicas acordadas entre las partes al proyecto de PIDU, de acuerdo con las observaciones presentadas por el municipio o distrito. </w:t>
      </w:r>
    </w:p>
    <w:p w14:paraId="3860CBB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474D08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 Compromiso que asumirá cada una de las partes para la ejecución del PIDU. </w:t>
      </w:r>
    </w:p>
    <w:p w14:paraId="40708DB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8FA0BE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Para los PIDU Categoría 1, una vez suscrito el respectivo Convenio entre el Ministerio de Ambiente, Vivienda y Desarrollo Territorial y el alcalde del municipio o distrito, se adelantará el trámite de adopción, de acuerdo con lo dispuesto en el numeral 1 del artículo 2.2.4.3.4.4.1 del presente decreto. </w:t>
      </w:r>
    </w:p>
    <w:p w14:paraId="525684AA" w14:textId="2F0820A5"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190" w:name="ver_30073852"/>
      <w:bookmarkEnd w:id="1190"/>
    </w:p>
    <w:p w14:paraId="5C2C5ED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2.2.4.3.4.2.3 Participación democrática. La participación democrática en los PIDU que las personas interesadas en la respectiva operación urbana integral puedan presentar observaciones y recomendaciones al proyecto de PIDU. </w:t>
      </w:r>
    </w:p>
    <w:p w14:paraId="2D3EA22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6DFF31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Para los PIDU categoría 1, la participación democrática se garantizará de acuerdo con los mecanismos previstos por la Ley 388 de 1997 y demás normatividad vigente sobre la materia para el instrumento con el que se deba adoptar la respectiva operación urbana según el plan de ordenamiento territorial. </w:t>
      </w:r>
    </w:p>
    <w:p w14:paraId="687E487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FAE1DF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Para los PIDU Categoría 2, el proyecto de PIDU estará disponible durante todo el trámite de formulación en las instalaciones de la alcaldía del respectivo municipio o distrito. Una vez suscrito el Convenio entre el Ministerio de Ambiente, Vivienda y Desarrollo Territorial y el alcalde del municipio o distrito, el </w:t>
      </w:r>
      <w:proofErr w:type="gramStart"/>
      <w:r w:rsidRPr="009342F9">
        <w:rPr>
          <w:rFonts w:ascii="Arial" w:eastAsia="Times New Roman" w:hAnsi="Arial" w:cs="Arial"/>
          <w:color w:val="000000"/>
          <w:lang w:eastAsia="es-CO"/>
        </w:rPr>
        <w:t>Alcalde</w:t>
      </w:r>
      <w:proofErr w:type="gramEnd"/>
      <w:r w:rsidRPr="009342F9">
        <w:rPr>
          <w:rFonts w:ascii="Arial" w:eastAsia="Times New Roman" w:hAnsi="Arial" w:cs="Arial"/>
          <w:color w:val="000000"/>
          <w:lang w:eastAsia="es-CO"/>
        </w:rPr>
        <w:t xml:space="preserve"> convocará, dentro de los dos (2) días siguientes a la suscripción del convenio, a una audiencia pública con el objeto de que los interesados presenten y expongan sus observaciones y recomendaciones. </w:t>
      </w:r>
    </w:p>
    <w:p w14:paraId="65C19EA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FF00611" w14:textId="77777777" w:rsidR="00FC79C1"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La respuesta a las recomendaciones y observaciones presentadas por los interesados se resolverá concertadamente entre el Ministerio de Ambiente, Vivienda y Desarrollo Territorial y el alcalde del municipio previa la adopción del respectivo proyecto. </w:t>
      </w:r>
    </w:p>
    <w:p w14:paraId="4B30F510" w14:textId="77777777" w:rsidR="00AD58C2" w:rsidRPr="009342F9" w:rsidRDefault="00AD58C2" w:rsidP="00FC79C1">
      <w:pPr>
        <w:spacing w:after="0" w:line="240" w:lineRule="auto"/>
        <w:jc w:val="both"/>
        <w:rPr>
          <w:rFonts w:ascii="Arial" w:eastAsia="Times New Roman" w:hAnsi="Arial" w:cs="Arial"/>
          <w:color w:val="000000"/>
          <w:lang w:eastAsia="es-CO"/>
        </w:rPr>
      </w:pPr>
    </w:p>
    <w:p w14:paraId="3DBCBDC3" w14:textId="50108C38" w:rsidR="00FC79C1" w:rsidRPr="009342F9" w:rsidRDefault="00FC79C1" w:rsidP="00D4095E">
      <w:pPr>
        <w:spacing w:after="0" w:line="240" w:lineRule="auto"/>
        <w:jc w:val="center"/>
        <w:rPr>
          <w:rFonts w:ascii="Arial" w:eastAsia="Times New Roman" w:hAnsi="Arial" w:cs="Arial"/>
          <w:b/>
          <w:bCs/>
          <w:color w:val="000000"/>
          <w:lang w:eastAsia="es-CO"/>
        </w:rPr>
      </w:pPr>
      <w:bookmarkStart w:id="1191" w:name="ver_30073855"/>
      <w:bookmarkEnd w:id="1191"/>
      <w:r w:rsidRPr="009342F9">
        <w:rPr>
          <w:rFonts w:ascii="Arial" w:eastAsia="Times New Roman" w:hAnsi="Arial" w:cs="Arial"/>
          <w:b/>
          <w:bCs/>
          <w:color w:val="000000"/>
          <w:lang w:eastAsia="es-CO"/>
        </w:rPr>
        <w:t>SUBSECCIÓN 3</w:t>
      </w:r>
    </w:p>
    <w:p w14:paraId="0CC8AB7F" w14:textId="77777777" w:rsidR="00FC79C1" w:rsidRPr="009342F9" w:rsidRDefault="00FC79C1" w:rsidP="00D4095E">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TRÁMITES ADICIONALES PARA LOS PIDU CATEGORÍA 2</w:t>
      </w:r>
    </w:p>
    <w:p w14:paraId="0967EFD2"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192" w:name="ver_30073858"/>
      <w:bookmarkEnd w:id="1192"/>
    </w:p>
    <w:p w14:paraId="7368061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2.2.4.3.4.3.1 Concertación con la autoridad ambiental. Para los PIDU Categoría 2, una vez suscrito el Convenio de que trata el presente artículo y surtida la etapa de participación democrática prevista en el artículo anterior, el Ministerio de Ambiente, Vivienda y Desarrollo Territorial, o el interesado en el PIDU, contará con diez (10) días hábiles para ajustar el Proyecto de PIDU y su correspondiente documento técnico de soporte, de conformidad con los acuerdos que resultaren del proceso de concertación con el alcalde del municipio o distrito. Una vez ajustado el proyecto, el Ministerio de Ambiente, Vivienda y Desarrollo Territorial lo someterá al proceso de concertación con la autoridad ambiental correspondiente, cuando considere que sea necesario definir la delimitación y reglamentación de las áreas de reserva y protección ambiental y demás condiciones para la protección y conservación de los recursos naturales y paisajísticos. </w:t>
      </w:r>
    </w:p>
    <w:p w14:paraId="78BF2A3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8C2D20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Una vez el Ministerio de Ambiente, Vivienda y Desarrollo Territorial radique el proyecto de PIDU y su documento técnico de soporte ante la autoridad ambiental correspondiente, esta dispondrá de un término de ocho (8) días hábiles, prorrogables por cuatro (4) días hábiles, para adelantar la concertación ambiental. </w:t>
      </w:r>
    </w:p>
    <w:p w14:paraId="4501096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3D17AB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Si la autoridad ambiental no se hubiere pronunciado definitivamente, mediante acto administrativo dentro de este término o si habiéndose pronunciado no se lograra la concertación, le corresponderá al Ministerio de Ambiente, Vivienda y Desarrollo Territorial definir dichos asuntos ambientales, para lo que dispondrá de un término improrrogable de quince (15) días hábiles contados a partir del vencimiento del plazo anteriormente señalado. </w:t>
      </w:r>
    </w:p>
    <w:p w14:paraId="71B79950" w14:textId="25B8CBCA"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193" w:name="ver_30073861"/>
      <w:bookmarkEnd w:id="1193"/>
    </w:p>
    <w:p w14:paraId="2B8198C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2.2.4.3.4.3.2 Aprobación de los usos del suelo. Culminado el proceso de concertación ambiental, cuando a ello hubiera lugar, el Ministerio de Ambiente, Vivienda y Desarrollo Territorial radicará el proyecto de PIDU definitivo con el correspondiente documento técnico de soporte ante el alcalde del municipio o distrito. </w:t>
      </w:r>
    </w:p>
    <w:p w14:paraId="25CF214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63C547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El alcalde someterá a consideración del concejo municipal o distrital, dentro de los veinte (20) días hábiles siguientes al recibo de los documentos de formulación consolidados por el Ministerio de Ambiente, Vivienda y Desarrollo Territorial, un proyecto de acuerdo que contenga las modificaciones a las normas de uso y aprovechamiento del suelo del plan de ordenamiento territorial que se requieran para asegurar la viabilidad del respectivo PIDU. </w:t>
      </w:r>
    </w:p>
    <w:p w14:paraId="23824C5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8B7E5B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En el evento en que el concejo estuviere en receso, el alcalde deberá convocarlo a sesiones extraordinarias. Toda modificación que pretenda introducir el Concejo al proyecto de Acuerdo deberá demostrar las ventajas de la misma sobre la solución de ordenamiento propuesta y contar con la aceptación previa y por escrito del </w:t>
      </w:r>
      <w:proofErr w:type="gramStart"/>
      <w:r w:rsidRPr="009342F9">
        <w:rPr>
          <w:rFonts w:ascii="Arial" w:eastAsia="Times New Roman" w:hAnsi="Arial" w:cs="Arial"/>
          <w:color w:val="000000"/>
          <w:lang w:eastAsia="es-CO"/>
        </w:rPr>
        <w:t>Alcalde</w:t>
      </w:r>
      <w:proofErr w:type="gramEnd"/>
      <w:r w:rsidRPr="009342F9">
        <w:rPr>
          <w:rFonts w:ascii="Arial" w:eastAsia="Times New Roman" w:hAnsi="Arial" w:cs="Arial"/>
          <w:color w:val="000000"/>
          <w:lang w:eastAsia="es-CO"/>
        </w:rPr>
        <w:t>. </w:t>
      </w:r>
    </w:p>
    <w:p w14:paraId="21F4B98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47F642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Transcurridos veinte (20) días calendario desde la presentación de la propuesta de modificación a las normas del plan de ordenamiento sin que el Concejo Municipal o distrital apruebe las modificaciones al mismo, el </w:t>
      </w:r>
      <w:proofErr w:type="gramStart"/>
      <w:r w:rsidRPr="009342F9">
        <w:rPr>
          <w:rFonts w:ascii="Arial" w:eastAsia="Times New Roman" w:hAnsi="Arial" w:cs="Arial"/>
          <w:color w:val="000000"/>
          <w:lang w:eastAsia="es-CO"/>
        </w:rPr>
        <w:t>Alcalde</w:t>
      </w:r>
      <w:proofErr w:type="gramEnd"/>
      <w:r w:rsidRPr="009342F9">
        <w:rPr>
          <w:rFonts w:ascii="Arial" w:eastAsia="Times New Roman" w:hAnsi="Arial" w:cs="Arial"/>
          <w:color w:val="000000"/>
          <w:lang w:eastAsia="es-CO"/>
        </w:rPr>
        <w:t xml:space="preserve"> podrá adoptarlo mediante decreto. </w:t>
      </w:r>
    </w:p>
    <w:p w14:paraId="66316D9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146937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Parágrafo. En concordancia con lo dispuesto en el artículo 9 del Decreto Legislativo 4821 de 2010, la formulación del PIDU podrá incluir suelos que según clasificación del Instituto Geográfico </w:t>
      </w:r>
      <w:r w:rsidRPr="009342F9">
        <w:rPr>
          <w:rFonts w:ascii="Arial" w:eastAsia="Times New Roman" w:hAnsi="Arial" w:cs="Arial"/>
          <w:color w:val="000000"/>
          <w:lang w:eastAsia="es-CO"/>
        </w:rPr>
        <w:lastRenderedPageBreak/>
        <w:t>Agustín Codazzi pertenezcan a las clases I, II o III, con el fin de incorporarlos al desarrollo urbano, siempre que no sea posible destinar al efecto, suelos de diferente calidad o condición. </w:t>
      </w:r>
    </w:p>
    <w:p w14:paraId="5B9368D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6E6D7CA" w14:textId="25E01FE1" w:rsidR="00FC79C1" w:rsidRPr="009342F9" w:rsidRDefault="00FC79C1" w:rsidP="00D4095E">
      <w:pPr>
        <w:spacing w:after="0" w:line="240" w:lineRule="auto"/>
        <w:jc w:val="center"/>
        <w:rPr>
          <w:rFonts w:ascii="Arial" w:eastAsia="Times New Roman" w:hAnsi="Arial" w:cs="Arial"/>
          <w:b/>
          <w:bCs/>
          <w:color w:val="000000"/>
          <w:lang w:eastAsia="es-CO"/>
        </w:rPr>
      </w:pPr>
      <w:bookmarkStart w:id="1194" w:name="ver_30073863"/>
      <w:bookmarkEnd w:id="1194"/>
      <w:r w:rsidRPr="009342F9">
        <w:rPr>
          <w:rFonts w:ascii="Arial" w:eastAsia="Times New Roman" w:hAnsi="Arial" w:cs="Arial"/>
          <w:b/>
          <w:bCs/>
          <w:color w:val="000000"/>
          <w:lang w:eastAsia="es-CO"/>
        </w:rPr>
        <w:t>SUBSECCIÓN 4</w:t>
      </w:r>
    </w:p>
    <w:p w14:paraId="10F16529" w14:textId="77777777" w:rsidR="00FC79C1" w:rsidRPr="009342F9" w:rsidRDefault="00FC79C1" w:rsidP="00D4095E">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ADOPCIÓN</w:t>
      </w:r>
    </w:p>
    <w:p w14:paraId="17C28447"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195" w:name="ver_30073865"/>
      <w:bookmarkEnd w:id="1195"/>
    </w:p>
    <w:p w14:paraId="1C595BF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2.2.4.3.4.4.1 Adopción del PIDU. Cumplidos los trámites señalados en las fases precedentes, el Ministerio de Ambiente, Vivienda y Desarrollo Territorial adoptará mediante resolución el respectivo PIDU, así: </w:t>
      </w:r>
    </w:p>
    <w:p w14:paraId="2B2A6AE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553D4A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Adopción para PIDU categoría 1. Dentro de los diez (10) días hábiles siguientes a la suscripción del Convenio de que trata el artículo 2.2.4.3.4.2.2 del presente decreto, prorrogables hasta por un término adicional de diez días hábiles, el Ministerio de Ambiente, Vivienda y Desarrollo Territorial podrá adoptar mediante resolución el PIDU definitivo, a la cual se anexará el documento técnico soporte consolidado con las observaciones que hubiesen resultado pertinentes durante la fase de concertación con el municipio o distrito. </w:t>
      </w:r>
    </w:p>
    <w:p w14:paraId="4C12792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BBF205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Adopción para PIDU categoría 2. Cumplidos los trámites señalados en los artículos 2.2.4.3.4.2.3 y 2.2.4.3.4.3.1 del presente decreto, el Ministerio de Ambiente, Vivienda y Desarrollo Territorial, previa verificación de la conveniencia de las eventuales modificaciones introducidas por el Concejo al proyecto de acuerdo sobre usos y aprovechamientos del suelo, podrá adoptar, dentro de los treinta (30) días hábiles siguientes a la aprobación de la modificación a las normas del plan de ordenamiento territorial, mediante resolución y con carácter definitivo, el PIDU con el documento técnico de soporte, consolidado con las modificaciones que hubiesen resultado pertinentes durante la fase de aprobación ante el respectivo Concejo municipal o distrital. </w:t>
      </w:r>
    </w:p>
    <w:p w14:paraId="4DA826DD" w14:textId="5F81EF2D"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196" w:name="ver_30073867"/>
      <w:bookmarkEnd w:id="1196"/>
    </w:p>
    <w:p w14:paraId="46E7C97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2.2.4.3.4.4.2 Acto Administrativo mediante el cual se adopta el PIDU. La formulación del PIDU por parte del Ministerio de Ambiente, Vivienda y Desarrollo Territorial culminará con su adopción mediante resolución expedida por el Ministerio. El acto administrativo que adopta el PIDU tendrá, por lo menos, el siguiente contenido: </w:t>
      </w:r>
    </w:p>
    <w:p w14:paraId="4529E57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355591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Objetivos generales del PIDU. </w:t>
      </w:r>
    </w:p>
    <w:p w14:paraId="2C47335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289CA8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La delimitación del área de planificación, con su localización, límites, coordenadas, mojones e identificación predial del área a adoptar. </w:t>
      </w:r>
    </w:p>
    <w:p w14:paraId="3B2A834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8FB923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Estructura urbana (sistema ambiental, sistema de servicios públicos, sistema vial y de transporte, sistema de espacio público y equipamientos). </w:t>
      </w:r>
    </w:p>
    <w:p w14:paraId="162503C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50E9AD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Mecanismos de mitigación de amenazas y riesgos en el PIDU si a ello hubiere lugar. </w:t>
      </w:r>
    </w:p>
    <w:p w14:paraId="3C56469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4DF536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 Normas urbanísticas. </w:t>
      </w:r>
    </w:p>
    <w:p w14:paraId="168F0E2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91FAEF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6. Los instrumentos de manejo del suelo, captación de plusvalías, reparto de cargas y beneficios, procedimientos de gestión, evaluación financiera de las obras de urbanización y su programa de ejecución, junto al programa de Financiamiento. </w:t>
      </w:r>
    </w:p>
    <w:p w14:paraId="1F86F7D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7DDE37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7. Mecanismos de seguimiento y control. </w:t>
      </w:r>
    </w:p>
    <w:p w14:paraId="366C449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28F3D9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8. Harán parte integral de la resolución: </w:t>
      </w:r>
    </w:p>
    <w:p w14:paraId="7C3A148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B318C7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Plano que delimita mediante coordenadas geográficas el área de planificación del PIDU y demás cartografía anexa al documento técnico de soporte. </w:t>
      </w:r>
    </w:p>
    <w:p w14:paraId="16E708A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843AA7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Documento Técnico de Soporte de Formulación que dé cuenta de lo previsto en el artículo 2.2.4.3.4.1.2 del presente decreto. </w:t>
      </w:r>
    </w:p>
    <w:p w14:paraId="16EF48C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4C716C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Parágrafo. Una vez publicado en el Diario Oficial el acto administrativo por el cual se adopte un PIDU se enviará copia del mismo a los municipios, distritos y autoridades ambientales con jurisdicción en su área de </w:t>
      </w:r>
      <w:proofErr w:type="gramStart"/>
      <w:r w:rsidRPr="009342F9">
        <w:rPr>
          <w:rFonts w:ascii="Arial" w:eastAsia="Times New Roman" w:hAnsi="Arial" w:cs="Arial"/>
          <w:color w:val="000000"/>
          <w:lang w:eastAsia="es-CO"/>
        </w:rPr>
        <w:t>ejecución</w:t>
      </w:r>
      <w:proofErr w:type="gramEnd"/>
      <w:r w:rsidRPr="009342F9">
        <w:rPr>
          <w:rFonts w:ascii="Arial" w:eastAsia="Times New Roman" w:hAnsi="Arial" w:cs="Arial"/>
          <w:color w:val="000000"/>
          <w:lang w:eastAsia="es-CO"/>
        </w:rPr>
        <w:t xml:space="preserve"> así como a Fonvivienda. </w:t>
      </w:r>
    </w:p>
    <w:p w14:paraId="1D8C1FBF" w14:textId="122FF0A3"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197" w:name="ver_30073871"/>
      <w:bookmarkEnd w:id="1197"/>
    </w:p>
    <w:p w14:paraId="23AAA90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2.2.4.3.4.4.3 Efectos de la adopción. De conformidad con lo previsto en el artículo 6 del Decreto 4821 de 2010, la adopción de los PIDU producirá los siguientes efectos: </w:t>
      </w:r>
    </w:p>
    <w:p w14:paraId="6523EFD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EB5446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La prevalencia de sus normas que constituirán determinantes de ordenamiento y serán, por tanto, de obligada observancia por parte de los municipios, distritos y autoridades ambientales en las posteriores revisiones y modificaciones de los planes de ordenamiento territorial. </w:t>
      </w:r>
    </w:p>
    <w:p w14:paraId="7B0E04D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3DBF19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2. La obligatoriedad del cumplimiento de sus disposiciones por todas las personas de derecho público y privado. Para el efecto, las licencias de urbanización y construcción y la ejecución de las actuaciones previstas en el </w:t>
      </w:r>
      <w:proofErr w:type="gramStart"/>
      <w:r w:rsidRPr="009342F9">
        <w:rPr>
          <w:rFonts w:ascii="Arial" w:eastAsia="Times New Roman" w:hAnsi="Arial" w:cs="Arial"/>
          <w:color w:val="000000"/>
          <w:lang w:eastAsia="es-CO"/>
        </w:rPr>
        <w:t>PIDU,</w:t>
      </w:r>
      <w:proofErr w:type="gramEnd"/>
      <w:r w:rsidRPr="009342F9">
        <w:rPr>
          <w:rFonts w:ascii="Arial" w:eastAsia="Times New Roman" w:hAnsi="Arial" w:cs="Arial"/>
          <w:color w:val="000000"/>
          <w:lang w:eastAsia="es-CO"/>
        </w:rPr>
        <w:t xml:space="preserve"> se otorgarán con sujeción a las normas adoptadas en los mismos. </w:t>
      </w:r>
    </w:p>
    <w:p w14:paraId="07CFE6B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DD3423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La destinación de los predios e inmuebles incluidos en su ámbito de planificación y/o gestión a los usos urbanos y aprovechamientos que resulten aplicables en virtud de las disposiciones del PIDU. </w:t>
      </w:r>
    </w:p>
    <w:p w14:paraId="3CA101B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7CC98D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Parágrafo 1°. Los municipios y distritos en los cuales se ejecuten los PIDU serán los beneficiarios de la plusvalía que se pueda generar por la adopción de </w:t>
      </w:r>
      <w:proofErr w:type="gramStart"/>
      <w:r w:rsidRPr="009342F9">
        <w:rPr>
          <w:rFonts w:ascii="Arial" w:eastAsia="Times New Roman" w:hAnsi="Arial" w:cs="Arial"/>
          <w:color w:val="000000"/>
          <w:lang w:eastAsia="es-CO"/>
        </w:rPr>
        <w:t>los mismos</w:t>
      </w:r>
      <w:proofErr w:type="gramEnd"/>
      <w:r w:rsidRPr="009342F9">
        <w:rPr>
          <w:rFonts w:ascii="Arial" w:eastAsia="Times New Roman" w:hAnsi="Arial" w:cs="Arial"/>
          <w:color w:val="000000"/>
          <w:lang w:eastAsia="es-CO"/>
        </w:rPr>
        <w:t>, la cual deberá destinarse al desarrollo del PIDU para los fines descritos en el artículo 85 de la Ley 388 de 1997. </w:t>
      </w:r>
    </w:p>
    <w:p w14:paraId="4F110AA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BD2CDF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2°. Las áreas incluidas en un PIDU que no se encuentren en suelo urbano se considerarán incorporadas a esta clase de suelo cuando se acredite la calidad de áreas urbanizadas. Se entenderá que se encuentran urbanizadas las áreas cuyos predios cuenten con (i) la culminación de las obras y dotaciones a cargo del urbanizador sobre las zonas de cesión obligatoria contempladas en la respectiva licencia, de conformidad con las normas urbanísticas del respectivo PIDU; y, (ii) la entrega a satisfacción a los municipios y distritos y/o las empresas de servicios públicos domiciliarios correspondientes, de dichas obras y dotaciones, de acuerdo con la normatividad vigente sobre la materia. </w:t>
      </w:r>
    </w:p>
    <w:p w14:paraId="3994D453" w14:textId="3A10A77C"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198" w:name="ver_30073875"/>
      <w:bookmarkEnd w:id="1198"/>
    </w:p>
    <w:p w14:paraId="1DA2556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2.2.4.3.4.4.4 Licencias urbanísticas para la ejecución de PIDU. Corresponderá a la autoridad municipal o distrital o a los curadores urbanos, según el caso, estudiar, tramitar y expedir la licencia de urbanización en aplicación y cumplimiento de las normas adoptadas en los PIDU. </w:t>
      </w:r>
    </w:p>
    <w:p w14:paraId="0CF81FC0" w14:textId="77777777" w:rsidR="00D4095E" w:rsidRPr="009342F9" w:rsidRDefault="00D4095E" w:rsidP="00FC79C1">
      <w:pPr>
        <w:spacing w:after="0" w:line="240" w:lineRule="auto"/>
        <w:jc w:val="both"/>
        <w:rPr>
          <w:rFonts w:ascii="Arial" w:eastAsia="Times New Roman" w:hAnsi="Arial" w:cs="Arial"/>
          <w:color w:val="000000"/>
          <w:lang w:eastAsia="es-CO"/>
        </w:rPr>
      </w:pPr>
      <w:bookmarkStart w:id="1199" w:name="ver_30073879"/>
      <w:bookmarkEnd w:id="1199"/>
    </w:p>
    <w:p w14:paraId="2E2435A3" w14:textId="2233C4EB" w:rsidR="00FC79C1" w:rsidRPr="009342F9" w:rsidRDefault="00FC79C1" w:rsidP="00D4095E">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TÍTULO 5</w:t>
      </w:r>
    </w:p>
    <w:p w14:paraId="3E2A7699" w14:textId="77777777" w:rsidR="00FC79C1" w:rsidRPr="009342F9" w:rsidRDefault="00FC79C1" w:rsidP="00D4095E">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INSTRUMENTOS DE FINANCIACIÓN Y MECANISMOS DE GESTIÓN DEL DESARROLLO TERRITORIAL</w:t>
      </w:r>
    </w:p>
    <w:p w14:paraId="2BA8E05C" w14:textId="77777777" w:rsidR="00AD58C2" w:rsidRDefault="00AD58C2" w:rsidP="00D4095E">
      <w:pPr>
        <w:spacing w:after="0" w:line="240" w:lineRule="auto"/>
        <w:jc w:val="center"/>
        <w:rPr>
          <w:rFonts w:ascii="Arial" w:eastAsia="Times New Roman" w:hAnsi="Arial" w:cs="Arial"/>
          <w:b/>
          <w:bCs/>
          <w:color w:val="000000"/>
          <w:lang w:eastAsia="es-CO"/>
        </w:rPr>
      </w:pPr>
    </w:p>
    <w:p w14:paraId="7E1490E3" w14:textId="30363C02" w:rsidR="00FC79C1" w:rsidRPr="009342F9" w:rsidRDefault="00FC79C1" w:rsidP="00D4095E">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CAPÍTULO 1</w:t>
      </w:r>
    </w:p>
    <w:p w14:paraId="76075557" w14:textId="77777777" w:rsidR="00FC79C1" w:rsidRPr="009342F9" w:rsidRDefault="00FC79C1" w:rsidP="00D4095E">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PARTICIPACIÓN EN PLUSVALÍA</w:t>
      </w:r>
    </w:p>
    <w:p w14:paraId="1261D4A2" w14:textId="77777777" w:rsidR="00FC79C1" w:rsidRPr="009342F9" w:rsidRDefault="00FC79C1" w:rsidP="00D4095E">
      <w:pPr>
        <w:spacing w:after="0" w:line="240" w:lineRule="auto"/>
        <w:jc w:val="center"/>
        <w:rPr>
          <w:rFonts w:ascii="Arial" w:eastAsia="Times New Roman" w:hAnsi="Arial" w:cs="Arial"/>
          <w:b/>
          <w:bCs/>
          <w:color w:val="000000"/>
          <w:lang w:eastAsia="es-CO"/>
        </w:rPr>
      </w:pPr>
      <w:bookmarkStart w:id="1200" w:name="ver_30073882"/>
      <w:bookmarkEnd w:id="1200"/>
    </w:p>
    <w:p w14:paraId="4E26FF3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Artículo 2.2.5.1.1 Objeto y ámbito de aplicación. Las disposiciones contenidas en el presente capítulo reglamentan la estimación y liquidación de la participación en plusvalía en los procesos de urbanización y edificación de inmuebles. </w:t>
      </w:r>
    </w:p>
    <w:p w14:paraId="491A2CA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287D5B4"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201" w:name="ver_30073893"/>
      <w:bookmarkEnd w:id="1201"/>
      <w:r w:rsidRPr="009342F9">
        <w:rPr>
          <w:rFonts w:ascii="Arial" w:eastAsia="Times New Roman" w:hAnsi="Arial" w:cs="Arial"/>
          <w:color w:val="000000"/>
          <w:lang w:eastAsia="es-CO"/>
        </w:rPr>
        <w:t>Artículo 2.2.5.1.2 Participación en plusvalía. De conformidad con lo dispuesto en el presente decreto, para el otorgamiento de licencias de urbanización y/o construcción y sus modalidades sobre predios sujetos al cobro de la participación en plusvalía por cualquiera de los hechos generadores de que trata el artículo 74 de la Ley 388 de 1997, las autoridades competentes sólo podrán expedir los respectivos actos administrativos cuando el interesado acredite el pago de la participación en plusvalía. </w:t>
      </w:r>
    </w:p>
    <w:p w14:paraId="701E3BA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2E3204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todo caso, para el cálculo y liquidación de la participación en plusvalía correspondiente sólo se tendrá en cuenta el número total de metros cuadrados destinados a un uso más rentable o a un mayor aprovechamiento del suelo, según los derechos de construcción y desarrollo otorgados en la respectiva licencia urbanística. </w:t>
      </w:r>
    </w:p>
    <w:p w14:paraId="69566479" w14:textId="77777777" w:rsidR="00C27507" w:rsidRDefault="00C27507" w:rsidP="00FC79C1">
      <w:pPr>
        <w:spacing w:after="0" w:line="240" w:lineRule="auto"/>
        <w:jc w:val="both"/>
        <w:rPr>
          <w:rFonts w:ascii="Arial" w:eastAsia="Times New Roman" w:hAnsi="Arial" w:cs="Arial"/>
          <w:color w:val="000000"/>
          <w:lang w:eastAsia="es-CO"/>
        </w:rPr>
      </w:pPr>
      <w:bookmarkStart w:id="1202" w:name="ver_30073896"/>
      <w:bookmarkEnd w:id="1202"/>
    </w:p>
    <w:p w14:paraId="559FD391" w14:textId="7C97DF1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2.2.5.1.3 Valores comerciales. Los valores comerciales antes de la acción urbanística a que hacen referencia los artículos 74, 75, 76 y 77 de la Ley 388 de 1997, serán ajustados a valor presente, aplicando el Índice de Precios al Consumidor, IPC, a la fecha de expedición del Plan de Ordenamiento Territorial, de su revisión o de la adopción de los instrumentos que lo desarrollan y complementan. </w:t>
      </w:r>
    </w:p>
    <w:p w14:paraId="7E2CD799"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203" w:name="ver_30073899"/>
      <w:bookmarkEnd w:id="1203"/>
    </w:p>
    <w:p w14:paraId="1957FD9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2.2.5.1.4 Cálculo plusvalía por mayor aprovechamiento del suelo de edificación. Para calcular el efecto de plusvalía previsto en el artículo 77 de la Ley 388 de 1997, en el caso de la autorización específica de un mayor aprovechamiento del suelo en edificación, se tendrá en cuenta la incidencia de la edificabilidad adicional autorizada sobre el valor del suelo. </w:t>
      </w:r>
    </w:p>
    <w:p w14:paraId="368F9519"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204" w:name="ver_30073901"/>
      <w:bookmarkEnd w:id="1204"/>
    </w:p>
    <w:p w14:paraId="3D57A03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2.2.5.1.5 Entidad o persona encargada de estimar el efecto de plusvalía. La estimación del efecto de plusvalía por metro cuadrado de suelo en cada una de las zonas o subzonas geoeconómicas homogéneas donde se concretan los hechos generadores será realizada por el Instituto Geográfico Agustín Codazzi, IGAC, los catastros descentralizados, o los peritos privados inscritos en Lonjas de Propiedad Raíz o instituciones análogas. </w:t>
      </w:r>
    </w:p>
    <w:p w14:paraId="65AA70C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6B4E2A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 entidad o persona encargada de estimar el efecto de plusvalía establecerá un solo precio por metro cuadrado de los terrenos o de los inmuebles, según sea el caso, aplicable a toda la zona o subzona geoeconómica homogénea. </w:t>
      </w:r>
    </w:p>
    <w:p w14:paraId="7468C7A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2C07CC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Parágrafo 1°. Para la estimación del efecto de plusvalía, el </w:t>
      </w:r>
      <w:proofErr w:type="gramStart"/>
      <w:r w:rsidRPr="009342F9">
        <w:rPr>
          <w:rFonts w:ascii="Arial" w:eastAsia="Times New Roman" w:hAnsi="Arial" w:cs="Arial"/>
          <w:color w:val="000000"/>
          <w:lang w:eastAsia="es-CO"/>
        </w:rPr>
        <w:t>Alcalde</w:t>
      </w:r>
      <w:proofErr w:type="gramEnd"/>
      <w:r w:rsidRPr="009342F9">
        <w:rPr>
          <w:rFonts w:ascii="Arial" w:eastAsia="Times New Roman" w:hAnsi="Arial" w:cs="Arial"/>
          <w:color w:val="000000"/>
          <w:lang w:eastAsia="es-CO"/>
        </w:rPr>
        <w:t xml:space="preserve"> deberá anexar a la solicitud de que trata el artículo 80 de la Ley 388 de 1997 la siguiente documentación: </w:t>
      </w:r>
    </w:p>
    <w:p w14:paraId="5D80BF9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F427B6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Copia de la reglamentación urbanística aplicable o existente en la zona o subzona beneficiaria de la participación en la plusvalía con anterioridad a la expedición del Plan de Ordenamiento Territorial o de los instrumentos que lo desarrollen. </w:t>
      </w:r>
    </w:p>
    <w:p w14:paraId="2484710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7F0571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Copia de las normas urbanísticas vigentes de las zonas o subzonas beneficiarias de las acciones urbanísticas generadoras de la participación en plusvalía con la cartografía correspondiente donde se delimiten las zonas o subzonas beneficiarias. </w:t>
      </w:r>
    </w:p>
    <w:p w14:paraId="2A49960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40E26E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Parágrafo 2°. Para la determinación de las zonas geoeconómicas homogéneas de que trata el artículo el decreto único del sector del DANE relacionado con zonas o subzonas geoeconómicas homogénea, se podrá aplicar lo que para efecto </w:t>
      </w:r>
      <w:proofErr w:type="spellStart"/>
      <w:r w:rsidRPr="009342F9">
        <w:rPr>
          <w:rFonts w:ascii="Arial" w:eastAsia="Times New Roman" w:hAnsi="Arial" w:cs="Arial"/>
          <w:color w:val="000000"/>
          <w:lang w:eastAsia="es-CO"/>
        </w:rPr>
        <w:t>estableczca</w:t>
      </w:r>
      <w:proofErr w:type="spellEnd"/>
      <w:r w:rsidRPr="009342F9">
        <w:rPr>
          <w:rFonts w:ascii="Arial" w:eastAsia="Times New Roman" w:hAnsi="Arial" w:cs="Arial"/>
          <w:color w:val="000000"/>
          <w:lang w:eastAsia="es-CO"/>
        </w:rPr>
        <w:t xml:space="preserve"> el IGAC mediante resolución. </w:t>
      </w:r>
    </w:p>
    <w:p w14:paraId="0DF7058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w:t>
      </w:r>
    </w:p>
    <w:p w14:paraId="589C83F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3°. En los municipios o distritos que antes de adoptar el Plan de Ordenamiento Territorial no se hubiere reglamentado el uso del suelo, el cálculo del efecto de plusvalía por cambio de uso o mayor aprovechamiento se estimará con base en el uso o aprovechamiento predominante antes de la expedición del Plan de Ordenamiento o del instrumento que lo desarrolle para cada zona o subzona geoeconómica homogénea determinada. Para el efecto, las Oficinas de Planeación o la dependencia que haga sus veces, certificarán los usos o aprovechamientos predominantes con base en la información catastral disponible, siempre y cuando esta última se encuentre actualizada en los términos del parágrafo 1 del artículo 79 de la Ley 223 de 1995 o la norma que la adicione, modifique o sustituya. </w:t>
      </w:r>
    </w:p>
    <w:p w14:paraId="1D1454DB" w14:textId="126547B4"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205" w:name="ver_30073902"/>
      <w:bookmarkEnd w:id="1205"/>
    </w:p>
    <w:p w14:paraId="300806C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2.2.5.1.6 Plusvalía en proyectos por etapas. Cuando se solicite una licencia de urbanismo o de construcción para el desarrollo por etapas de un proyecto, la participación en plusvalía se hará exigible para la etapa autorizada por la respectiva licencia. </w:t>
      </w:r>
    </w:p>
    <w:p w14:paraId="08DE0AB2"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206" w:name="ver_30073903"/>
      <w:bookmarkEnd w:id="1206"/>
    </w:p>
    <w:p w14:paraId="494D112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2.2.5.1.7 Pago de participación de plusvalía. Para la expedición de licencias de urbanización o construcción y sus modalidades, tratándose de inmuebles beneficiados por el efecto de plusvalía, las autoridades competentes solo podrán expedir los respectivos actos administrativos cuando el interesado demuestre el pago de la participación en la plusvalía correspondiente al área autorizada. </w:t>
      </w:r>
    </w:p>
    <w:p w14:paraId="75A50EDB" w14:textId="1C7B93B6"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207" w:name="ver_30073904"/>
      <w:bookmarkEnd w:id="1207"/>
    </w:p>
    <w:p w14:paraId="5837CBE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2.2.5.1.8 Participación en plusvalía. En cumplimiento de lo dispuesto en el artículo 82 de la Constitución Política, los municipios y distritos deberán tomar las medidas necesarias para implementar el cobro de la participación en plusvalías en aquellas áreas del suelo rural en donde se concreten los hechos generadores de que trata el artículo 74 de la Ley 388 de 1997, de acuerdo con lo que se estatuya formalmente en el respectivo plan de ordenamiento territorial o en los instrumentos que lo desarrollen. </w:t>
      </w:r>
    </w:p>
    <w:p w14:paraId="1EFB1851" w14:textId="52ABE39C" w:rsidR="00D4095E"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208" w:name="ver_30073905"/>
      <w:bookmarkEnd w:id="1208"/>
    </w:p>
    <w:p w14:paraId="096FF906" w14:textId="25E6B6AF" w:rsidR="00FC79C1" w:rsidRPr="009342F9" w:rsidRDefault="00FC79C1" w:rsidP="00D4095E">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CAPÍTULO 2</w:t>
      </w:r>
    </w:p>
    <w:p w14:paraId="27B11494" w14:textId="77777777" w:rsidR="00FC79C1" w:rsidRPr="009342F9" w:rsidRDefault="00FC79C1" w:rsidP="00D4095E">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COMPENSACIONES</w:t>
      </w:r>
    </w:p>
    <w:p w14:paraId="4F6F2A7C"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209" w:name="ver_30073906"/>
      <w:bookmarkEnd w:id="1209"/>
    </w:p>
    <w:p w14:paraId="76BDC42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2.2.5.2.1 Compensaciones en el tratamiento de conservación. El reconocimiento y pago de las compensaciones previstas en la Ley 388 de 1997 y en el Decreto 151 de 1998 por la aplicación del tratamiento de conservación que se defina en los Planes de Ordenamiento Territorial o en los instrumentos que lo desarrollen, procederá exclusivamente cuando se limiten derechos de edificabilidad de determinados predios o inmuebles ubicados en el suelo urbano o de expansión urbana, conforme a la clasificación del suelo que haya establecido el respectivo municipio o distrito. </w:t>
      </w:r>
    </w:p>
    <w:p w14:paraId="691A84E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969541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Corresponde, en todo caso, a los municipios y distritos definir los mecanismos a través de los cuales se garantizará el pago de las compensaciones de los terrenos o inmuebles calificados de conservación, bien sea en los planes de ordenamiento territorial o en los instrumentos que lo desarrollen. </w:t>
      </w:r>
    </w:p>
    <w:p w14:paraId="18CB6C0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EFBACB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Parágrafo. En ningún caso, pese a que se encuentren en suelo urbano o de expansión urbana, serán objeto de compensación, los terrenos o inmuebles que por sus características físicas, topográficas o geológicas sean inconstruibles ni aquellos que sean </w:t>
      </w:r>
      <w:proofErr w:type="gramStart"/>
      <w:r w:rsidRPr="009342F9">
        <w:rPr>
          <w:rFonts w:ascii="Arial" w:eastAsia="Times New Roman" w:hAnsi="Arial" w:cs="Arial"/>
          <w:color w:val="000000"/>
          <w:lang w:eastAsia="es-CO"/>
        </w:rPr>
        <w:t>declarados como</w:t>
      </w:r>
      <w:proofErr w:type="gramEnd"/>
      <w:r w:rsidRPr="009342F9">
        <w:rPr>
          <w:rFonts w:ascii="Arial" w:eastAsia="Times New Roman" w:hAnsi="Arial" w:cs="Arial"/>
          <w:color w:val="000000"/>
          <w:lang w:eastAsia="es-CO"/>
        </w:rPr>
        <w:t xml:space="preserve"> zonas de amenaza o riesgo. </w:t>
      </w:r>
    </w:p>
    <w:p w14:paraId="10B8992D" w14:textId="5185ADC9"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210" w:name="ver_30073908"/>
      <w:bookmarkEnd w:id="1210"/>
    </w:p>
    <w:p w14:paraId="14D8FD6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2.2.5.2.2 Compensaciones mediante transferencia de derechos de construcción y desarrollo. De conformidad con lo establecido en el artículo 12 del Decreto 151 de 1998, la </w:t>
      </w:r>
      <w:r w:rsidRPr="009342F9">
        <w:rPr>
          <w:rFonts w:ascii="Arial" w:eastAsia="Times New Roman" w:hAnsi="Arial" w:cs="Arial"/>
          <w:color w:val="000000"/>
          <w:lang w:eastAsia="es-CO"/>
        </w:rPr>
        <w:lastRenderedPageBreak/>
        <w:t xml:space="preserve">asignación de derechos transferibles de construcción y </w:t>
      </w:r>
      <w:proofErr w:type="gramStart"/>
      <w:r w:rsidRPr="009342F9">
        <w:rPr>
          <w:rFonts w:ascii="Arial" w:eastAsia="Times New Roman" w:hAnsi="Arial" w:cs="Arial"/>
          <w:color w:val="000000"/>
          <w:lang w:eastAsia="es-CO"/>
        </w:rPr>
        <w:t>desarrollo,</w:t>
      </w:r>
      <w:proofErr w:type="gramEnd"/>
      <w:r w:rsidRPr="009342F9">
        <w:rPr>
          <w:rFonts w:ascii="Arial" w:eastAsia="Times New Roman" w:hAnsi="Arial" w:cs="Arial"/>
          <w:color w:val="000000"/>
          <w:lang w:eastAsia="es-CO"/>
        </w:rPr>
        <w:t xml:space="preserve"> es uno de los mecanismos de que disponen los fondos de compensación municipal y distrital para efectuar el pago de las compensaciones a que haya lugar con ocasión de la aplicación del tratamiento urbanístico de conservación a determinados predios o inmuebles generadores de tales derechos. </w:t>
      </w:r>
    </w:p>
    <w:p w14:paraId="637D6E9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E09915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Tan sólo en el evento en que el municipio o distrito haya definido la transferencia de derechos de construcción y desarrollo como mecanismo para el pago de la compensación por el tratamiento </w:t>
      </w:r>
      <w:proofErr w:type="gramStart"/>
      <w:r w:rsidRPr="009342F9">
        <w:rPr>
          <w:rFonts w:ascii="Arial" w:eastAsia="Times New Roman" w:hAnsi="Arial" w:cs="Arial"/>
          <w:color w:val="000000"/>
          <w:lang w:eastAsia="es-CO"/>
        </w:rPr>
        <w:t>del conservación</w:t>
      </w:r>
      <w:proofErr w:type="gramEnd"/>
      <w:r w:rsidRPr="009342F9">
        <w:rPr>
          <w:rFonts w:ascii="Arial" w:eastAsia="Times New Roman" w:hAnsi="Arial" w:cs="Arial"/>
          <w:color w:val="000000"/>
          <w:lang w:eastAsia="es-CO"/>
        </w:rPr>
        <w:t>, en los términos que se establecen en los artículos 6, 7, 8, 9 y 10 del Decreto 151 de 1998, los propietarios de los terrenos a los cuales se haya asignado dicho tratamiento, podrán ser compensados mediante la asignación de derechos transferibles de construcción y desarrollo. </w:t>
      </w:r>
    </w:p>
    <w:p w14:paraId="3018BC2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FF7C57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Cuando el respectivo municipio o Distrito no haya adoptado este mecanismo de compensación, garantizará que los propietarios de los predios o inmuebles a conservar sean objeto de otro tipo de estímulos, beneficios o formas de compensación en los términos que se establecen en el Decreto 151 de 1998 y en el presente capítulo. </w:t>
      </w:r>
    </w:p>
    <w:p w14:paraId="1F5F4C2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5F88F6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1. Los municipios, sus entidades descentralizadas y las entidades que conforman el Sistema Nacional Ambiental mantendrán, en todos los casos, la posibilidad de adquirir los terrenos calificados por su normativa urbanística o ambiental como de conservación o protección ambiental. </w:t>
      </w:r>
    </w:p>
    <w:p w14:paraId="4BA1BD6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6EBFC9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2. Para determinar el monto de la compensación en tratamientos de conservación ambiental, y de conformidad con lo establecido en el literal c) del artículo 11 del Decreto 151 de 1998, se entenderá por suelo urbanizable de conservación el área total del predio objeto del tratamiento de conservación, descontando la superficie correspondiente a eventuales afectaciones sobre el inmueble en razón del plan vial u otras obras públicas, así como el porcentaje correspondiente a las cesiones urbanísticas obligatorias de que hayan sido objeto los inmuebles colindantes que se tengan en cuenta para determinar el valor de la compensación. </w:t>
      </w:r>
    </w:p>
    <w:p w14:paraId="76464DC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223919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el caso de edificios a conservar, el monto de la compensación se aplicará sobre el suelo edificable que corresponderá al área de suelo ocupado por la edificación sometida al tratamiento de conservación. </w:t>
      </w:r>
    </w:p>
    <w:p w14:paraId="3BF64617" w14:textId="70DB195C"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211" w:name="ver_30073910"/>
      <w:bookmarkEnd w:id="1211"/>
    </w:p>
    <w:p w14:paraId="71EBAE8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2.2.5.2.3 Otros mecanismos para el pago de compensaciones. Algunos de los mecanismos de compensación que se pueden utilizar de manera alternativa o complementaria cuando no se opte por la asignación de derechos transferibles de construcción y desarrollo, son los siguientes: </w:t>
      </w:r>
    </w:p>
    <w:p w14:paraId="7992760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2C6215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1. Asimilación de los inmuebles a los estratos 1 o 2 para efectos del pago del impuesto predial y demás gravámenes municipales o distritales que tengan como base gravable el avalúo o el </w:t>
      </w:r>
      <w:proofErr w:type="spellStart"/>
      <w:r w:rsidRPr="009342F9">
        <w:rPr>
          <w:rFonts w:ascii="Arial" w:eastAsia="Times New Roman" w:hAnsi="Arial" w:cs="Arial"/>
          <w:color w:val="000000"/>
          <w:lang w:eastAsia="es-CO"/>
        </w:rPr>
        <w:t>autoavalúo</w:t>
      </w:r>
      <w:proofErr w:type="spellEnd"/>
      <w:r w:rsidRPr="009342F9">
        <w:rPr>
          <w:rFonts w:ascii="Arial" w:eastAsia="Times New Roman" w:hAnsi="Arial" w:cs="Arial"/>
          <w:color w:val="000000"/>
          <w:lang w:eastAsia="es-CO"/>
        </w:rPr>
        <w:t>. </w:t>
      </w:r>
    </w:p>
    <w:p w14:paraId="05F9CEC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B7DE59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Asignación de tarifas reducidas de impuesto predial. </w:t>
      </w:r>
    </w:p>
    <w:p w14:paraId="07DE692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A75DA4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En el supuesto de zonas o áreas urbanas a conservar por su interés histórico o arquitectónico, donde las propiedades mantienen las características con fundamento en las cuales se declaró la conservación, se podrán aplicar los mecanismos de compensación de que trata el presente artículo. </w:t>
      </w:r>
    </w:p>
    <w:p w14:paraId="6486BBF3" w14:textId="07A82F9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212" w:name="ver_30073911"/>
      <w:bookmarkEnd w:id="1212"/>
    </w:p>
    <w:p w14:paraId="1FE551D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xml:space="preserve">Artículo 2.2.5.2.4 Condiciones para el pago de las compensaciones. Las condiciones que deben cumplir los propietarios de los inmuebles para el pago de las </w:t>
      </w:r>
      <w:proofErr w:type="gramStart"/>
      <w:r w:rsidRPr="009342F9">
        <w:rPr>
          <w:rFonts w:ascii="Arial" w:eastAsia="Times New Roman" w:hAnsi="Arial" w:cs="Arial"/>
          <w:color w:val="000000"/>
          <w:lang w:eastAsia="es-CO"/>
        </w:rPr>
        <w:t>compensaciones,</w:t>
      </w:r>
      <w:proofErr w:type="gramEnd"/>
      <w:r w:rsidRPr="009342F9">
        <w:rPr>
          <w:rFonts w:ascii="Arial" w:eastAsia="Times New Roman" w:hAnsi="Arial" w:cs="Arial"/>
          <w:color w:val="000000"/>
          <w:lang w:eastAsia="es-CO"/>
        </w:rPr>
        <w:t xml:space="preserve"> son las siguientes: </w:t>
      </w:r>
    </w:p>
    <w:p w14:paraId="3B81628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DAE6C9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Los propietarios de los inmuebles deberán mantener y cumplir en todo momento con las condiciones y requisitos que se establezcan en la declaratoria de conservación. </w:t>
      </w:r>
    </w:p>
    <w:p w14:paraId="57891E5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25D09A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En caso de estimarlo necesario, los municipios y distritos podrán condicionar el pago de la compensación, a la presentación, aprobación y ejecución por parte de los propietarios de un proyecto de recuperación íntegra del inmueble. Durante el estudio de los proyectos integrales de recuperación de inmuebles, se adelantará una visita técnica al predio y se consultarán los datos de archivo, documentación fotográfica y bibliográfica según sea el caso. </w:t>
      </w:r>
    </w:p>
    <w:p w14:paraId="0647372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51BF94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Conforme lo dispuesto en el artículo 13 del Decreto 151 de 1998, los propietarios de inmuebles sometidos a tratamiento de conservación a quienes se hubieran pagado compensaciones, adquirirán la obligación de adoptar las medidas de conservación que se especifiquen para cada caso, y de no hacerlo, deberán devolver el monto de la compensación recibida actualizada en el índice de precios al consumidor más diez (10) puntos porcentuales anuales sin perjuicio de las otras sanciones aplicables al caso. </w:t>
      </w:r>
    </w:p>
    <w:p w14:paraId="3E7B09BB" w14:textId="04DAC3EA" w:rsidR="00D4095E"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213" w:name="ver_30073913"/>
      <w:bookmarkEnd w:id="1213"/>
    </w:p>
    <w:p w14:paraId="0CFE1B0F" w14:textId="21E08C82" w:rsidR="00FC79C1" w:rsidRPr="009342F9" w:rsidRDefault="00FC79C1" w:rsidP="00D4095E">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CAPÍTULO 3</w:t>
      </w:r>
    </w:p>
    <w:p w14:paraId="0B60C8F9" w14:textId="77777777" w:rsidR="00FC79C1" w:rsidRPr="009342F9" w:rsidRDefault="00FC79C1" w:rsidP="00D4095E">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PROMOCIÓN, ANUNCIO Y/O DESARROLLO DE LAS ACTIVIDADES DE ENAJENACIÓN DE INMUEBLES</w:t>
      </w:r>
    </w:p>
    <w:p w14:paraId="1B0AA69E" w14:textId="77777777" w:rsidR="00FC79C1" w:rsidRPr="009342F9" w:rsidRDefault="00FC79C1" w:rsidP="00D4095E">
      <w:pPr>
        <w:spacing w:after="0" w:line="240" w:lineRule="auto"/>
        <w:jc w:val="center"/>
        <w:rPr>
          <w:rFonts w:ascii="Arial" w:eastAsia="Times New Roman" w:hAnsi="Arial" w:cs="Arial"/>
          <w:b/>
          <w:bCs/>
          <w:color w:val="000000"/>
          <w:lang w:eastAsia="es-CO"/>
        </w:rPr>
      </w:pPr>
      <w:bookmarkStart w:id="1214" w:name="ver_30073916"/>
      <w:bookmarkEnd w:id="1214"/>
    </w:p>
    <w:p w14:paraId="02A6AAA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2.2.5.3.1 Radicación de documentos. De conformidad con el artículo 185 del Decreto Ley 019 de 2012, los interesados en promocionar, anunciar y/o desarrollar las actividades de enajenación de inmuebles a que se refiere el artículo 2 del Decreto-ley 2610 de 1979 estarán obligados a radicar quince (15) días antes del inicio de dichas actividades los siguientes documentos ante la instancia de la administración municipal o distrital encargada de ejercer la vigilancia y control sobre las mencionadas actividades: </w:t>
      </w:r>
    </w:p>
    <w:p w14:paraId="4EEEA04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38810E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Folio de matrícula inmobiliaria del inmueble o inmuebles objeto de la solicitud, cuya fecha de expedición no sea superior a tres (3) meses. </w:t>
      </w:r>
    </w:p>
    <w:p w14:paraId="05FC31A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7088F3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Copia de los modelos de contratos que se vayan a utilizar en la celebración de los negocios de enajenación de inmuebles con los adquirientes, a fin de comprobar la coherencia y validez de las cláusulas con el cumplimiento de las normas que civil y comercialmente regulen el contrato. </w:t>
      </w:r>
    </w:p>
    <w:p w14:paraId="5E6AB40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E8A41B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El presupuesto financiero del proyecto. </w:t>
      </w:r>
    </w:p>
    <w:p w14:paraId="5908185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69BB6E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Licencia urbanística respectiva, salvo que se trate del sistema de preventas. </w:t>
      </w:r>
    </w:p>
    <w:p w14:paraId="3EC46CD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0908BC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 Cuando el inmueble en el cual ha de desarrollarse el plan o programa se encuentre gravado con hipoteca, ha de acreditarse que el acreedor hipotecario se obliga a liberar los lotes o construcciones que se vayan enajenando, mediante el pago proporcional del gravamen que afecte cada lote o construcción. </w:t>
      </w:r>
    </w:p>
    <w:p w14:paraId="144E83E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326A9A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1°. Estos documentos estarán a disposición de los compradores de los planes de vivienda en todo momento con el objeto de que sobre ellos efectúen los estudios necesarios para determinar la conveniencia de la adquisición. </w:t>
      </w:r>
    </w:p>
    <w:p w14:paraId="1D48489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9165EB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Parágrafo 2. En ningún caso podrá exigirse la ejecución parcial o total de obras de urbanización o construcción, según sea el caso, como condición previa a la radicación de documentos de que trata el presente artículo. En el evento en que se requieran radicar nuevos documentos o se cambie alguna condición de los ya radicados, la autoridad municipal o distrital no podrá solicitar permiso, autorización o trámite adicional diferente a la simple radicación del nuevo documento. </w:t>
      </w:r>
    </w:p>
    <w:p w14:paraId="6A3B73D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358F2B7"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215" w:name="ver_30073918"/>
      <w:bookmarkEnd w:id="1215"/>
      <w:r w:rsidRPr="009342F9">
        <w:rPr>
          <w:rFonts w:ascii="Arial" w:eastAsia="Times New Roman" w:hAnsi="Arial" w:cs="Arial"/>
          <w:color w:val="000000"/>
          <w:lang w:eastAsia="es-CO"/>
        </w:rPr>
        <w:t>Artículo 2.2.5.3.2 Revisión de los documentos presentados. La instancia municipal o distrital encargada de ejercer la vigilancia y control de las actividades de construcción y enajenación de inmuebles destinados a vivienda, revisará los documentos radicados con el fin de verificar la observancia de las disposiciones legales pertinentes y en caso de no encontrarlos de conformidad, podrá requerir al interesado en cualquier momento, para que los corrija o aclare, sin perjuicio de las acciones de carácter administrativo y policivo que se puedan adelantar. </w:t>
      </w:r>
    </w:p>
    <w:p w14:paraId="3664584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29AA68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Los documentos de que trata el presente artículo estarán en todo momento a disposición de los compradores de los planes de vivienda, con el objeto de que sobre ellos se efectúen los estudios necesarios para determinar la conveniencia de la adquisición. </w:t>
      </w:r>
    </w:p>
    <w:p w14:paraId="07B12752" w14:textId="59A20B60"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216" w:name="ver_30073920"/>
      <w:bookmarkEnd w:id="1216"/>
    </w:p>
    <w:p w14:paraId="323E360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2.2.5.3.3 Del registro único de proponentes. El interesado deberá presentar ante la instancia competente del municipio o distrito donde se encuentre el inmueble sobre el que se desarrollará el proyecto, copia del Registro Único de Proponentes actualizado, de conformidad con la normatividad vigente sobre la materia. </w:t>
      </w:r>
    </w:p>
    <w:p w14:paraId="17AC729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DB47A2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Si en el respectivo año el interesado hubiese efectuado la radicación de este documento en el mismo municipio o distrito, no tendrá la obligación de presentarlo nuevamente. En tal caso, deberá suministrar la información necesaria para que las autoridades locales anexen al expediente copia del Registro Único de Proponentes previamente radicado. </w:t>
      </w:r>
    </w:p>
    <w:p w14:paraId="323142BE" w14:textId="6362E98F"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217" w:name="ver_30073923"/>
      <w:bookmarkEnd w:id="1217"/>
    </w:p>
    <w:p w14:paraId="26DA537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2.2.5.3.4 Del folio de matrícula inmobiliaria del inmueble o inmuebles objeto de la solicitud. El interesado aportará el certificado de libertad y tradición del predio o predios sobre los que se adelantará el plan de vivienda, cuya fecha de expedición no sea superior a tres (3) meses anteriores a la fecha de radicación. </w:t>
      </w:r>
    </w:p>
    <w:p w14:paraId="7CDFF5C2" w14:textId="306A0355"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218" w:name="ver_30073925"/>
      <w:bookmarkEnd w:id="1218"/>
    </w:p>
    <w:p w14:paraId="36E4029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2.2.5.3.5 De los modelos de contratos que se vayan a utilizar en la celebración de los negocios. El interesado aportará copia de los modelos de los contratos que se vayan a suscribir para la enajenación de los inmuebles, con el fin de que la autoridad competente compruebe la coherencia y validez de las cláusulas y que se encuentren ajustadas a las normas civiles y comerciales. </w:t>
      </w:r>
    </w:p>
    <w:p w14:paraId="76BA89A8" w14:textId="40E746D3"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219" w:name="ver_30073927"/>
      <w:bookmarkEnd w:id="1219"/>
    </w:p>
    <w:p w14:paraId="6D3FE1D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2.2.5.3.6 De la licencia urbanística. El interesado presentará copia de la licencia urbanística respectiva, expedida por el curador urbano o la autoridad competente con jurisdicción en el municipio o distrito, en el lugar donde se adelantarán las actividades de promoción, anuncio y enajenación de inmuebles destinados a vivienda, la cual incluirá copia impresa de los planos aprobados, de conformidad con lo dispuesto en el Capítulo 1 del Título 6 del presente decreto. </w:t>
      </w:r>
    </w:p>
    <w:p w14:paraId="12DA1A3D" w14:textId="3B548C26"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220" w:name="ver_30073930"/>
      <w:bookmarkEnd w:id="1220"/>
    </w:p>
    <w:p w14:paraId="542D61C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2.2.5.3.7 Del presupuesto financiero del proyecto. El presupuesto financiero se expresará en moneda legal colombiana y deberá contener, por lo menos lo siguiente: </w:t>
      </w:r>
    </w:p>
    <w:p w14:paraId="6C0C5A3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0EEE5A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Información General: Nombre o razón social e identificación de la persona natural o jurídica que ejecutará el plan o proyecto de vivienda, denominación del plan o proyecto; ubicación o dirección del inmueble; área total del lote; área de construcción autorizada; número y modalidad de unidades autorizadas, tales como, casas, apartamentos y lotes urbanizados, entre otros. </w:t>
      </w:r>
    </w:p>
    <w:p w14:paraId="57ECE52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w:t>
      </w:r>
    </w:p>
    <w:p w14:paraId="361FC67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Información de costos: Precio del lote, total estimado de los costos financieros directos e indirectos, gastos de venta y estimativo del valor total del costo del proyecto. </w:t>
      </w:r>
    </w:p>
    <w:p w14:paraId="7C0D66A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928AB1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Información de Ventas: Valor estimado de venta. </w:t>
      </w:r>
    </w:p>
    <w:p w14:paraId="1838DD6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891E9B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Financiación: Señalamiento de los recursos con los cuales se cubrirá la totalidad de los costos y de su origen; tales como recursos propios, créditos, recaudo por ventas del proyecto y otros recursos, con sus correspondientes soportes contables. </w:t>
      </w:r>
    </w:p>
    <w:p w14:paraId="3E470EDE" w14:textId="042B7189"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221" w:name="ver_30073932"/>
      <w:bookmarkEnd w:id="1221"/>
    </w:p>
    <w:p w14:paraId="471237B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2.2.5.3.8 De la acreditación de liberación de lotes o construcciones. En aquellos inmuebles gravados con hipoteca, el interesado deberá aportar el documento que acredite que el acreedor hipotecario se obliga a liberar los lotes o construcciones que se vayan enajenando, mediante el pago proporcional del gravamen que afecte cada lote o construcción. </w:t>
      </w:r>
    </w:p>
    <w:p w14:paraId="1F6262C3" w14:textId="484BDB45"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222" w:name="ver_30073933"/>
      <w:bookmarkEnd w:id="1222"/>
    </w:p>
    <w:p w14:paraId="1C73A09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2.2.5.3.9 Del sistema de preventas. Cuando la actividad de promoción y anuncio de los proyectos de vivienda sea adelantada por personas naturales o jurídicas de derecho público o privado, mediante la administración de recursos por parte de entidades vigiladas por la superintendencia financiera, a través de encargos fiduciarios o fiducia mercantil en la que no exista captación directa de dinero del público por parte de dichas personas, el interesado deberá presentar los documentos señalados en el presente capítulo 15 días antes del inicio de la enajenación de los inmuebles destinados a vivienda. </w:t>
      </w:r>
    </w:p>
    <w:p w14:paraId="2B396607" w14:textId="6C817E6F" w:rsidR="00FC79C1" w:rsidRDefault="00FC79C1" w:rsidP="00FC79C1">
      <w:pPr>
        <w:spacing w:after="0" w:line="240" w:lineRule="auto"/>
        <w:jc w:val="both"/>
        <w:rPr>
          <w:rFonts w:ascii="Arial" w:eastAsia="Times New Roman" w:hAnsi="Arial" w:cs="Arial"/>
          <w:color w:val="000000"/>
          <w:lang w:eastAsia="es-CO"/>
        </w:rPr>
      </w:pPr>
      <w:r w:rsidRPr="231E957E">
        <w:rPr>
          <w:rFonts w:ascii="Arial" w:eastAsia="Times New Roman" w:hAnsi="Arial" w:cs="Arial"/>
          <w:color w:val="000000" w:themeColor="text1"/>
          <w:lang w:eastAsia="es-CO"/>
        </w:rPr>
        <w:t>  </w:t>
      </w:r>
      <w:bookmarkStart w:id="1223" w:name="ver_30073936"/>
      <w:bookmarkStart w:id="1224" w:name="ver_30073942"/>
      <w:bookmarkEnd w:id="1223"/>
      <w:bookmarkEnd w:id="1224"/>
    </w:p>
    <w:p w14:paraId="35990BBA" w14:textId="77777777" w:rsidR="005C5EEB" w:rsidRDefault="000D26CD" w:rsidP="000D26CD">
      <w:pPr>
        <w:spacing w:after="0" w:line="240" w:lineRule="auto"/>
        <w:jc w:val="center"/>
        <w:rPr>
          <w:rFonts w:ascii="Arial" w:eastAsia="Times New Roman" w:hAnsi="Arial" w:cs="Arial"/>
          <w:b/>
          <w:bCs/>
          <w:color w:val="000000"/>
          <w:lang w:eastAsia="es-CO"/>
        </w:rPr>
      </w:pPr>
      <w:r w:rsidRPr="231E957E">
        <w:rPr>
          <w:rFonts w:ascii="Arial" w:eastAsia="Times New Roman" w:hAnsi="Arial" w:cs="Arial"/>
          <w:b/>
          <w:color w:val="000000" w:themeColor="text1"/>
          <w:lang w:eastAsia="es-CO"/>
        </w:rPr>
        <w:t>CAPÍTULO 4</w:t>
      </w:r>
    </w:p>
    <w:p w14:paraId="6F6BCC6E" w14:textId="77777777" w:rsidR="000D26CD" w:rsidRPr="000D26CD" w:rsidRDefault="000D26CD" w:rsidP="000D26CD">
      <w:pPr>
        <w:spacing w:after="0" w:line="240" w:lineRule="auto"/>
        <w:jc w:val="center"/>
        <w:rPr>
          <w:rFonts w:ascii="Arial" w:eastAsia="Times New Roman" w:hAnsi="Arial" w:cs="Arial"/>
          <w:color w:val="000000"/>
          <w:lang w:eastAsia="es-CO"/>
        </w:rPr>
      </w:pPr>
      <w:r w:rsidRPr="231E957E">
        <w:rPr>
          <w:rFonts w:ascii="Arial" w:eastAsia="Times New Roman" w:hAnsi="Arial" w:cs="Arial"/>
          <w:b/>
          <w:color w:val="000000" w:themeColor="text1"/>
          <w:lang w:eastAsia="es-CO"/>
        </w:rPr>
        <w:t>ANUNCIO DE PROGRAMAS, PROYECTOS U OBRAS DE UTILIDAD PÚBLICA O INTERÉS SOCIAL</w:t>
      </w:r>
    </w:p>
    <w:p w14:paraId="39D1601D" w14:textId="77777777" w:rsidR="000D26CD" w:rsidRPr="009342F9" w:rsidRDefault="000D26CD" w:rsidP="00FC79C1">
      <w:pPr>
        <w:spacing w:after="0" w:line="240" w:lineRule="auto"/>
        <w:jc w:val="both"/>
        <w:rPr>
          <w:rFonts w:ascii="Arial" w:eastAsia="Times New Roman" w:hAnsi="Arial" w:cs="Arial"/>
          <w:color w:val="000000"/>
          <w:lang w:eastAsia="es-CO"/>
        </w:rPr>
      </w:pPr>
    </w:p>
    <w:p w14:paraId="540BD66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2.2.5.4.1 Anuncio de proyectos, programas u obras que constituyan motivos de utilidad pública o interés social. Las entidades competentes para adquirir por enajenación voluntaria o decretar la expropiación de inmuebles para la ejecución de proyectos u obras de utilidad pública o interés social, harán el anuncio del respectivo programa, proyecto u obra, mediante acto administrativo de carácter general que deberá publicarse en los términos del artículo 65 del Código de Procedimiento Administrativo y de lo Contencioso Administrativo. </w:t>
      </w:r>
    </w:p>
    <w:p w14:paraId="652D590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7BC538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1°. En todo caso, también se procederá al anuncio de que trata este Capítulo para la ejecución de programas, proyectos u obras de utilidad pública o interés social desarrollados mediante la concurrencia de terceros. </w:t>
      </w:r>
    </w:p>
    <w:p w14:paraId="2EDE406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F59BD1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2°. Cuando el presente Capítulo se refiera a anuncio de proyecto se entenderá que se refiere al anuncio de programa, proyecto u obra de utilidad pública o interés social. </w:t>
      </w:r>
    </w:p>
    <w:p w14:paraId="09D74635" w14:textId="09A90D22"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225" w:name="ver_30073943"/>
      <w:bookmarkEnd w:id="1225"/>
    </w:p>
    <w:p w14:paraId="22AD16E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2.2.5.4.2 Efectos del anuncio del proyecto, programa u obra. De conformidad con lo dispuesto en el parágrafo 1° del artículo 61 de la Ley 388 de 1997, con el anuncio del proyecto se descontará del avalúo comercial de adquisición, el monto correspondiente a la plusvalía o mayor valor generado por el anuncio del proyecto, programa u obra, salvo aquellos casos en que los propietarios hubieren pagado la participación en plusvalía por obra pública o la contribución de valorización, según sea del caso. Para el efecto, se elaborarán avalúos de referencia en los cuales se debe tener en cuenta las condiciones físicas, jurídicas y económicas del suelo al momento del anuncio del proyecto, de acuerdo con la normativa vigente. </w:t>
      </w:r>
    </w:p>
    <w:p w14:paraId="27033C9C" w14:textId="5D2F0296"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226" w:name="ver_30073944"/>
      <w:bookmarkEnd w:id="1226"/>
    </w:p>
    <w:p w14:paraId="4238F30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Artículo 2.2.5.4.3 Contenido del acto administrativo. El acto administrativo del anuncio del proyecto tendrá, por lo menos, el siguiente contenido: </w:t>
      </w:r>
    </w:p>
    <w:p w14:paraId="1DD042E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9A2D52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1. La descripción del proyecto, programa u obra que constituye el motivo de utilidad pública o interés social y, si es del caso, el instrumento normativo que lo </w:t>
      </w:r>
      <w:proofErr w:type="gramStart"/>
      <w:r w:rsidRPr="009342F9">
        <w:rPr>
          <w:rFonts w:ascii="Arial" w:eastAsia="Times New Roman" w:hAnsi="Arial" w:cs="Arial"/>
          <w:color w:val="000000"/>
          <w:lang w:eastAsia="es-CO"/>
        </w:rPr>
        <w:t>contempla,</w:t>
      </w:r>
      <w:proofErr w:type="gramEnd"/>
      <w:r w:rsidRPr="009342F9">
        <w:rPr>
          <w:rFonts w:ascii="Arial" w:eastAsia="Times New Roman" w:hAnsi="Arial" w:cs="Arial"/>
          <w:color w:val="000000"/>
          <w:lang w:eastAsia="es-CO"/>
        </w:rPr>
        <w:t xml:space="preserve"> decreta o aprueba. </w:t>
      </w:r>
    </w:p>
    <w:p w14:paraId="56D83F7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10698B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La delimitación preliminar mediante coordenadas IGAC en planos a nivel predial (escala 1:2.000 o 1:5.000) de la zona en la cual se adelantará el proyecto, programa u obra que se anuncia. </w:t>
      </w:r>
    </w:p>
    <w:p w14:paraId="351D3C9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DAAF2E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3. Los avalúos de referencia correspondientes al área descrita en el numeral anterior que obrarán como anexo del acto administrativo de anuncio del proyecto, o indicar la condición </w:t>
      </w:r>
      <w:proofErr w:type="gramStart"/>
      <w:r w:rsidRPr="009342F9">
        <w:rPr>
          <w:rFonts w:ascii="Arial" w:eastAsia="Times New Roman" w:hAnsi="Arial" w:cs="Arial"/>
          <w:color w:val="000000"/>
          <w:lang w:eastAsia="es-CO"/>
        </w:rPr>
        <w:t>que</w:t>
      </w:r>
      <w:proofErr w:type="gramEnd"/>
      <w:r w:rsidRPr="009342F9">
        <w:rPr>
          <w:rFonts w:ascii="Arial" w:eastAsia="Times New Roman" w:hAnsi="Arial" w:cs="Arial"/>
          <w:color w:val="000000"/>
          <w:lang w:eastAsia="es-CO"/>
        </w:rPr>
        <w:t xml:space="preserve"> en el evento de no contar con los mencionados avalúos de referencia, la administración deberá ordenar y/o contratar la elaboración de los avalúos de referencia dentro de los seis (6) meses siguientes a la expedición del acto administrativo de anuncio. </w:t>
      </w:r>
    </w:p>
    <w:p w14:paraId="6234832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398016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1°. Los avalúos de referencia correspondientes al área descrita en el numeral 2 del presente artículo, no podrán tener un tiempo de expedición superior a un (1) año de anterioridad a la fecha de expedición del correspondiente acto administrativo de anuncio del proyecto. </w:t>
      </w:r>
    </w:p>
    <w:p w14:paraId="49799F0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9D6E9F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2°. El acto administrativo del anuncio del proyecto no requerirá ser inscrito en los respectivos folios de matrícula inmobiliaria. </w:t>
      </w:r>
    </w:p>
    <w:p w14:paraId="24DAB6C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5A3729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3°. Por tratarse el acto administrativo del anuncio del proyecto de un acto de carácter general, no procederán recursos contra el mismo, de conformidad con lo previsto por el artículo 75 del Código de Procedimiento Administrativo y de lo Contencioso Administrativo. </w:t>
      </w:r>
    </w:p>
    <w:p w14:paraId="1A6F294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59035E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4°. El acto administrativo de anuncio de los Macroproyectos de Interés Social Nacional de que trata la Ley 1469 de 2011 se regirá por lo dispuesto en el Capítulo 2 del Título 4 del presente decreto. </w:t>
      </w:r>
    </w:p>
    <w:p w14:paraId="1F3234A5" w14:textId="2644AE58"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227" w:name="ver_30073979"/>
      <w:bookmarkEnd w:id="1227"/>
    </w:p>
    <w:p w14:paraId="641A4F6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2.2.5.4.4 Avalúos de referencia. Para los efectos del presente decreto se entiende por avalúo de referencia aquel destinado a definir el valor del suelo antes del anuncio del proyecto y que se realizará por zonas o subzonas geoeconómicas homogéneas. </w:t>
      </w:r>
    </w:p>
    <w:p w14:paraId="6064AB0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1024DD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Con el fin de determinar el valor comercial del suelo antes del anuncio del proyecto, el cual servirá de base para identificar los incrementos en el valor del suelo generado por el respectivo anuncio, las entidades públicas competentes solicitarán la elaboración de avalúos de referencia por zonas o subzonas geoeconómicas homogéneas de acuerdo con lo establecido en la normatividad vigente sobre la materia. </w:t>
      </w:r>
    </w:p>
    <w:p w14:paraId="2070F53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87C1D1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 entidad o persona encargada de elaborar los avalúos de referencia, de acuerdo con lo previsto en el artículo 27 del Decreto Ley número 2150 de 1995 o la norma que lo modifique, complemente o sustituya, establecerá el precio por metro cuadrado del suelo, para las zonas o subzonas geoeconómicas homogéneas, que resulten del estudio de valores de la zona donde se adelantará el programa, proyecto u obra, con arreglo a las condiciones físicas, jurídicas, económicas, de mercado inmobiliario y en especial con la normativa vigente al momento del anuncio del proyecto. </w:t>
      </w:r>
    </w:p>
    <w:p w14:paraId="3C74DA9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9F2A78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El precio de adquisición será igual al valor del avalúo comercial, de conformidad con lo previsto por el artículo 61 de la Ley 388 de 1997. Por lo tanto, los avalúos de referencia no sustituyen la </w:t>
      </w:r>
      <w:r w:rsidRPr="009342F9">
        <w:rPr>
          <w:rFonts w:ascii="Arial" w:eastAsia="Times New Roman" w:hAnsi="Arial" w:cs="Arial"/>
          <w:color w:val="000000"/>
          <w:lang w:eastAsia="es-CO"/>
        </w:rPr>
        <w:lastRenderedPageBreak/>
        <w:t>obligación de elaborar los avalúos comerciales para definir el precio de adquisición de los inmuebles. </w:t>
      </w:r>
    </w:p>
    <w:p w14:paraId="49FA0D16" w14:textId="25F99501"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228" w:name="ver_30073980"/>
      <w:bookmarkEnd w:id="1228"/>
    </w:p>
    <w:p w14:paraId="18D4DD8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2.2.5.4.5 Procedimiento para el Cálculo del mayor valor generado por el anuncio del proyecto. Para efectos de realizar el cálculo del mayor valor generado por el anuncio del proyecto se deberá adelantar el siguiente procedimiento: </w:t>
      </w:r>
    </w:p>
    <w:p w14:paraId="3944854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4B8BAF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Determinar el valor comercial del inmueble bajo las condiciones, físicas, económicas y normativas vigentes a la fecha de elaboración del avalúo comercial, en los términos de la Ley 388 de 1997, y las demás disposiciones vigentes sobre la materia. </w:t>
      </w:r>
    </w:p>
    <w:p w14:paraId="0DE9AA5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837A05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2. Actualizar los avalúos de referencia mencionados en el presente Capítulo, tomando en consideración la variación habitual del valor del suelo de acuerdo con el mercado inmobiliario para las zonas o subzonas geoeconómicas homogéneas, tomadas en consideración para efectos de la elaboración de los avalúos de referencia a los que se refiere el artículo precedente, dentro del período comprendido entre el anuncio del proyecto y la fecha de elaboración del avalúo comercial de que trata el numeral anterior. Para tal efecto, el </w:t>
      </w:r>
      <w:proofErr w:type="spellStart"/>
      <w:r w:rsidRPr="009342F9">
        <w:rPr>
          <w:rFonts w:ascii="Arial" w:eastAsia="Times New Roman" w:hAnsi="Arial" w:cs="Arial"/>
          <w:color w:val="000000"/>
          <w:lang w:eastAsia="es-CO"/>
        </w:rPr>
        <w:t>avaluador</w:t>
      </w:r>
      <w:proofErr w:type="spellEnd"/>
      <w:r w:rsidRPr="009342F9">
        <w:rPr>
          <w:rFonts w:ascii="Arial" w:eastAsia="Times New Roman" w:hAnsi="Arial" w:cs="Arial"/>
          <w:color w:val="000000"/>
          <w:lang w:eastAsia="es-CO"/>
        </w:rPr>
        <w:t xml:space="preserve"> tendrá en cuenta, el Índice de Precios al Consumidor (IPC), el Índice de Valoración Predial (IVP), Índice de Valorización Inmobiliario Urbano y Rural (IVIUR), estudios de mercado y demás información disponible que le permita establecer el comportamiento del mercado inmobiliario. </w:t>
      </w:r>
    </w:p>
    <w:p w14:paraId="690E3AC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1F2186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1. Determinar la diferencia entre los avalúos de referencia actualizados </w:t>
      </w:r>
      <w:proofErr w:type="gramStart"/>
      <w:r w:rsidRPr="009342F9">
        <w:rPr>
          <w:rFonts w:ascii="Arial" w:eastAsia="Times New Roman" w:hAnsi="Arial" w:cs="Arial"/>
          <w:color w:val="000000"/>
          <w:lang w:eastAsia="es-CO"/>
        </w:rPr>
        <w:t>de acuerdo al</w:t>
      </w:r>
      <w:proofErr w:type="gramEnd"/>
      <w:r w:rsidRPr="009342F9">
        <w:rPr>
          <w:rFonts w:ascii="Arial" w:eastAsia="Times New Roman" w:hAnsi="Arial" w:cs="Arial"/>
          <w:color w:val="000000"/>
          <w:lang w:eastAsia="es-CO"/>
        </w:rPr>
        <w:t xml:space="preserve"> numeral anterior con los valores del suelo fijados en lo avalúos comerciales a los que se refiere el numeral 1 del presente artículo. Si el valor del suelo de los avalúos comerciales resulta superior al valor del suelo de los avalúos de referencia actualizados, el mayor valor corresponderá al incremento generado por el anuncio del proyecto. </w:t>
      </w:r>
    </w:p>
    <w:p w14:paraId="1F9FB43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CD05DD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Identificado el mayor valor del suelo generado por el anuncio del proyecto, se procederá a su descuento del valor comercial del inmueble en los términos definidos por el parágrafo 1 del artículo 61 de la Ley 388 de 1997 y se determinará el precio de adquisición, salvo que el propietario haya pagado la participación en plusvalía o la contribución de valorización, según sea el caso, evento en el cual no se descontará el mayor valor del suelo generado por el anuncio del proyecto, para fijar el precio de adquisición. </w:t>
      </w:r>
    </w:p>
    <w:p w14:paraId="70AC069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285F619" w14:textId="77777777" w:rsidR="00FC79C1" w:rsidRDefault="00FC79C1" w:rsidP="00FC79C1">
      <w:pPr>
        <w:spacing w:after="0" w:line="240" w:lineRule="auto"/>
        <w:jc w:val="both"/>
        <w:rPr>
          <w:rFonts w:ascii="Arial" w:eastAsia="Times New Roman" w:hAnsi="Arial" w:cs="Arial"/>
          <w:color w:val="000000"/>
          <w:lang w:eastAsia="es-CO"/>
        </w:rPr>
      </w:pPr>
      <w:r w:rsidRPr="231E957E">
        <w:rPr>
          <w:rFonts w:ascii="Arial" w:eastAsia="Times New Roman" w:hAnsi="Arial" w:cs="Arial"/>
          <w:color w:val="000000" w:themeColor="text1"/>
          <w:lang w:eastAsia="es-CO"/>
        </w:rPr>
        <w:t>Parágrafo. Para efectos del presente Capítulo se entenderá por variación habitual del valor del suelo, aquél que se presenta en condiciones normales del mercado inmobiliario sin la actuación de la administración pública que anuncia el proyecto, programa u obra. </w:t>
      </w:r>
    </w:p>
    <w:p w14:paraId="5E6B87DA" w14:textId="4B281EB8" w:rsidR="00D4095E"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229" w:name="ver_30073981"/>
      <w:bookmarkEnd w:id="1229"/>
    </w:p>
    <w:p w14:paraId="503A3889" w14:textId="2036C9B2" w:rsidR="00FC79C1" w:rsidRPr="009342F9" w:rsidRDefault="00FC79C1" w:rsidP="00D4095E">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CAPÍTULO 5</w:t>
      </w:r>
    </w:p>
    <w:p w14:paraId="6497B230" w14:textId="77777777" w:rsidR="00FC79C1" w:rsidRPr="009342F9" w:rsidRDefault="00FC79C1" w:rsidP="00D4095E">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CONCURRENCIA DE TERCEROS EN LA ADQUISICIÓN DE INMUEBLES POR ENAJENACIÓN VOLUNTARIA Y EXPROPIACIÓN POR VÍA JUDICIAL O ADMINISTRATIVA</w:t>
      </w:r>
    </w:p>
    <w:p w14:paraId="2A9BD426" w14:textId="77777777" w:rsidR="00FC79C1" w:rsidRPr="009342F9" w:rsidRDefault="00FC79C1" w:rsidP="00D4095E">
      <w:pPr>
        <w:spacing w:after="0" w:line="240" w:lineRule="auto"/>
        <w:jc w:val="center"/>
        <w:rPr>
          <w:rFonts w:ascii="Arial" w:eastAsia="Times New Roman" w:hAnsi="Arial" w:cs="Arial"/>
          <w:b/>
          <w:bCs/>
          <w:color w:val="000000"/>
          <w:lang w:eastAsia="es-CO"/>
        </w:rPr>
      </w:pPr>
      <w:bookmarkStart w:id="1230" w:name="ver_30073982"/>
      <w:bookmarkEnd w:id="1230"/>
    </w:p>
    <w:p w14:paraId="3726812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2.2.5.5.1 Objeto. El presente decreto tiene por finalidad reglamentar las condiciones bajo los cuales los terceros podrán concurrir en la adquisición de predios o inmuebles, por enajenación voluntaria y/o expropiación por vía judicial o administrativa para la ejecución de proyectos de utilidad pública o interés social desarrollados directamente por particulares o mediante formas mixtas de asociación entre el sector público y el sector privado, de conformidad con los procedimientos previstos en las Leyes 9 de 1989 y 388 de 1997, para el efecto. </w:t>
      </w:r>
    </w:p>
    <w:p w14:paraId="2E9D7AB1" w14:textId="346A505E"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231" w:name="ver_30073983"/>
      <w:bookmarkEnd w:id="1231"/>
    </w:p>
    <w:p w14:paraId="6A78993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Artículo 2.2.5.5.2 Proyectos en los cuales se acepta la concurrencia de terceros. En desarrollo de lo dispuesto en el artículo 61 A de la Ley 388 de 1997 sólo se aceptará la concurrencia de terceros para la adquisición de inmuebles y ejecución de obras, proyectos y programas referidos a: </w:t>
      </w:r>
    </w:p>
    <w:p w14:paraId="2F99ABD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561418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Programas y proyectos de renovación urbana, de conformidad con los objetivos y usos del suelo establecidos en los planes de ordenamiento territorial. </w:t>
      </w:r>
    </w:p>
    <w:p w14:paraId="6F1C82C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3D2143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Unidades de actuación urbanística, conforme lo previsto en el artículo 44 de la Ley 388 de 1997. </w:t>
      </w:r>
    </w:p>
    <w:p w14:paraId="1D5E48A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5157A1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Actuaciones urbanas integrales formuladas de acuerdo con las directrices de las políticas y estrategias del respectivo plan de ordenamiento territorial, según lo previsto en los artículos 113 y siguientes de la Ley 388 de 1997. </w:t>
      </w:r>
    </w:p>
    <w:p w14:paraId="63F8CAB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A86E2C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Macroproyectos de Interés Social Nacional (MISN) que se encuentren en curso de acuerdo con la Sentencia C-149 de 2010, y </w:t>
      </w:r>
    </w:p>
    <w:p w14:paraId="03B764A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D9E465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 Proyectos Integrales de Desarrollo Urbano (PIDU). </w:t>
      </w:r>
    </w:p>
    <w:p w14:paraId="2BFE783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C56975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1°. Los programas y/o proyectos desarrollados en función de las actuaciones de los literales 1), 2) y 3) señalados anteriormente, deben estar localizados en municipios o distritos con población urbana superior a los quinientos mil habitantes y contar con un área superior a una (1) hectárea. </w:t>
      </w:r>
    </w:p>
    <w:p w14:paraId="00F7E74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16F608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2°. En todos los eventos se deberá acreditar técnicamente que el respectivo proyecto, programa u obra se ajusta a los objetivos y usos del suelo previstos en el plan de ordenamiento territorial o en los instrumentos que lo desarrollen y/o complementen. En el caso de las adquisiciones promovidas por las entidades del nivel nacional, departamental o metropolitano, las adquisiciones deberán estar en consonancia con los objetivos, programas y proyectos definidos en los planes de desarrollo correspondientes. </w:t>
      </w:r>
    </w:p>
    <w:p w14:paraId="5C8F4839" w14:textId="6F17FE48"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232" w:name="ver_30073984"/>
      <w:bookmarkEnd w:id="1232"/>
    </w:p>
    <w:p w14:paraId="7FD2AA8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2.2.5.5.3 Ejecución de unidades de actuación urbanística. La ejecución de unidades de actuación urbanística se regirá exclusivamente por lo dispuesto en el artículo 44 de la Ley 388 de 1997. En estos casos, la adquisición de predios o inmuebles, por enajenación voluntaria y/o expropiación por vía judicial o administrativa, con la concurrencia de terceros tendrá lugar cuando: </w:t>
      </w:r>
    </w:p>
    <w:p w14:paraId="4FE474C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A61B73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1. Se </w:t>
      </w:r>
      <w:proofErr w:type="gramStart"/>
      <w:r w:rsidRPr="009342F9">
        <w:rPr>
          <w:rFonts w:ascii="Arial" w:eastAsia="Times New Roman" w:hAnsi="Arial" w:cs="Arial"/>
          <w:color w:val="000000"/>
          <w:lang w:eastAsia="es-CO"/>
        </w:rPr>
        <w:t>dé inicio a</w:t>
      </w:r>
      <w:proofErr w:type="gramEnd"/>
      <w:r w:rsidRPr="009342F9">
        <w:rPr>
          <w:rFonts w:ascii="Arial" w:eastAsia="Times New Roman" w:hAnsi="Arial" w:cs="Arial"/>
          <w:color w:val="000000"/>
          <w:lang w:eastAsia="es-CO"/>
        </w:rPr>
        <w:t xml:space="preserve"> la ejecución de la unidad de actuación una vez hayan sido definidas las bases para la actuación, mediante el voto favorable de los propietarios que representen el cincuenta y uno por ciento (51 %) del área comprometida. </w:t>
      </w:r>
    </w:p>
    <w:p w14:paraId="61BE6B2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122B85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Los inmuebles de los propietarios renuentes serán objeto de los procesos de enajenación voluntaria y expropiación previstos en la Ley por parte de las entidades municipales o distritales competentes, quienes entrarán a formar parte de la asociación gestora de la actuación, sin perjuicio de que puedan transferir tales derechos a la misma. </w:t>
      </w:r>
    </w:p>
    <w:p w14:paraId="0C080D9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BFE6E7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En los casos de unidades de actuación de desarrollo prioritario, si en un plazo de seis (6) meses contados a partir de la delimitación de la unidad de actuación no se hubiese logrado el acuerdo que defina las bases para la actuación. </w:t>
      </w:r>
    </w:p>
    <w:p w14:paraId="5ADF9FF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007D7E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La administración podrá optar por la expropiación administrativa de los inmuebles correspondientes o por la enajenación forzosa de los mismos, de conformidad con lo previsto en el Capítulo VIII de la Ley 388 de 1997 o la norma que la adicione, modifique o sustituya. En todo caso, los inmuebles expropiados podrán formar parte de la asociación gestora de la actuación y los recursos para su adquisición podrán provenir de esta. </w:t>
      </w:r>
    </w:p>
    <w:p w14:paraId="53D16F71" w14:textId="51E2D306"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233" w:name="ver_30073985"/>
      <w:bookmarkEnd w:id="1233"/>
    </w:p>
    <w:p w14:paraId="24AD2DB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2.2.5.5.4 Contrato o convenio para la concurrencia de terceros. Será procedente la concurrencia de terceros en la adquisición de inmuebles por enajenación voluntaria y expropiación, siempre que medie la celebración previa de un contrato o convenio, entre la entidad expropiante y el tercero concurrente, en el que se prevean, por lo menos, los siguientes aspectos: </w:t>
      </w:r>
    </w:p>
    <w:p w14:paraId="22BFECB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7E938D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El objeto del contrato o convenio contendrá la descripción y especificaciones de la actuación a ejecutar, y la determinación de los inmuebles o la parte de ellos a adquirir. </w:t>
      </w:r>
    </w:p>
    <w:p w14:paraId="0937775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FE909A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La obligación clara e inequívoca de los terceros concurrentes con la entidad pública de destinar los inmuebles para los fines de utilidad pública para los que fueron adquiridos dentro de los términos previstos en la ley. </w:t>
      </w:r>
    </w:p>
    <w:p w14:paraId="1A246AD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222A64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La relación entre el objeto misional de la entidad competente y los motivos de utilidad pública o interés social invocados para adquirir los inmuebles. </w:t>
      </w:r>
    </w:p>
    <w:p w14:paraId="065196D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31352B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La obligación a cargo del tercero concurrente de aportar los recursos necesarios para adelantar la adquisición predial, indicando la estimación de las sumas de dinero a su cargo que además del valor de adquisición o precio indemnizatorio incluirá todos los costos asociados a la elaboración de los estudios técnicos, jurídicos, sociales y económicos en los que se fundamentará la adquisición predial, incluyendo los costos administrativos en que incurran las entidades públicas. </w:t>
      </w:r>
    </w:p>
    <w:p w14:paraId="1758832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9AC032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 La obligación de cubrir el aumento del valor del bien expropiado y las indemnizaciones decretados por el juez competente, si este fuere el caso. </w:t>
      </w:r>
    </w:p>
    <w:p w14:paraId="1700E70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8AAF18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6. La remuneración de la entidad pública expropiante para cubrir los gastos y honorarios a que haya lugar. </w:t>
      </w:r>
    </w:p>
    <w:p w14:paraId="70FF70B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2935B8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7. La obligación de los terceros concurrentes de constituir, a su cargo, una fiducia para la administración de los recursos que aporten. </w:t>
      </w:r>
    </w:p>
    <w:p w14:paraId="3A2AC4B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5C9CB0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8. La obligación por parte del tercero concurrente de aportar la totalidad de los recursos necesarios, antes de expedir la oferta de compra con la que se inicia formalmente el proceso de adquisición. </w:t>
      </w:r>
    </w:p>
    <w:p w14:paraId="797E422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BBD9D7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9. La determinación expresa de la obligación del tercero concurrente de acudir por llamamiento en garantía o como litisconsorte necesario en los procesos que se adelanten contra la entidad adquirente por cuenta de los procesos de adquisición predial a los que se refiere el presente artículo. </w:t>
      </w:r>
    </w:p>
    <w:p w14:paraId="345019B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FF7F9D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10. En cualquier caso, el tercero mantendrá indemne a la entidad expropiante por las obligaciones derivadas del contrato o convenio. </w:t>
      </w:r>
    </w:p>
    <w:p w14:paraId="74BCC0FE" w14:textId="72D0CED0"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234" w:name="ver_30073986"/>
      <w:bookmarkEnd w:id="1234"/>
    </w:p>
    <w:p w14:paraId="0844D73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2.2.5.5.5 Tradición. Siempre que se trate de actuaciones desarrolladas directamente por particulares y cuando la totalidad de los recursos para la adquisición provengan de su participación, el contrato o convenio estipulará </w:t>
      </w:r>
      <w:proofErr w:type="gramStart"/>
      <w:r w:rsidRPr="009342F9">
        <w:rPr>
          <w:rFonts w:ascii="Arial" w:eastAsia="Times New Roman" w:hAnsi="Arial" w:cs="Arial"/>
          <w:color w:val="000000"/>
          <w:lang w:eastAsia="es-CO"/>
        </w:rPr>
        <w:t>que</w:t>
      </w:r>
      <w:proofErr w:type="gramEnd"/>
      <w:r w:rsidRPr="009342F9">
        <w:rPr>
          <w:rFonts w:ascii="Arial" w:eastAsia="Times New Roman" w:hAnsi="Arial" w:cs="Arial"/>
          <w:color w:val="000000"/>
          <w:lang w:eastAsia="es-CO"/>
        </w:rPr>
        <w:t xml:space="preserve"> una vez concluido el proceso de enajenación </w:t>
      </w:r>
      <w:r w:rsidRPr="009342F9">
        <w:rPr>
          <w:rFonts w:ascii="Arial" w:eastAsia="Times New Roman" w:hAnsi="Arial" w:cs="Arial"/>
          <w:color w:val="000000"/>
          <w:lang w:eastAsia="es-CO"/>
        </w:rPr>
        <w:lastRenderedPageBreak/>
        <w:t>voluntaria y expropiación judicial y administrativa, el titular del derecho de dominio pasará a ser el tercero concurrente y como tal se inscribirá en el folio de matrícula inmobiliaria del respectivo inmueble. </w:t>
      </w:r>
    </w:p>
    <w:p w14:paraId="54015E6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39068B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 titularidad del derecho de dominio de los inmuebles adquiridos por enajenación voluntaria o forzosa por vía judicial o administrativa, para los efectos descritos, en ningún momento entrará a formar parte de los bienes de la entidad expropiante, salvo que concurran recursos públicos y privados para la adquisición de los inmuebles, evento en el cual la titularidad del derecho de dominio será de la entidad. </w:t>
      </w:r>
    </w:p>
    <w:p w14:paraId="35AAEAE6" w14:textId="07AE192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235" w:name="ver_30073987"/>
      <w:bookmarkEnd w:id="1235"/>
    </w:p>
    <w:p w14:paraId="790254F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2.2.5.5.6 Precio indemnizatorio. Si durante el proceso de expropiación judicial, el precio indemnizatorio que decrete el juez corresponde a un valor superior al contemplado en la oferta de compra, corresponderá al tercero concurrente pagar la suma adicional para cubrir el total de la indemnización. </w:t>
      </w:r>
    </w:p>
    <w:p w14:paraId="698278A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D5B47F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Se procederá de la misma manera cuando el precio indemnizatorio reconocido dentro del procedimiento de expropiación administrativa sea controvertido mediante la acción especial contencioso-administrativa de que trata el artículo 71 de la Ley 388 de 1997 o la norma que lo adicione, modifique o sustituya. </w:t>
      </w:r>
    </w:p>
    <w:p w14:paraId="611722BF" w14:textId="2963DA12"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236" w:name="ver_30073988"/>
      <w:bookmarkEnd w:id="1236"/>
    </w:p>
    <w:p w14:paraId="4F9CD7B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2.2.5.5.7 Forma de pago del precio o valor indemnizatorio en programas de renovación urbana. En los casos de enajenación voluntaria o expropiación de inmuebles para el desarrollo de programas de renovación urbana, el precio de adquisición o indemnizatorio se podrá pagar en la forma que define el artículo 119 de la Ley 388 de 1997 o la norma que lo adicione, modifique o sustituya. </w:t>
      </w:r>
    </w:p>
    <w:p w14:paraId="7FF377E5" w14:textId="6B6816A2"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237" w:name="ver_30073989"/>
      <w:bookmarkEnd w:id="1237"/>
    </w:p>
    <w:p w14:paraId="3A4B913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2.2.5.5.8 Término para ejecución de los proyectos para los cuales se adquiere los inmuebles. Cuando el inmueble se adquiera mediante el procedimiento de expropiación administrativa, el tercero concurrente deberá utilizarlo para los fines de utilidad pública o de interés social que hayan sido invocados, en un término máximo de tres (3) años contados a partir de la fecha de inscripción del derecho real de dominio a favor de la entidad pública o del tercero en la Oficina de Registro de Instrumentos Públicos, según sea el caso. Si así no lo hicieren, se dará aplicación al numeral 5 del artículo 70 de la Ley 388 de 1997 o la norma que lo adicione, modifique o sustituya. </w:t>
      </w:r>
    </w:p>
    <w:p w14:paraId="000DC82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BC4B20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De conformidad con lo previsto en el artículo 33 de la Ley 9a de 1989, cuando el inmueble se adquiera mediante el procedimiento de adquisición voluntaria o expropiación judicial, el tercero concurrente deberá utilizarlo para los fines de utilidad pública o interés social que hayan sido invocados, en un término máximo de cinco (5) años, contados a partir de la fecha de inscripción del derecho real de dominio a favor de la entidad pública o del tercero en la Oficina de Registro de Instrumentos Públicos, según sea el caso. Si así no lo hicieren, se dará aplicación a lo previsto en los artículos 33 y 34 de la Ley 9 de 1989 o la norma que lo adicione, modifique o sustituya. </w:t>
      </w:r>
    </w:p>
    <w:p w14:paraId="0449D45B" w14:textId="637D59E0"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238" w:name="ver_30073990"/>
      <w:bookmarkEnd w:id="1238"/>
    </w:p>
    <w:p w14:paraId="1F64630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2.2.5.5.9 Selección del tercero concurrente. En el caso de proyectos cuya iniciativa sea de las entidades territoriales y que concurran con sus recursos para la adquisición de los inmuebles, o la iniciativa sea de terceros no propietarios de alguno de los inmuebles objeto de las actuaciones contempladas en los literales 1) y 2) del artículo 2 del presente Capítulo, la selección de los terceros concurrentes se realizará aplicando los criterios de selección objetiva que define la normativa vigente. Cuando el tercero promotor de la iniciativa no resulte adjudicatario, quien resulte elegido le deberá reconocer los gastos de formulación del proyecto, los cuales deberán quedar definidos previamente a la apertura del proceso contractual. </w:t>
      </w:r>
    </w:p>
    <w:p w14:paraId="6936EB3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w:t>
      </w:r>
    </w:p>
    <w:p w14:paraId="7AE9E24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De conformidad con la ley, se exceptúa de este proceso de selección las unidades de actuación urbanística. </w:t>
      </w:r>
    </w:p>
    <w:p w14:paraId="7DFF91D0" w14:textId="630712B1" w:rsidR="00D4095E" w:rsidRDefault="00FC79C1" w:rsidP="00FC79C1">
      <w:pPr>
        <w:spacing w:after="0" w:line="240" w:lineRule="auto"/>
        <w:jc w:val="both"/>
        <w:rPr>
          <w:rFonts w:ascii="Arial" w:eastAsia="Times New Roman" w:hAnsi="Arial" w:cs="Arial"/>
          <w:color w:val="000000"/>
          <w:lang w:eastAsia="es-CO"/>
        </w:rPr>
      </w:pPr>
      <w:r w:rsidRPr="231E957E">
        <w:rPr>
          <w:rFonts w:ascii="Arial" w:eastAsia="Times New Roman" w:hAnsi="Arial" w:cs="Arial"/>
          <w:color w:val="000000" w:themeColor="text1"/>
          <w:lang w:eastAsia="es-CO"/>
        </w:rPr>
        <w:t>  </w:t>
      </w:r>
      <w:bookmarkStart w:id="1239" w:name="ver_30073991"/>
      <w:bookmarkEnd w:id="1239"/>
    </w:p>
    <w:p w14:paraId="1D59787B" w14:textId="2E0F100B" w:rsidR="00FC79C1" w:rsidRPr="009342F9" w:rsidRDefault="00FC79C1" w:rsidP="00D4095E">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TÍTULO 6</w:t>
      </w:r>
    </w:p>
    <w:p w14:paraId="0C6FD0DE" w14:textId="77777777" w:rsidR="00FC79C1" w:rsidRDefault="00FC79C1" w:rsidP="00D4095E">
      <w:pPr>
        <w:spacing w:after="0" w:line="240" w:lineRule="auto"/>
        <w:jc w:val="center"/>
        <w:rPr>
          <w:rFonts w:ascii="Arial" w:eastAsia="Times New Roman" w:hAnsi="Arial" w:cs="Arial"/>
          <w:b/>
          <w:bCs/>
          <w:color w:val="000000"/>
          <w:lang w:eastAsia="es-CO"/>
        </w:rPr>
      </w:pPr>
      <w:r w:rsidRPr="231E957E">
        <w:rPr>
          <w:rFonts w:ascii="Arial" w:eastAsia="Times New Roman" w:hAnsi="Arial" w:cs="Arial"/>
          <w:b/>
          <w:color w:val="000000" w:themeColor="text1"/>
          <w:lang w:eastAsia="es-CO"/>
        </w:rPr>
        <w:t>IMPLEMENTACIÓN Y CONTROL DEL DESARROLLO TERRITORIAL</w:t>
      </w:r>
    </w:p>
    <w:p w14:paraId="053FCF9E" w14:textId="77777777" w:rsidR="005C5EEB" w:rsidRPr="009342F9" w:rsidRDefault="005C5EEB" w:rsidP="00D4095E">
      <w:pPr>
        <w:spacing w:after="0" w:line="240" w:lineRule="auto"/>
        <w:jc w:val="center"/>
        <w:rPr>
          <w:rFonts w:ascii="Arial" w:eastAsia="Times New Roman" w:hAnsi="Arial" w:cs="Arial"/>
          <w:b/>
          <w:bCs/>
          <w:color w:val="000000"/>
          <w:lang w:eastAsia="es-CO"/>
        </w:rPr>
      </w:pPr>
    </w:p>
    <w:p w14:paraId="38AC8162" w14:textId="77777777" w:rsidR="00FC79C1" w:rsidRPr="009342F9" w:rsidRDefault="00FC79C1" w:rsidP="00D4095E">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CAPÍTULO 1</w:t>
      </w:r>
    </w:p>
    <w:p w14:paraId="4CEC50F0" w14:textId="77777777" w:rsidR="00FC79C1" w:rsidRDefault="00FC79C1" w:rsidP="00D4095E">
      <w:pPr>
        <w:spacing w:after="0" w:line="240" w:lineRule="auto"/>
        <w:jc w:val="center"/>
        <w:rPr>
          <w:rFonts w:ascii="Arial" w:eastAsia="Times New Roman" w:hAnsi="Arial" w:cs="Arial"/>
          <w:b/>
          <w:bCs/>
          <w:color w:val="000000"/>
          <w:lang w:eastAsia="es-CO"/>
        </w:rPr>
      </w:pPr>
      <w:r w:rsidRPr="231E957E">
        <w:rPr>
          <w:rFonts w:ascii="Arial" w:eastAsia="Times New Roman" w:hAnsi="Arial" w:cs="Arial"/>
          <w:b/>
          <w:color w:val="000000" w:themeColor="text1"/>
          <w:lang w:eastAsia="es-CO"/>
        </w:rPr>
        <w:t>LICENCIAS URBANÍSTICAS</w:t>
      </w:r>
    </w:p>
    <w:p w14:paraId="32CCBABA" w14:textId="77777777" w:rsidR="005C5EEB" w:rsidRPr="009342F9" w:rsidRDefault="005C5EEB" w:rsidP="00D4095E">
      <w:pPr>
        <w:spacing w:after="0" w:line="240" w:lineRule="auto"/>
        <w:jc w:val="center"/>
        <w:rPr>
          <w:rFonts w:ascii="Arial" w:eastAsia="Times New Roman" w:hAnsi="Arial" w:cs="Arial"/>
          <w:b/>
          <w:bCs/>
          <w:color w:val="000000"/>
          <w:lang w:eastAsia="es-CO"/>
        </w:rPr>
      </w:pPr>
    </w:p>
    <w:p w14:paraId="20E9D3D7" w14:textId="732433F4" w:rsidR="00FC79C1" w:rsidRPr="009342F9" w:rsidRDefault="00FC79C1" w:rsidP="00D4095E">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SECCIÓN 1</w:t>
      </w:r>
    </w:p>
    <w:p w14:paraId="4570B1FA" w14:textId="77777777" w:rsidR="00FC79C1" w:rsidRPr="009342F9" w:rsidRDefault="00FC79C1" w:rsidP="00D4095E">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DEFINICIÓN Y CLASES DE LICENCIAS URBANÍSTICAS</w:t>
      </w:r>
    </w:p>
    <w:p w14:paraId="0F68999E"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240" w:name="ver_30125147"/>
      <w:bookmarkStart w:id="1241" w:name="ver_30109489"/>
      <w:bookmarkStart w:id="1242" w:name="ver_30109490"/>
      <w:bookmarkEnd w:id="1240"/>
    </w:p>
    <w:p w14:paraId="3AD9F50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2.2.6.1.1.1. Licencia urbanística. Es la autorización previa para adelantar obras de urbanización y parcelación de predios, de construcción y demolición de edificaciones, de intervención y ocupación del espacio público, y para realizar el loteo o subdivisión de predios, expedida por el curador urbano o la autoridad municipal competente, en cumplimiento de las normas urbanísticas y de edificación adoptadas en el Plan de Ordenamiento Territorial, en los instrumentos que lo desarrollen o complementen, en los Planes Especiales de Manejo y Protección (PEMP) y en las leyes y demás disposiciones que expida el Gobierno nacional.  </w:t>
      </w:r>
    </w:p>
    <w:p w14:paraId="569AC57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A966CF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 expedición de la licencia urbanística implica la certificación del cumplimiento de las normas y demás reglamentaciones en que se fundamenta y conlleva la autorización específica sobre uso y aprovechamiento del suelo.  </w:t>
      </w:r>
    </w:p>
    <w:p w14:paraId="47DE96B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149E98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1°. Las licencias urbanísticas y sus modalidades podrán ser objeto de prórrogas y modificaciones.  </w:t>
      </w:r>
    </w:p>
    <w:p w14:paraId="4B90356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65DC96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Se entiende por prórroga de la licencia la ampliación del término de vigencia de </w:t>
      </w:r>
      <w:proofErr w:type="gramStart"/>
      <w:r w:rsidRPr="009342F9">
        <w:rPr>
          <w:rFonts w:ascii="Arial" w:eastAsia="Times New Roman" w:hAnsi="Arial" w:cs="Arial"/>
          <w:color w:val="000000"/>
          <w:lang w:eastAsia="es-CO"/>
        </w:rPr>
        <w:t>la misma</w:t>
      </w:r>
      <w:proofErr w:type="gramEnd"/>
      <w:r w:rsidRPr="009342F9">
        <w:rPr>
          <w:rFonts w:ascii="Arial" w:eastAsia="Times New Roman" w:hAnsi="Arial" w:cs="Arial"/>
          <w:color w:val="000000"/>
          <w:lang w:eastAsia="es-CO"/>
        </w:rPr>
        <w:t>. Se entiende por modificación de la licencia, la introducción de cambios urbanísticos, arquitectónicos o estructurales a un proyecto con licencia vigente, siempre y cuando cumplan con las normas urbanísticas, arquitectónicas y estructurales y no se afecten espacios de propiedad pública.  </w:t>
      </w:r>
    </w:p>
    <w:p w14:paraId="07050AA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775869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Las modificaciones de licencias vigentes se resolverán con fundamento en las normas urbanísticas y demás reglamentaciones que sirvieron de base para su expedición. En los eventos en que haya cambio de dicha normatividad y se pretenda modificar una licencia vigente, se deberá mantener el uso o usos aprobados en la licencia respectiva.  </w:t>
      </w:r>
    </w:p>
    <w:p w14:paraId="22B979B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07E5A8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Parágrafo 2°. La modificación de licencias urbanísticas vigentes expedidas con base en normas y reglamentaciones que hayan sido suspendidas provisionalmente por la jurisdicción de lo Contencioso Administrativo, se continuarán resolviendo con fundamento en las normas suspendidas siempre y cuando las solicitudes de modificación se presenten a partir de la </w:t>
      </w:r>
      <w:proofErr w:type="gramStart"/>
      <w:r w:rsidRPr="009342F9">
        <w:rPr>
          <w:rFonts w:ascii="Arial" w:eastAsia="Times New Roman" w:hAnsi="Arial" w:cs="Arial"/>
          <w:color w:val="000000"/>
          <w:lang w:eastAsia="es-CO"/>
        </w:rPr>
        <w:t>entrada en vigencia</w:t>
      </w:r>
      <w:proofErr w:type="gramEnd"/>
      <w:r w:rsidRPr="009342F9">
        <w:rPr>
          <w:rFonts w:ascii="Arial" w:eastAsia="Times New Roman" w:hAnsi="Arial" w:cs="Arial"/>
          <w:color w:val="000000"/>
          <w:lang w:eastAsia="es-CO"/>
        </w:rPr>
        <w:t xml:space="preserve"> de la Ley 1753 de 2015 y en la providencia que adoptó la suspensión provisional no se haya incluido disposición en contrario. En tratándose de licencias de parcelación o urbanización, para la expedición de licencias de construcción sobre sus áreas útiles se dará aplicación a lo dispuesto en el parágrafo 4 del artículo 2.2.6.1.1.7 Decreto Único Reglamentario 1077 de 2015, o la norma que lo adicione, modifique o sustituya”. </w:t>
      </w:r>
    </w:p>
    <w:p w14:paraId="4A640E70" w14:textId="77777777" w:rsidR="00FC79C1" w:rsidRPr="009342F9" w:rsidRDefault="00FC79C1" w:rsidP="00FC79C1">
      <w:pPr>
        <w:spacing w:after="0" w:line="240" w:lineRule="auto"/>
        <w:jc w:val="both"/>
        <w:rPr>
          <w:rFonts w:ascii="Arial" w:eastAsia="Times New Roman" w:hAnsi="Arial" w:cs="Arial"/>
          <w:color w:val="000000"/>
          <w:lang w:eastAsia="es-CO"/>
        </w:rPr>
      </w:pPr>
    </w:p>
    <w:bookmarkEnd w:id="1241"/>
    <w:bookmarkEnd w:id="1242"/>
    <w:p w14:paraId="26E0A3E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2.2.6.1.1.2 Clases de licencias. Las licencias urbanísticas serán de: </w:t>
      </w:r>
    </w:p>
    <w:p w14:paraId="12FBE7D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4F9518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Urbanización. </w:t>
      </w:r>
    </w:p>
    <w:p w14:paraId="4BB8C97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w:t>
      </w:r>
    </w:p>
    <w:p w14:paraId="0B166B0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Parcelación. </w:t>
      </w:r>
    </w:p>
    <w:p w14:paraId="76156C6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EEC520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Subdivisión. </w:t>
      </w:r>
    </w:p>
    <w:p w14:paraId="3B12DF2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E08DA5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Construcción. </w:t>
      </w:r>
    </w:p>
    <w:p w14:paraId="14AD851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FD7876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 Intervención y ocupación del espacio público. </w:t>
      </w:r>
    </w:p>
    <w:p w14:paraId="6A71DE7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D7084F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La expedición de las licencias de urbanización, parcelación y construcción conlleva la autorización para el cerramiento temporal del predio durante la ejecución de las obras autorizadas. En estos casos, el cerramiento no dará lugar al cobro de expensa. </w:t>
      </w:r>
    </w:p>
    <w:p w14:paraId="2D272685" w14:textId="246E32BD"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243" w:name="ver_30073994"/>
      <w:bookmarkEnd w:id="1243"/>
    </w:p>
    <w:p w14:paraId="51FD952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2.2.6.1.1.3 Competencia. El estudio, trámite y expedición de las licencias de urbanización, parcelación, subdivisión y construcción de que tratan los numerales 1 a 4 del artículo anterior corresponde a los curadores urbanos en aquellos municipios y distritos que cuenten con la figura. En los demás municipios y distritos y en el departamento Archipiélago de San Andrés, Providencia y Santa Catalina corresponde a la autoridad municipal o distrital competente. </w:t>
      </w:r>
    </w:p>
    <w:p w14:paraId="0850EFE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40F99B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 expedición de las licencias de intervención y ocupación del espacio público de que trata el numeral 5 del artículo anterior será competencia de los municipios y distritos. No obstante, los curadores urbanos al expedir licencias de construcción para predios que se ubiquen en sectores urbanizados o desarrollados podrán autorizar la reconstrucción o rehabilitación de los andenes colindantes con el predio o predios objeto de licencia, la cual se otorgará siguiendo las normas y demás especificaciones de diseño, construcción y accesibilidad definidas por la reglamentación vigente para la intervención del espacio público. Sin perjuicio de lo anterior, en ningún caso se podrá desmejorar las condiciones existentes en el espacio público antes de la ejecución de la obra. </w:t>
      </w:r>
    </w:p>
    <w:p w14:paraId="0963F241" w14:textId="722284B2"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244" w:name="ver_30109492"/>
      <w:bookmarkStart w:id="1245" w:name="ver_30109491"/>
      <w:bookmarkEnd w:id="1244"/>
    </w:p>
    <w:p w14:paraId="5A51702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2.2.6.1.1.4. Licencia de urbanización. Es la autorización previa para ejecutar en uno o varios predios localizados en suelo urbano, la creación de espacios públicos y privados, así como las vías públicas y la ejecución de obras de infraestructura de servicios públicos domiciliarios que permitan la adecuación, dotación y subdivisión de estos terrenos para la futura construcción de edificaciones con destino a usos urbanos, de conformidad con el Plan de Ordenamiento Territorial, los instrumentos que lo desarrollen y complementen, las leyes y demás reglamentaciones que expida el Gobierno nacional. </w:t>
      </w:r>
    </w:p>
    <w:p w14:paraId="01480EB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468483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Las licencias de urbanización concretan el marco normativo general sobre usos, edificabilidad, volumetría, accesibilidad y demás aspectos técnicos con base en el cual se expedirán las licencias de construcción para obra nueva en los predios resultantes de la urbanización. Con la licencia de urbanización se aprobará el plano urbanístico, el cual contendrá la representación gráfica de la urbanización, identificando todos los elementos que la componen para facilitar su comprensión, tales como: afectaciones, cesiones públicas para parques, equipamientos y vías locales, áreas útiles y el cuadro de áreas en el que se cuantifique las dimensiones de cada uno de los anteriores elementos y se haga su amojonamiento. Son modalidades de la licencia de urbanización las siguientes: </w:t>
      </w:r>
    </w:p>
    <w:p w14:paraId="6FA7040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5525FA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1. Desarrollo. Es la autorización para adelantar obras de urbanización en uno o varios predios urbanizables no urbanizados en los cuales se permiten las actuaciones de urbanización, o que </w:t>
      </w:r>
      <w:r w:rsidRPr="009342F9">
        <w:rPr>
          <w:rFonts w:ascii="Arial" w:eastAsia="Times New Roman" w:hAnsi="Arial" w:cs="Arial"/>
          <w:color w:val="000000"/>
          <w:lang w:eastAsia="es-CO"/>
        </w:rPr>
        <w:lastRenderedPageBreak/>
        <w:t>aun cuando contaron con licencia urbanística no ejecutaron las obras de urbanización aprobadas en la misma. Se otorgan aplicando las normas del tratamiento de desarrollo. </w:t>
      </w:r>
    </w:p>
    <w:p w14:paraId="742B6A4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099B21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Saneamiento. Es la autorización para ejecutar vías, parques, infraestructura de servicios públicos domiciliarios y demás zonas de cesión aprobadas en licencias urbanísticas vencidas, con el único fin de que se culmine la construcción y dotación de las zonas de cesión pública, y el proceso de entrega y escrituración a favor del municipio o distrito. Solo procede cuando las obras de urbanismo faltantes por ejecutar no superen el 20% del área total de las cesiones definidas para la respectiva urbanización. Esta licencia se resolverá con fundamento en las mismas normas urbanísticas y demás reglamentaciones que sirvieron para expedir la licencia de urbanización vencida con la que se desarrolló el resto de la urbanización. </w:t>
      </w:r>
    </w:p>
    <w:p w14:paraId="6352C78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9BE047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Reurbanización. Es la autorización concedida sobre uno o varios predios incluidos total o parcialmente en licencias de urbanización o en actos administrativos de legalización que estén delimitados por áreas consolidadas o urbanizadas, o por predios que tengan licencias de urbanización vigentes o por espacios públicos, en los cuales se requiera adelantar un nuevo proceso de urbanización o modificar el existente. </w:t>
      </w:r>
    </w:p>
    <w:p w14:paraId="09BF76A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137712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En el caso de que los predios objeto de esta licencia no abarquen la totalidad de los lotes de la licencia de urbanización o del acto de legalización inicialmente expedidos, en el nuevo </w:t>
      </w:r>
      <w:proofErr w:type="spellStart"/>
      <w:r w:rsidRPr="009342F9">
        <w:rPr>
          <w:rFonts w:ascii="Arial" w:eastAsia="Times New Roman" w:hAnsi="Arial" w:cs="Arial"/>
          <w:color w:val="000000"/>
          <w:lang w:eastAsia="es-CO"/>
        </w:rPr>
        <w:t>plano</w:t>
      </w:r>
      <w:proofErr w:type="spellEnd"/>
      <w:r w:rsidRPr="009342F9">
        <w:rPr>
          <w:rFonts w:ascii="Arial" w:eastAsia="Times New Roman" w:hAnsi="Arial" w:cs="Arial"/>
          <w:color w:val="000000"/>
          <w:lang w:eastAsia="es-CO"/>
        </w:rPr>
        <w:t xml:space="preserve"> urbanístico se demarcará el área objeto de la licencia como una etapa denominada reurbanización y el resto del área se demarcará como una etapa denominada urbanizada, separando los correspondientes cuadros de áreas. Estas licencias se expedirán aplicando las normas del tratamiento de desarrollo o de renovación urbana. </w:t>
      </w:r>
    </w:p>
    <w:p w14:paraId="16FDD85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3623BC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La licencia de urbanización en suelo de expansión urbana solo podrá expedirse previa adopción del respectivo plan parcial”. </w:t>
      </w:r>
    </w:p>
    <w:p w14:paraId="731BD36D"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246" w:name="ver_30110837"/>
      <w:bookmarkStart w:id="1247" w:name="ver_30110836"/>
      <w:bookmarkEnd w:id="1245"/>
      <w:bookmarkEnd w:id="1246"/>
    </w:p>
    <w:p w14:paraId="0D8AE4D4" w14:textId="5BD5180E"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2.2.6.1.1.5</w:t>
      </w:r>
      <w:r w:rsidR="00AF1E3B">
        <w:rPr>
          <w:rFonts w:ascii="Arial" w:eastAsia="Times New Roman" w:hAnsi="Arial" w:cs="Arial"/>
          <w:color w:val="000000"/>
          <w:lang w:eastAsia="es-CO"/>
        </w:rPr>
        <w:t xml:space="preserve"> </w:t>
      </w:r>
      <w:r w:rsidRPr="009342F9">
        <w:rPr>
          <w:rFonts w:ascii="Arial" w:eastAsia="Times New Roman" w:hAnsi="Arial" w:cs="Arial"/>
          <w:color w:val="000000"/>
          <w:lang w:eastAsia="es-CO"/>
        </w:rPr>
        <w:t xml:space="preserve">Licencia de parcelación. Es la autorización previa para ejecutar en uno o varios predios localizados en suelo rural y suburbano, la creación de espacios públicos y privados, y la ejecución de obras para vías públicas que permitan destinar los predios resultantes a los usos permitidos por el Plan de Ordenamiento Territorial, los instrumentos que lo desarrollen y complementen y la normatividad ambiental aplicable a esta clase de suelo. Estas licencias se podrán otorgar acreditando la </w:t>
      </w:r>
      <w:proofErr w:type="spellStart"/>
      <w:r w:rsidRPr="009342F9">
        <w:rPr>
          <w:rFonts w:ascii="Arial" w:eastAsia="Times New Roman" w:hAnsi="Arial" w:cs="Arial"/>
          <w:color w:val="000000"/>
          <w:lang w:eastAsia="es-CO"/>
        </w:rPr>
        <w:t>autoprestación</w:t>
      </w:r>
      <w:proofErr w:type="spellEnd"/>
      <w:r w:rsidRPr="009342F9">
        <w:rPr>
          <w:rFonts w:ascii="Arial" w:eastAsia="Times New Roman" w:hAnsi="Arial" w:cs="Arial"/>
          <w:color w:val="000000"/>
          <w:lang w:eastAsia="es-CO"/>
        </w:rPr>
        <w:t xml:space="preserve"> de servicios públicos, con la obtención de los permisos, autorizaciones y concesiones respectivas otorgadas por las autoridades competentes. </w:t>
      </w:r>
    </w:p>
    <w:p w14:paraId="24793F9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A89E5B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También se entiende que hay parcelación de predios rurales cuando se trate de unidades habitacionales en predios indivisos que presenten dimensiones, cerramientos, accesos u otras características similares a las de una urbanización, pero con intensidades y densidades propias del suelo rural que se destinen a vivienda campestre. </w:t>
      </w:r>
    </w:p>
    <w:p w14:paraId="773D7C9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CE2473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Estas parcelaciones podrán proyectarse como unidades habitacionales, recreativas o productivas y podrán acogerse al régimen de propiedad horizontal. </w:t>
      </w:r>
    </w:p>
    <w:p w14:paraId="5FD1C01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CC359C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todo caso, se requerirá de la respectiva licencia de construcción para adelantar cualquier tipo de edificación en los predios resultantes. </w:t>
      </w:r>
    </w:p>
    <w:p w14:paraId="3D56C5F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4F626F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Parágrafo. En los casos en que no se hayan culminado las obras correspondientes a la construcción y/o dotación de las zonas de cesión pública y haya vencido el plazo de la respectiva licencia de parcelación, prórroga o revalidación, se podrá solicitar una nueva licencia de parcelación para saneamiento de cesiones, con el único fin de que se culmine la construcción y/o </w:t>
      </w:r>
      <w:r w:rsidRPr="009342F9">
        <w:rPr>
          <w:rFonts w:ascii="Arial" w:eastAsia="Times New Roman" w:hAnsi="Arial" w:cs="Arial"/>
          <w:color w:val="000000"/>
          <w:lang w:eastAsia="es-CO"/>
        </w:rPr>
        <w:lastRenderedPageBreak/>
        <w:t>dotación de las zonas de cesión pública. Esta solicitud solo procede cuando las obras faltantes por ejecutar no superen el 20% del área total de las cesiones definidas para la respectiva parcelación. Esta licencia se resolverá con fundamento en las mismas normas urbanísticas y demás reglamentaciones que sirvieron para expedir la licencia de parcelación vencida con la que se desarrolló el resto de la parcelación. </w:t>
      </w:r>
    </w:p>
    <w:p w14:paraId="7FE2A923" w14:textId="64DE49EE"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248" w:name="ver_30125149"/>
      <w:bookmarkStart w:id="1249" w:name="ver_30109493"/>
      <w:bookmarkStart w:id="1250" w:name="ver_30109494"/>
      <w:bookmarkEnd w:id="1247"/>
      <w:bookmarkEnd w:id="1248"/>
    </w:p>
    <w:p w14:paraId="357F9AB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2.2.6.1.1.6. Licencia de subdivisión y sus modalidades. Es la autorización previa para dividir uno o varios predios, ubicados en suelo rural, urbano o de expansión urbana, de conformidad con lo dispuesto en el Plan de Ordenamiento Territorial, los instrumentos que lo desarrollen y complementen y demás normatividad vigente aplicable a las anteriores clases de suelo. </w:t>
      </w:r>
    </w:p>
    <w:p w14:paraId="7B5EAFF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A90DED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Cuando la subdivisión de predios para urbanizar o parcelar haya sido aprobada mediante la respectiva licencia de urbanización o parcelación, no se requerirá adicionalmente de la licencia de subdivisión. </w:t>
      </w:r>
    </w:p>
    <w:p w14:paraId="22C17E6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41AF3F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Son modalidades de la licencia de subdivisión: En suelo rural y de expansión urbana: </w:t>
      </w:r>
    </w:p>
    <w:p w14:paraId="490ED7B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976B1A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Subdivisión rural. Es la autorización previa para dividir materialmente uno o varios predios ubicados en suelo rural o de expansión urbana de conformidad con el Plan de Ordenamiento Territorial y la normatividad agraria y ambiental aplicables a estas clases de suelo, garantizando la accesibilidad a cada uno de los predios resultantes. </w:t>
      </w:r>
    </w:p>
    <w:p w14:paraId="3989CDD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6A9EB0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Mientras no se adopte el respectivo plan parcial, los predios urbanizables no urbanizados en suelo de expansión urbana no podrán subdividirse por debajo de la extensión mínima de la Unidad Agrícola Familiar (UAF), salvo los casos previstos en el artículo 45 de la Ley 160 de 1994. En ningún caso se puede autorizar la subdivisión de predios rurales en contra de lo dispuesto en la Ley 160 de 1994 o las normas que la reglamenten, adicionen, modifiquen o sustituyan. Las excepciones a la subdivisión de predios rurales por debajo de la extensión mínima de la UAF previstas en la Ley 160 de 1994, serán autorizadas en la respectiva licencia de subdivisión por los curadores urbanos o la autoridad municipal o distrital competente para el estudio, trámite y expedición de las licencias urbanísticas, y los predios resultantes solo podrán destinarse a los usos permitidos en el plan de ordenamiento o los instrumentos que lo desarrollen o complementen. En todo caso la autorización de actuaciones de edificación en los predios resultantes deberá garantizar que se mantenga la naturaleza rural de los terrenos, y no dará lugar a la implantación de actividades urbanas o a la formación de nuevos núcleos de población. </w:t>
      </w:r>
    </w:p>
    <w:p w14:paraId="6FAB0B9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FE79C3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suelo urbano: </w:t>
      </w:r>
    </w:p>
    <w:p w14:paraId="436071B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5F6AEB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Subdivisión urbana. Es la autorización para dividir materialmente uno o varios predios urbanizables no urbanizados ubicados en suelo urbano. Para efectos de lo dispuesto en el artículo 2.2.2.1.4.1.4. del presente decreto, solamente se podrá expedir esta modalidad de licencia cuando se presente alguna de las siguientes situaciones: </w:t>
      </w:r>
    </w:p>
    <w:p w14:paraId="4398FE9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F6BC07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 Se pretenda dividir la parte del predio que esté ubicada en suelo urbano de la parte que se localice en suelo de expansión urbana o en suelo rural; </w:t>
      </w:r>
    </w:p>
    <w:p w14:paraId="43C39EB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2AD04F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b) Existan reglas especiales para subdivisión previa al proceso de urbanización contenidas en el plan de ordenamiento territorial o los instrumentos que lo desarrollen o complementen. </w:t>
      </w:r>
    </w:p>
    <w:p w14:paraId="02A41E7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D31B7E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xml:space="preserve">3. </w:t>
      </w:r>
      <w:proofErr w:type="spellStart"/>
      <w:r w:rsidRPr="009342F9">
        <w:rPr>
          <w:rFonts w:ascii="Arial" w:eastAsia="Times New Roman" w:hAnsi="Arial" w:cs="Arial"/>
          <w:color w:val="000000"/>
          <w:lang w:eastAsia="es-CO"/>
        </w:rPr>
        <w:t>Reloteo</w:t>
      </w:r>
      <w:proofErr w:type="spellEnd"/>
      <w:r w:rsidRPr="009342F9">
        <w:rPr>
          <w:rFonts w:ascii="Arial" w:eastAsia="Times New Roman" w:hAnsi="Arial" w:cs="Arial"/>
          <w:color w:val="000000"/>
          <w:lang w:eastAsia="es-CO"/>
        </w:rPr>
        <w:t xml:space="preserve">. Es la autorización para englobar, dividir, redistribuir o modificar el loteo de uno o más predios previamente urbanizados o legalizados, de conformidad con las normas urbanísticas que para el efecto establezcan el Plan de Ordenamiento Territorial y los instrumentos que lo desarrollen y complementen. En esta modalidad de licencia se podrá hacer redistribución de los espacios privados y públicos siempre que las áreas públicas resultantes del área objeto del </w:t>
      </w:r>
      <w:proofErr w:type="spellStart"/>
      <w:r w:rsidRPr="009342F9">
        <w:rPr>
          <w:rFonts w:ascii="Arial" w:eastAsia="Times New Roman" w:hAnsi="Arial" w:cs="Arial"/>
          <w:color w:val="000000"/>
          <w:lang w:eastAsia="es-CO"/>
        </w:rPr>
        <w:t>reloteo</w:t>
      </w:r>
      <w:proofErr w:type="spellEnd"/>
      <w:r w:rsidRPr="009342F9">
        <w:rPr>
          <w:rFonts w:ascii="Arial" w:eastAsia="Times New Roman" w:hAnsi="Arial" w:cs="Arial"/>
          <w:color w:val="000000"/>
          <w:lang w:eastAsia="es-CO"/>
        </w:rPr>
        <w:t xml:space="preserve"> sean iguales o superiores a las aprobadas en las licencias de urbanización o en los actos de legalización. </w:t>
      </w:r>
    </w:p>
    <w:p w14:paraId="2769491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D25502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1º. Ninguna de las modalidades de la licencia de subdivisión de que trata este artículo autoriza la ejecución de obras de infraestructura o de construcción. </w:t>
      </w:r>
    </w:p>
    <w:p w14:paraId="6B815B8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CA16F6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Parágrafo 2º. Las subdivisiones en suelo urbano de que tratan los numerales 2 y 3 del presente artículo, se sujetarán al cumplimiento de las dimensiones de áreas y frentes mínimos establecidos en los actos administrativos correspondientes. Los predios resultantes de la subdivisión y/o </w:t>
      </w:r>
      <w:proofErr w:type="spellStart"/>
      <w:r w:rsidRPr="009342F9">
        <w:rPr>
          <w:rFonts w:ascii="Arial" w:eastAsia="Times New Roman" w:hAnsi="Arial" w:cs="Arial"/>
          <w:color w:val="000000"/>
          <w:lang w:eastAsia="es-CO"/>
        </w:rPr>
        <w:t>reloteo</w:t>
      </w:r>
      <w:proofErr w:type="spellEnd"/>
      <w:r w:rsidRPr="009342F9">
        <w:rPr>
          <w:rFonts w:ascii="Arial" w:eastAsia="Times New Roman" w:hAnsi="Arial" w:cs="Arial"/>
          <w:color w:val="000000"/>
          <w:lang w:eastAsia="es-CO"/>
        </w:rPr>
        <w:t xml:space="preserve"> deberán contar con frente sobre vía pública vehicular o peatonal y no podrán accederse por zonas verdes y/o comunales. </w:t>
      </w:r>
    </w:p>
    <w:p w14:paraId="383BE47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CB964F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3º. No se requerirá licencia de subdivisión cuando se trate de particiones o divisiones materiales de predios ordenadas por sentencia judicial en firme o cuando se requiera subdividir predios por motivo de la ejecución de obras de utilidad pública. En estos casos, la división material se realizará con fundamento en lo ordenado en la sentencia judicial o con el registro topográfico que elabore la entidad pública que ejecute la respectiva obra. </w:t>
      </w:r>
    </w:p>
    <w:p w14:paraId="1F63B54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F2EDC6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Parágrafo 4º. Las subdivisiones de predios hechas por escritura pública debidamente inscrita en la respectiva Oficina de Registro de Instrumentos Públicos con anterioridad a la expedición de la Ley 810 de 2003, no requerirán de licencia de subdivisión, en cualquiera de sus modalidades, para adelantar ningún trámite. Los predios cuya subdivisión se haya efectuado antes de la </w:t>
      </w:r>
      <w:proofErr w:type="gramStart"/>
      <w:r w:rsidRPr="009342F9">
        <w:rPr>
          <w:rFonts w:ascii="Arial" w:eastAsia="Times New Roman" w:hAnsi="Arial" w:cs="Arial"/>
          <w:color w:val="000000"/>
          <w:lang w:eastAsia="es-CO"/>
        </w:rPr>
        <w:t>entrada en vigencia</w:t>
      </w:r>
      <w:proofErr w:type="gramEnd"/>
      <w:r w:rsidRPr="009342F9">
        <w:rPr>
          <w:rFonts w:ascii="Arial" w:eastAsia="Times New Roman" w:hAnsi="Arial" w:cs="Arial"/>
          <w:color w:val="000000"/>
          <w:lang w:eastAsia="es-CO"/>
        </w:rPr>
        <w:t xml:space="preserve"> de la mencionada ley, y que cuenten con frente y/o área inferior a la mínima establecida por la reglamentación urbanística, podrán obtener licencia de construcción siempre y cuando sean desarrollables aplicando las normas urbanísticas y de edificación vigentes. </w:t>
      </w:r>
    </w:p>
    <w:p w14:paraId="53CB4E2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D86FDC5" w14:textId="77777777" w:rsidR="00D4095E"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 incorporación a la cartografía oficial de tales subdivisiones no implica autorización alguna para urbanizar, parcelar o construir sobre los lotes resultantes, para cuyo efecto, el interesado, en todos los casos, deberá adelantar el trámite de solicitud de licencia de parcelación, urbanización o construcción ante el curador urbano o la autoridad municipal o distrital competente para el estudio, trámite y expedición de las licencias urbanísticas, en los términos de que trata el presente decreto y demás normas concordantes”. </w:t>
      </w:r>
      <w:bookmarkStart w:id="1251" w:name="ver_30109495"/>
      <w:bookmarkStart w:id="1252" w:name="ver_30109496"/>
      <w:bookmarkStart w:id="1253" w:name="ver_30110838"/>
      <w:bookmarkEnd w:id="1249"/>
      <w:bookmarkEnd w:id="1250"/>
    </w:p>
    <w:p w14:paraId="339C1343" w14:textId="77777777" w:rsidR="00D4095E" w:rsidRPr="009342F9" w:rsidRDefault="00D4095E" w:rsidP="00FC79C1">
      <w:pPr>
        <w:spacing w:after="0" w:line="240" w:lineRule="auto"/>
        <w:jc w:val="both"/>
        <w:rPr>
          <w:rFonts w:ascii="Arial" w:eastAsia="Times New Roman" w:hAnsi="Arial" w:cs="Arial"/>
          <w:color w:val="000000"/>
          <w:lang w:eastAsia="es-CO"/>
        </w:rPr>
      </w:pPr>
    </w:p>
    <w:p w14:paraId="0F882A69" w14:textId="3A009EA1"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2.2.6.1.1.7.</w:t>
      </w:r>
      <w:r w:rsidR="0012676B">
        <w:rPr>
          <w:rFonts w:ascii="Arial" w:eastAsia="Times New Roman" w:hAnsi="Arial" w:cs="Arial"/>
          <w:color w:val="000000"/>
          <w:lang w:eastAsia="es-CO"/>
        </w:rPr>
        <w:t xml:space="preserve"> </w:t>
      </w:r>
      <w:r w:rsidRPr="009342F9">
        <w:rPr>
          <w:rFonts w:ascii="Arial" w:eastAsia="Times New Roman" w:hAnsi="Arial" w:cs="Arial"/>
          <w:color w:val="000000"/>
          <w:lang w:eastAsia="es-CO"/>
        </w:rPr>
        <w:t>Licencia de construcción y sus modalidades. Es la autorización previa para desarrollar edificaciones, áreas de circulación y zonas comunales en uno o varios predios, de conformidad con lo previsto en el Plan de Ordenamiento Territorial, los instrumentos que lo desarrollen y complementen, los Planes Especiales de Manejo y Protección de Bienes de Interés Cultural, y demás normatividad que regule la materia. En las licencias de construcción se concretarán de manera específica los usos, edificabilidad, volumetría, accesibilidad y demás aspectos técnicos aprobados para la respectiva edificación. Son modalidades de la licencia de construcción las siguientes:  </w:t>
      </w:r>
    </w:p>
    <w:p w14:paraId="75CFA4E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9F5486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Obra nueva. Es la autorización para adelantar obras de edificación en terrenos no construidos o cuya área esté libre por autorización de demolición total.  </w:t>
      </w:r>
    </w:p>
    <w:p w14:paraId="11E8144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F5FA93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2. Ampliación. Es la autorización para incrementar el área construida de una edificación existente, entendiéndose por área construida la parte edificada que corresponde a la suma de las superficies de los pisos, excluyendo azoteas y áreas sin cubrir o techar. La edificación que incremente el área construida podrá aprobarse adosada o aislada de la construcción existente, pero en todo caso, la sumatoria de ambas debe circunscribirse al potencial de construcción permitido para el predio o predios objeto de la licencia según lo definido en las normas urbanísticas.  </w:t>
      </w:r>
    </w:p>
    <w:p w14:paraId="63EC45C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A3DBB1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Adecuación. Es la autorización para cambiar el uso de una edificación o parte de ella, garantizando la permanencia total o parcial del inmueble original.  </w:t>
      </w:r>
    </w:p>
    <w:p w14:paraId="2D3FF68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9E0FB9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Modificación. Es la autorización para variar el diseño arquitectónico o estructural de una edificación existente, sin incrementar su área construida.  </w:t>
      </w:r>
    </w:p>
    <w:p w14:paraId="1720E7A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464186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 Restauración. Es la autorización para adelantar las obras tendientes a recuperar y adaptar un inmueble o parte de este, con el fin de conservar y revelar sus valores estéticos, históricos y simbólicos. Se fundamenta en el respeto por su integridad y autenticidad. Esta modalidad de licencia incluirá las liberaciones o demoliciones parciales de agregados de los bienes de interés cultural aprobadas por parte de la autoridad competente en los anteproyectos que autoricen su intervención.  </w:t>
      </w:r>
    </w:p>
    <w:p w14:paraId="6F08473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BA0B3C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6. Reforzamiento Estructural. Es la autorización para intervenir o reforzar la estructura de uno o varios inmuebles, con el objeto de acondicionarlos a niveles adecuados de seguridad sismorresistente de acuerdo con los requisitos de la Ley 400 de 1997, sus decretos reglamentarios, o las normas que los adicionen, modifiquen o sustituyan y el Reglamento colombiano de construcción sismorresistente y la norma que lo adicione, modifique o sustituya. Esta modalidad de licencia se podrá otorgar sin perjuicio del posterior cumplimiento de las normas urbanísticas vigentes, actos de legalización y/o el reconocimiento de edificaciones construidas sin licencia, siempre y cuando en este último caso la edificación se haya concluido como mínimo cinco (5) años antes de la solicitud de reforzamiento y no se encuentre en ninguna de las situaciones previstas en el artículo 2.2.6.4.1.2 del presente decreto. Cuando se tramite sin incluir ninguna otra modalidad de licencia, su expedición no implicará aprobación de usos ni autorización para ejecutar obras diferentes a las del reforzamiento estructural.  </w:t>
      </w:r>
    </w:p>
    <w:p w14:paraId="4F1D354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E90CA4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7. Demolición. Es la autorización para derribar total o parcialmente una o varias edificaciones existentes en uno o varios predios y deberá concederse de manera simultánea con cualquiera otra modalidad de licencia de construcción.  </w:t>
      </w:r>
    </w:p>
    <w:p w14:paraId="03AD644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DEBF69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No se requerirá esta modalidad de licencia cuando se trate de programas o proyectos de renovación urbana, del cumplimiento de orden judicial o administrativa, o de la ejecución de obras de infraestructura vial o de servicios públicos domiciliarios que se encuentren contemplados en el Plan de Ordenamiento Territorial o en los instrumentos que lo desarrollen y complementen.  </w:t>
      </w:r>
    </w:p>
    <w:p w14:paraId="5060DF8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F6CB0A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Tratándose de predios ubicados en área de influencia de un Sector Urbano declarado Bien de Interés Cultural, esta modalidad se deberá otorgar con la modalidad de cerramiento. Las demás modalidades de licencia de construcción solo se podrán expedir cuando se aporte el anteproyecto de intervención aprobado por la autoridad competente.  </w:t>
      </w:r>
    </w:p>
    <w:p w14:paraId="77C2231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DC88E6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8. Reconstrucción. Es la autorización que se otorga para volver a construir edificaciones que contaban con licencia o con acto de reconocimiento y que fueron afectadas por la ocurrencia de algún siniestro. Esta modalidad de licencia se limitará a autorizar la reconstrucción de la </w:t>
      </w:r>
      <w:r w:rsidRPr="009342F9">
        <w:rPr>
          <w:rFonts w:ascii="Arial" w:eastAsia="Times New Roman" w:hAnsi="Arial" w:cs="Arial"/>
          <w:color w:val="000000"/>
          <w:lang w:eastAsia="es-CO"/>
        </w:rPr>
        <w:lastRenderedPageBreak/>
        <w:t>edificación en las mismas condiciones aprobadas por la licencia original, los actos de reconocimientos y sus modificaciones.  </w:t>
      </w:r>
    </w:p>
    <w:p w14:paraId="420B107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D831DA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9. Cerramiento. Es la autorización para encerrar de manera permanente un predio de propiedad privada.  </w:t>
      </w:r>
    </w:p>
    <w:p w14:paraId="6A15CF5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1BFE22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1°. La solicitud de licencia de construcción podrá incluir la petición para adelantar obras en una o varias de las modalidades descritas en este artículo.  </w:t>
      </w:r>
    </w:p>
    <w:p w14:paraId="19537F5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3499EB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2°. Podrán desarrollarse por etapas los proyectos de construcción para los cuales se solicite licencia de construcción en la modalidad de obra nueva, siempre y cuando se someta al régimen de propiedad horizontal establecido por la Ley 675 de 2001 o la norma que la modifique, adicione o sustituya. Para este caso, en el plano general del proyecto se identificará el área objeto de aprobación para la respectiva etapa, así como el área que queda destinada para futuro desarrollo, y la definición de la ubicación y cuadro de áreas para cada una de las etapas. En la licencia de construcción de la última etapa se aprobará un plano general que establecerá el cuadro de áreas definitivo de todo el proyecto.  </w:t>
      </w:r>
    </w:p>
    <w:p w14:paraId="2A5A0E4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BE3483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 reglamentación urbanística con la que se apruebe el plano general del proyecto y de la primera etapa servirá de fundamento para la expedición de las licencias de construcción de las demás etapas, aun cuando las normas urbanísticas hayan cambiado y, siempre que la licencia de construcción para la nueva etapa se solicite como mínimo treinta (30) días calendario antes del vencimiento de la licencia de la etapa anterior.  </w:t>
      </w:r>
    </w:p>
    <w:p w14:paraId="395607D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477ED9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3°. La licencia de construcción en la modalidad de obra nueva también podrá contemplar la autorización para construir edificaciones de carácter temporal destinadas exclusivamente a salas de ventas, las cuales deberán ser construidas dentro del paramento de construcción y no se computarán dentro de los índices de ocupación y/o construcción adoptados en el Plan de Ordenamiento Territorial o los instrumentos que lo desarrollen y complementen.  </w:t>
      </w:r>
    </w:p>
    <w:p w14:paraId="77E1B66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920833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los casos en que simultáneamente se aprueben licencias de urbanización y de construcción, la sala de ventas se podrá ubicar temporalmente en las zonas destinadas para cesión pública. No obstante, para poder entregar materialmente estas zonas a los municipios y distritos, será necesario adecuar y/o dotar la zona de cesión en los términos aprobados en la respectiva licencia de urbanización.  </w:t>
      </w:r>
    </w:p>
    <w:p w14:paraId="5F57769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96CE72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todo caso, el constructor responsable queda obligado a demoler la construcción temporal antes de dos (2) años, contados a partir de la fecha de ejecutoria de la licencia. Si vencido este plazo no se hubiere demolido la construcción temporal, la autoridad competente para ejercer el control urbano procederá a ordenar la demolición de dichas obras con cargo al titular de la licencia, sin perjuicio de la imposición de las sanciones urbanísticas a que haya lugar.  </w:t>
      </w:r>
    </w:p>
    <w:p w14:paraId="21ED9A4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343F24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4°. Los titulares de licencias de parcelación y urbanización tendrán derecho a que se les expida la correspondiente licencia de construcción con base en las normas urbanísticas y demás reglamentaciones que sirvieron de base para la expedición de la licencia de parcelación o urbanización, siempre y cuando se presente alguna de las siguientes condiciones:  </w:t>
      </w:r>
    </w:p>
    <w:p w14:paraId="50B263E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6AEC9F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 Que la solicitud de licencia de construcción se radique en legal y debida forma durante la vigencia de la licencia de parcelación o urbanización en la modalidad de desarrollo, o  </w:t>
      </w:r>
    </w:p>
    <w:p w14:paraId="5A87D68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83E27A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b) Que el titular de la licencia haya ejecutado la totalidad de las obras contempladas en la misma y entregado y dotado las cesiones correspondientes.  </w:t>
      </w:r>
    </w:p>
    <w:p w14:paraId="7383078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4C3CCA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5°. Cuando las licencias de construcción en las modalidades descritas en este artículo aprueben edificaciones destinadas a oficinas en las que se permiten usos de los servicios empresariales y personales o denominaciones similares según la norma urbanística bajo la cual se aprobó la respectiva licencia que presta el sector privado, se entiende que tal aprobación permite la localización de sedes en las que la administración pública presta servicios del Estado, sin que sea necesario obtener licencia de construcción en la modalidad de adecuación.  </w:t>
      </w:r>
    </w:p>
    <w:p w14:paraId="668F3F5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07DE58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6°. Cuando en las licencias de construcción se apruebe la reconstrucción o rehabilitación de los andenes colindantes con el predio o predios objeto de la licencia y en tales andenes se deban ejecutar obras para prevenir, mitigar, corregir o compensar impactos sobre la movilidad peatonal previstas en los estudios de tránsito de que trata el artículo 2.2.6.1.2.1.12. del presente decreto, en el plano de reconstrucción o rehabilitación de andenes se deberá incluir el diseño de dichas obras.  </w:t>
      </w:r>
    </w:p>
    <w:p w14:paraId="013B4939" w14:textId="07284F43"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254" w:name="ver_30073999"/>
      <w:bookmarkEnd w:id="1251"/>
      <w:bookmarkEnd w:id="1252"/>
      <w:bookmarkEnd w:id="1253"/>
      <w:bookmarkEnd w:id="1254"/>
    </w:p>
    <w:p w14:paraId="5A74C9A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2.2.6.1.1.8 Estado de ruina. Sin perjuicio de las normas de policía y de las especiales que regulen los inmuebles y sectores declarados como bienes de interés cultural, cuando una edificación o parte de ella se encuentre en estado ruinoso y atente contra la seguridad de la comunidad, el alcalde o por conducto de sus agentes, de oficio o a petición de parte, declarará el estado de ruina de la edificación y ordenará su demolición parcial o total. El acto administrativo que declare el estado de ruina hará las veces de licencia de demolición. El estado de ruina se declarará cuando la edificación presente un agotamiento generalizado de sus elementos estructurales, previo peritaje técnico sobre la vulnerabilidad estructural de la construcción, firmado por un ingeniero acreditado de conformidad con los requisitos de Ley 400 de 1997, sus decretos reglamentarios, o las normas que los adicionen, modifiquen o sustituyan y el Reglamento Colombiano de Construcción Sismo Resistente y la norma que lo adicione, modifique o sustituya quien se hará responsable del dictamen. Tratándose de la demolición de un bien de interés cultural también deberá contar con la autorización de la autoridad que lo haya declarado como tal. </w:t>
      </w:r>
    </w:p>
    <w:p w14:paraId="4D67F41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80D378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De conformidad con lo previsto en el artículo 106 de la Ley 388 de 1997 o la norma que lo adicione, modifique o sustituya, cuando la declaratoria del estado de ruina obligue la demolición parcial o total de una construcción o edificio declarado como bien de interés cultural, se ordenará la reconstrucción inmediata de lo demolido, según su diseño original y con sujeción a las normas de conservación y restauración que sean aplicables, previa autorización del proyecto de intervención por parte de la autoridad que hizo la declaratoria. </w:t>
      </w:r>
    </w:p>
    <w:p w14:paraId="0CAAC277" w14:textId="3A7A7579"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255" w:name="ver_30074000"/>
      <w:bookmarkEnd w:id="1255"/>
    </w:p>
    <w:p w14:paraId="0DF318A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2.2.6.1.1.9 Autorización de actuaciones urbanísticas en bienes de interés cultural. Sin perjuicio de lo dispuesto en el numeral 4 del artículo 2.2.6.1.2.1.11 del presente decreto, cuando se haya adoptado el Plan Especial de Manejo y Protección de Bienes de Interés Cultural por la autoridad competente, las solicitudes de licencias urbanísticas sobre bienes de interés cultural y sobre los inmuebles localizados al interior de su zona de influencia, se resolverán con sujeción a las normas urbanísticas y de edificación que se adopten en el mismo. En caso de no haberse adoptado el Plan Especial de Manejo y Protección al momento de la solicitud, las licencias se podrán expedir con base en el anteproyecto de intervención del bien de interés cultural aprobado por parte de la autoridad que efectuó la respectiva declaratoria, en el cual se señalará el uso específico autorizado. </w:t>
      </w:r>
    </w:p>
    <w:p w14:paraId="4205E58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7437FF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Parágrafo. El anteproyecto autorizado por la entidad que hubiere efectuado la declaratoria de Bienes de Interés Cultural no podrá ser modificado en volumetría, altura, empates ni condiciones espaciales, sin previa autorización por parte de la misma entidad. </w:t>
      </w:r>
    </w:p>
    <w:p w14:paraId="6665D61A" w14:textId="5A93BF0A"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256" w:name="ver_30074001"/>
      <w:bookmarkEnd w:id="1256"/>
    </w:p>
    <w:p w14:paraId="6BD392F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2.2.6.1.1.10 Reparaciones locativas. Se entiende por reparaciones o mejoras locativas aquellas obras que tienen como finalidad mantener el inmueble en las debidas condiciones de higiene y ornato sin afectar su estructura portante, su distribución interior, sus características funcionales, formales y/o volumétricas. No requerirán licencia de construcción las reparaciones o mejoras locativas a que hace referencia el artículo 8 de la Ley 810 de 2003 o la norma que lo adicione, modifique o sustituya. </w:t>
      </w:r>
    </w:p>
    <w:p w14:paraId="2EB8E5D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6555AA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Están incluidas dentro de las reparaciones locativas, entre otras, las siguientes obras: el mantenimiento, la sustitución, restitución o mejoramiento de los materiales de pisos, cielorrasos, enchapes, pintura en general, y la sustitución, mejoramiento o ampliación de redes de instalaciones hidráulicas, sanitarias, eléctricas, telefónicas o de gas. Sin perjuicio de lo anterior, quien ejecuta la obra se hace responsable de: </w:t>
      </w:r>
    </w:p>
    <w:p w14:paraId="1384208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EDF81D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Cumplir con los reglamentos establecidos para la propiedad horizontal y las normas que regulan los servicios públicos domiciliarios. </w:t>
      </w:r>
    </w:p>
    <w:p w14:paraId="6F8465C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540586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Prevenir daños que se puedan ocasionar a terceros y en caso de que se presenten, responder de conformidad con las normas civiles que regulan la materia. </w:t>
      </w:r>
    </w:p>
    <w:p w14:paraId="508B752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11A32E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Cumplir con los procedimientos previos, requisitos y normas aplicables a los inmuebles de conservación histórica, arquitectónica o bienes de interés cultural. </w:t>
      </w:r>
    </w:p>
    <w:p w14:paraId="42E37A70" w14:textId="16052B5B"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257" w:name="ver_30074002"/>
      <w:bookmarkEnd w:id="1257"/>
    </w:p>
    <w:p w14:paraId="2BDCE9F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2.2.6.1.1.11 Régimen especial en materia de licencias urbanísticas. Para la expedición de las licencias urbanísticas, se tendrá en cuenta lo siguiente: </w:t>
      </w:r>
    </w:p>
    <w:p w14:paraId="550862F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DC8E34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No se requerirá licencia urbanística de urbanización, parcelación, construcción o subdivisión en ninguna de sus modalidades para: </w:t>
      </w:r>
    </w:p>
    <w:p w14:paraId="5EC44DA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BE3A2E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1.1 La construcción, ampliación, adecuación, modificación, restauración, remodelación, reforzamiento, demolición y cerramiento de aeropuertos nacionales e internacionales y sus instalaciones, tales como torres de control, hangares, talleres, terminales, plataformas, pistas y calles de rodaje, radio ayudas y demás edificaciones transitorias y permanentes, cuya autorización corresponda exclusivamente a la Aeronáutica Civil, de acuerdo con el Decreto-ley 2724 de 1993 o las normas que lo adicionen, modifique o sustituya. </w:t>
      </w:r>
    </w:p>
    <w:p w14:paraId="56ECA02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EC9C3A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1.2 La ejecución de proyectos de infraestructura de la red vial nacional, regional, departamental y/o municipal; puertos marítimos y fluviales; infraestructura para la exploración y explotación de hidrocarburos; hidroeléctricas, y sistemas de abastecimiento de agua, saneamiento y suministro de energía; sin perjuicio de las demás autorizaciones, permisos o licencias que otorguen las autoridades competentes respecto de cada materia. Tampoco requerirá licencia el desarrollo de edificaciones de carácter transitorio o provisional que sean inherentes a la construcción de este tipo de proyectos. </w:t>
      </w:r>
    </w:p>
    <w:p w14:paraId="2D63A75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316E3D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No se requerirá licencia urbanística de construcción en ninguna de sus modalidades para la ejecución de estructuras especiales tales como puentes, torres de transmisión, torres y equipos industriales, muelles, estructuras hidráulicas y todas aquellas estructuras cuyo comportamiento dinámico difiera del de edificaciones convencionales. </w:t>
      </w:r>
    </w:p>
    <w:p w14:paraId="002F439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w:t>
      </w:r>
    </w:p>
    <w:p w14:paraId="303FB55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Cuando este tipo de estructuras se contemple dentro del trámite de una licencia de construcción, urbanización o parcelación no se computarán dentro de los índices de ocupación y construcción y tampoco estarán sujetas al cumplimiento de la Ley 400 de 1997 y sus decretos reglamentarios, o las normas que los adicionen, modifiquen o sustituyan; y el Reglamento Colombiano de Construcción Sismo Resistente - NSR-10, o la norma que lo adicione, modifique o sustituya. </w:t>
      </w:r>
    </w:p>
    <w:p w14:paraId="171CB62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383EAF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Requieren licencia de construcción en cualquiera de sus modalidades, las edificaciones convencionales de carácter permanente que se desarrollen al interior del área del proyecto, obra o actividad de que trata el literal b) del numeral primero del presente artículo. Dichas licencias serán otorgadas por el curador urbano o la autoridad municipal competente con fundamento en la Ley 400 de 1997 y sus decretos reglamentarios, o las normas que los adicionen, modifiquen o sustituyan; y el Reglamento Colombiano de Construcción Sismo Resistente - NSR-10, o la norma que lo adicione, modifique o sustituya; y en todas aquellas disposiciones de carácter especial que regulen este tipo de proyectos. En ninguno de los casos señalados en este numeral se requerirá licencia de urbanización, parcelación ni subdivisión. Parágrafo. Lo previsto en el presente artículo no excluye del cumplimiento de lo dispuesto en los artículos 2.2.6.1.1.12 y 2.2.6.1.1.13 del presente decreto en lo relacionado con la intervención y ocupación del espacio público. </w:t>
      </w:r>
    </w:p>
    <w:p w14:paraId="11A31FC9" w14:textId="3A170F93"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258" w:name="ver_30074003"/>
      <w:bookmarkEnd w:id="1258"/>
    </w:p>
    <w:p w14:paraId="3A071F5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2.2.6.1.1.12 Licencia de intervención y ocupación del espacio público. Es la autorización previa para ocupar o para intervenir bienes de uso público incluidos en el espacio público, de conformidad con las normas urbanísticas adoptadas en el Plan de Ordenamiento Territorial, en los instrumentos que lo desarrollen y complementen y demás normatividad vigente. </w:t>
      </w:r>
    </w:p>
    <w:p w14:paraId="3E4909D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30C604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1°. Para intervenir y ocupar el espacio público, los municipios y distritos solamente podrán exigir las licencias, permisos y autorizaciones que se encuentren previstos de manera taxativa en la ley o autorizados por esta, los cuales se agruparán en una o varias de las modalidades de licencia de intervención u ocupación del espacio público previsto en el presente Capítulo. </w:t>
      </w:r>
    </w:p>
    <w:p w14:paraId="5CD5E9A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57129B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2°. Las entidades del nivel central o descentralizado de la Rama Ejecutiva del orden nacional, departamental, municipal y distrital, salvo las empresas industriales y comerciales del Estado, y las sociedades de economía mixta, no están obligadas a obtener licencias de intervención y ocupación del espacio público cuando en cumplimiento de sus funciones, ejecuten obras o actuaciones expresamente contempladas en los planes de desarrollo nacional, departamentales, municipales o distritales, en el Plan de Ordenamiento Territorial o en los instrumentos que lo desarrollen y complementen. </w:t>
      </w:r>
    </w:p>
    <w:p w14:paraId="315A5C5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294A5E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3°. La intervención de los elementos arquitectónicos o naturales de los bienes de propiedad privada que hagan parte del espacio público del municipio o distrito, tales como: cubiertas, fachadas, paramentos, pórticos o antejardines, no requieren de la obtención de licencia de intervención y ocupación del espacio público. No obstante, deben contar con la licencia de construcción correspondiente en los casos en que esta sea requerida, de conformidad con las normas municipales o distritales aplicables para el efecto. </w:t>
      </w:r>
    </w:p>
    <w:p w14:paraId="4BAC9EC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85308E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4°. Para efectos de lo dispuesto en el numeral segundo del artículo 2 de la Ley 810 de 2003 o la norma que lo adicione, modifique o sustituya, sólo se permitirá el cerramiento de aquellas zonas de uso público, como parques y áreas verdes, distintas de las resultantes de los procesos de urbanización, parcelación o legalización urbanística. </w:t>
      </w:r>
    </w:p>
    <w:p w14:paraId="0CBD1879" w14:textId="7E055611"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259" w:name="ver_30074004"/>
      <w:bookmarkEnd w:id="1259"/>
    </w:p>
    <w:p w14:paraId="4D60A43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Artículo 2.2.6.1.1.13 Modalidades de la licencia de intervención y ocupación del espacio público. Son modalidades de la licencia de intervención y ocupación del espacio público las siguientes: </w:t>
      </w:r>
    </w:p>
    <w:p w14:paraId="0F8885A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37D4AC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Licencia de ocupación del espacio público para la localización de equipamiento. Es la autorización para ocupar una zona de cesión pública o de uso público con edificaciones destinadas al equipamiento comunal público. Requieren de la expedición de este tipo de licencias los desarrollos urbanísticos aprobados o legalizados por resoluciones expedidas por las oficinas de planeación municipales o distritales, o por dependencias o entidades que hagan sus veces, en los cuales no se haya autorizado el desarrollo de un equipamiento comunal específico. Los municipios y distritos determinarán el máximo porcentaje de las áreas públicas que pueden ser ocupadas con equipamientos. En cualquier caso, la construcción de toda edificación destinada al equipamiento comunal requerirá la respectiva licencia de construcción y sólo podrá localizarse sobre las áreas de cesión destinadas para este tipo de equipamientos, según lo determinen los actos administrativos respectivos. </w:t>
      </w:r>
    </w:p>
    <w:p w14:paraId="78AAF46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16F2F7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Licencia de intervención del espacio público. Por medio de esta licencia se autoriza la intervención del espacio público para: </w:t>
      </w:r>
    </w:p>
    <w:p w14:paraId="317DDC6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47D16E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2.1 La construcción, rehabilitación, reparación, sustitución, modificación y/o ampliación de instalaciones y redes para la provisión de servicios públicos domiciliarios y de telecomunicaciones. </w:t>
      </w:r>
    </w:p>
    <w:p w14:paraId="0DE4CB0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D4D91F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Sin perjuicio de lo establecido en el artículo 26 de la Ley 142 de 1994 o la norma que lo adicione, modifique o sustituya, las autorizaciones deben obedecer a un estudio de factibilidad técnica, ambiental y de impacto urbano de las obras propuestas, así como de la coherencia de las obras con los Planes de Ordenamiento Territorial o los instrumentos que los desarrollen o complementen. </w:t>
      </w:r>
    </w:p>
    <w:p w14:paraId="43E5F3C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7C59F2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Se exceptúa de la obligación de solicitar la licencia de que trata este literal, la realización de obras que deban adelantarse como consecuencia de averías, accidentes o emergencias cuando a demora en su reparación pudiera ocasionar daños en bienes o personas. Quien efectúe los trabajos en tales condiciones deberá dejar el lugar en el estado en que se hallaba antes de que sucedieran las situaciones de avería, accidente o emergencia, y de los trabajos se rendirá un informe a la entidad competente para que realice la inspección correspondiente. El incumplimiento de esta obligación dará lugar a las sanciones establecidas en </w:t>
      </w:r>
      <w:proofErr w:type="spellStart"/>
      <w:r w:rsidRPr="009342F9">
        <w:rPr>
          <w:rFonts w:ascii="Arial" w:eastAsia="Times New Roman" w:hAnsi="Arial" w:cs="Arial"/>
          <w:color w:val="000000"/>
          <w:lang w:eastAsia="es-CO"/>
        </w:rPr>
        <w:t>a</w:t>
      </w:r>
      <w:proofErr w:type="spellEnd"/>
      <w:r w:rsidRPr="009342F9">
        <w:rPr>
          <w:rFonts w:ascii="Arial" w:eastAsia="Times New Roman" w:hAnsi="Arial" w:cs="Arial"/>
          <w:color w:val="000000"/>
          <w:lang w:eastAsia="es-CO"/>
        </w:rPr>
        <w:t xml:space="preserve"> ley. </w:t>
      </w:r>
    </w:p>
    <w:p w14:paraId="2376E20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2C8DD2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Los particulares que soliciten licencia de intervención del espacio público en </w:t>
      </w:r>
      <w:proofErr w:type="gramStart"/>
      <w:r w:rsidRPr="009342F9">
        <w:rPr>
          <w:rFonts w:ascii="Arial" w:eastAsia="Times New Roman" w:hAnsi="Arial" w:cs="Arial"/>
          <w:color w:val="000000"/>
          <w:lang w:eastAsia="es-CO"/>
        </w:rPr>
        <w:t>ésta</w:t>
      </w:r>
      <w:proofErr w:type="gramEnd"/>
      <w:r w:rsidRPr="009342F9">
        <w:rPr>
          <w:rFonts w:ascii="Arial" w:eastAsia="Times New Roman" w:hAnsi="Arial" w:cs="Arial"/>
          <w:color w:val="000000"/>
          <w:lang w:eastAsia="es-CO"/>
        </w:rPr>
        <w:t xml:space="preserve"> modalidad deberán acompañar a la solicitud la autorización para adelantar el trámite, emitida por la empresa prestadora del servicio público correspondiente. </w:t>
      </w:r>
    </w:p>
    <w:p w14:paraId="0ED857F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CB366D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2.2 La utilización del espacio aéreo o del subsuelo para generar elementos de enlace urbano entre inmuebles privados, o entre inmuebles privados y elementos del espacio público, tales como: puentes peatonales o pasos subterráneos. </w:t>
      </w:r>
    </w:p>
    <w:p w14:paraId="297C095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67FF96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 autorización deberá obedecer a un estudio de factibilidad técnica e impacto urbano, así como de la coherencia de las obras propuestas con el Plan de Ordenamiento Territorial y los instrumentos que lo desarrollen o complementen. </w:t>
      </w:r>
    </w:p>
    <w:p w14:paraId="4690666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CB5197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2.3 La dotación de amoblamiento urbano y la instalación de expresiones artísticas o arborización. </w:t>
      </w:r>
    </w:p>
    <w:p w14:paraId="3A9DDB5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4F489E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Los municipios y distritos establecerán qué tipo de amoblamiento sobre el espacio público requiere de la licencia de intervención y ocupación del espacio público, así como los procedimientos y condiciones para su expedición. </w:t>
      </w:r>
    </w:p>
    <w:p w14:paraId="445B089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3660A2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2.4 Construcción y rehabilitación de andenes, parques, plazas, alamedas, separadores, ciclorrutas, orejas de puentes vehiculares, vías peatonales, escaleras y rampas. </w:t>
      </w:r>
    </w:p>
    <w:p w14:paraId="2CA0974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7D8EE5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Licencia de intervención y ocupación temporal de playas marítimas y terrenos de bajamar. Es la autorización otorgada por la autoridad municipal o distrital competente, por la Gobernación del departamento Archipiélago de San Andrés, Providencia y Santa Catalina, o por la autoridad designada para tal efecto, de acuerdo con lo dispuesto en el Plan de Ordenamiento Territorial y los instrumentos que lo desarrollen o complementen, para ocupar o intervenir temporalmente las playas y zonas de bajamar, sin perjuicio de las concesiones, permisos o autorizaciones cuyo otorgamiento le corresponda a la Dirección General Marítima –Dimar– o al Instituto Nacional de Concesiones –INCO–. </w:t>
      </w:r>
    </w:p>
    <w:p w14:paraId="483C4E2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C8E2F9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Esta autorización podrá concederse siempre y cuando se garantice el libre tránsito a la ciudadanía y no se vulnere la utilización de las zonas de playas marítimas y terrenos de bajamar al uso común. </w:t>
      </w:r>
    </w:p>
    <w:p w14:paraId="05C57BE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42EBC3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el caso de las licencias para la ocupación de playas con fines turísticos, culturales, y artísticos o recreativos en los distritos de Barranquilla, Santa Marta o Cartagena, se requerirá concepto técnico favorable emanado de la Dimar, de acuerdo con el artículo 15 de la Ley 768 de 2002 o la norma que la adicione, modifique o sustituya. </w:t>
      </w:r>
    </w:p>
    <w:p w14:paraId="0FF72A0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81504A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De conformidad con lo dispuesto en los artículos 177 del Decreto Ley 2324 de 1984 y 43 de la Ley 1ª de 1991, ninguna autoridad concederá permiso para la construcción de vivienda en las playas marítimas y terrenos de bajamar. </w:t>
      </w:r>
    </w:p>
    <w:p w14:paraId="4F4DA9B9" w14:textId="1DDBA478"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260" w:name="ver_30074005"/>
      <w:bookmarkEnd w:id="1260"/>
    </w:p>
    <w:p w14:paraId="7174F56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2.2.6.1.1.14 Derechos sobre el espacio público. Las licencias de intervención y ocupación del espacio público sólo confieren a sus titulares el derecho sobre la ocupación o intervención sobre bienes de uso público. A partir de la expedición de la licencia, la autoridad competente podrá revocarla en los términos del Código de Procedimiento </w:t>
      </w:r>
      <w:proofErr w:type="spellStart"/>
      <w:r w:rsidRPr="009342F9">
        <w:rPr>
          <w:rFonts w:ascii="Arial" w:eastAsia="Times New Roman" w:hAnsi="Arial" w:cs="Arial"/>
          <w:color w:val="000000"/>
          <w:lang w:eastAsia="es-CO"/>
        </w:rPr>
        <w:t>Administrtativo</w:t>
      </w:r>
      <w:proofErr w:type="spellEnd"/>
      <w:r w:rsidRPr="009342F9">
        <w:rPr>
          <w:rFonts w:ascii="Arial" w:eastAsia="Times New Roman" w:hAnsi="Arial" w:cs="Arial"/>
          <w:color w:val="000000"/>
          <w:lang w:eastAsia="es-CO"/>
        </w:rPr>
        <w:t xml:space="preserve"> y de lo Contencioso Administrativo. </w:t>
      </w:r>
    </w:p>
    <w:p w14:paraId="7DB75C9B" w14:textId="66BFCEA6"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261" w:name="ver_30125158"/>
      <w:bookmarkStart w:id="1262" w:name="ver_30125157"/>
      <w:bookmarkEnd w:id="1261"/>
    </w:p>
    <w:p w14:paraId="7E689C9E" w14:textId="56618134"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2.2.6.1.1.15</w:t>
      </w:r>
      <w:r w:rsidR="0012676B">
        <w:rPr>
          <w:rFonts w:ascii="Arial" w:eastAsia="Times New Roman" w:hAnsi="Arial" w:cs="Arial"/>
          <w:color w:val="000000"/>
          <w:lang w:eastAsia="es-CO"/>
        </w:rPr>
        <w:t xml:space="preserve"> </w:t>
      </w:r>
      <w:r w:rsidRPr="009342F9">
        <w:rPr>
          <w:rFonts w:ascii="Arial" w:eastAsia="Times New Roman" w:hAnsi="Arial" w:cs="Arial"/>
          <w:color w:val="000000"/>
          <w:lang w:eastAsia="es-CO"/>
        </w:rPr>
        <w:t xml:space="preserve">Responsabilidad del titular de la licencia. El titular de la licencia será el responsable de todas las obligaciones urbanísticas y arquitectónicas adquiridas con ocasión de su expedición y extracontractualmente por los perjuicios que se causaren a terceros en desarrollo de </w:t>
      </w:r>
      <w:proofErr w:type="gramStart"/>
      <w:r w:rsidRPr="009342F9">
        <w:rPr>
          <w:rFonts w:ascii="Arial" w:eastAsia="Times New Roman" w:hAnsi="Arial" w:cs="Arial"/>
          <w:color w:val="000000"/>
          <w:lang w:eastAsia="es-CO"/>
        </w:rPr>
        <w:t>la misma</w:t>
      </w:r>
      <w:proofErr w:type="gramEnd"/>
      <w:r w:rsidRPr="009342F9">
        <w:rPr>
          <w:rFonts w:ascii="Arial" w:eastAsia="Times New Roman" w:hAnsi="Arial" w:cs="Arial"/>
          <w:color w:val="000000"/>
          <w:lang w:eastAsia="es-CO"/>
        </w:rPr>
        <w:t>.  </w:t>
      </w:r>
    </w:p>
    <w:p w14:paraId="0E4D526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75F471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Cuando los profesionales que suscriben el formulario único nacional para la solicitud de licencias se desvinculen de la ejecución de los diseños o de la ejecución de la obra, deberán informar de este hecho al curador urbano o a la autoridad municipal o distrital encargada de expedir las licencias, según corresponda, quien de inmediato procederá a requerir al titular de la licencia para que informe de su reemplazo en un término máximo de 15 días hábiles.  </w:t>
      </w:r>
    </w:p>
    <w:p w14:paraId="2D37C32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F46A20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El profesional que se desvincule del proceso será responsable de las labores adelantadas bajo su gestión hasta tanto se designe uno nuevo.  </w:t>
      </w:r>
    </w:p>
    <w:p w14:paraId="63C2F83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9B8C0E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En caso de que el curador urbano que otorgó la licencia ya no estuviere en ejercicio, se deberá informar a la autoridad municipal o distrital encargada de la preservación, manejo y custodia del expediente de la licencia urbanística otorgada.  </w:t>
      </w:r>
    </w:p>
    <w:p w14:paraId="1424BD08" w14:textId="77777777" w:rsidR="00FC79C1" w:rsidRPr="009342F9" w:rsidRDefault="00FC79C1" w:rsidP="00FC79C1">
      <w:pPr>
        <w:spacing w:after="0" w:line="240" w:lineRule="auto"/>
        <w:jc w:val="both"/>
        <w:rPr>
          <w:rFonts w:ascii="Arial" w:eastAsia="Times New Roman" w:hAnsi="Arial" w:cs="Arial"/>
          <w:color w:val="000000"/>
          <w:lang w:eastAsia="es-CO"/>
        </w:rPr>
      </w:pPr>
    </w:p>
    <w:p w14:paraId="6074A4E2" w14:textId="7C0C8D0D" w:rsidR="00FC79C1" w:rsidRPr="009342F9" w:rsidRDefault="00FC79C1" w:rsidP="00D4095E">
      <w:pPr>
        <w:spacing w:after="0" w:line="240" w:lineRule="auto"/>
        <w:jc w:val="center"/>
        <w:rPr>
          <w:rFonts w:ascii="Arial" w:eastAsia="Times New Roman" w:hAnsi="Arial" w:cs="Arial"/>
          <w:b/>
          <w:bCs/>
          <w:color w:val="000000"/>
          <w:lang w:eastAsia="es-CO"/>
        </w:rPr>
      </w:pPr>
      <w:bookmarkStart w:id="1263" w:name="ver_30074007"/>
      <w:bookmarkEnd w:id="1262"/>
      <w:bookmarkEnd w:id="1263"/>
      <w:r w:rsidRPr="009342F9">
        <w:rPr>
          <w:rFonts w:ascii="Arial" w:eastAsia="Times New Roman" w:hAnsi="Arial" w:cs="Arial"/>
          <w:b/>
          <w:bCs/>
          <w:color w:val="000000"/>
          <w:lang w:eastAsia="es-CO"/>
        </w:rPr>
        <w:t>SECCIÓN 2</w:t>
      </w:r>
    </w:p>
    <w:p w14:paraId="75E66F27" w14:textId="77777777" w:rsidR="00FC79C1" w:rsidRPr="009342F9" w:rsidRDefault="00FC79C1" w:rsidP="00D4095E">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PROCEDIMIENTOS APLICABLES PARA LA EXPEDICIÓN DE LICENCIAS URBANÍSTICAS Y SUS MODIFICACIONES</w:t>
      </w:r>
    </w:p>
    <w:p w14:paraId="10DFA832" w14:textId="77777777" w:rsidR="0012676B" w:rsidRDefault="0012676B" w:rsidP="00D4095E">
      <w:pPr>
        <w:spacing w:after="0" w:line="240" w:lineRule="auto"/>
        <w:jc w:val="center"/>
        <w:rPr>
          <w:rFonts w:ascii="Arial" w:eastAsia="Times New Roman" w:hAnsi="Arial" w:cs="Arial"/>
          <w:b/>
          <w:bCs/>
          <w:color w:val="000000"/>
          <w:lang w:eastAsia="es-CO"/>
        </w:rPr>
      </w:pPr>
    </w:p>
    <w:p w14:paraId="24433171" w14:textId="088C35D2" w:rsidR="00FC79C1" w:rsidRPr="009342F9" w:rsidRDefault="00FC79C1" w:rsidP="00D4095E">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SUBSECCIÓN 1</w:t>
      </w:r>
    </w:p>
    <w:p w14:paraId="40CC82B5" w14:textId="77777777" w:rsidR="00FC79C1" w:rsidRPr="009342F9" w:rsidRDefault="00FC79C1" w:rsidP="00D4095E">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DE LAS SOLICITUDES</w:t>
      </w:r>
    </w:p>
    <w:p w14:paraId="00BF3E9D"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264" w:name="ver_30109255"/>
      <w:bookmarkStart w:id="1265" w:name="ver_30109242"/>
      <w:bookmarkEnd w:id="1264"/>
    </w:p>
    <w:p w14:paraId="43D1ACE1" w14:textId="258CAF76"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2.2.6.1.2.1.1</w:t>
      </w:r>
      <w:r w:rsidR="0012676B">
        <w:rPr>
          <w:rFonts w:ascii="Arial" w:eastAsia="Times New Roman" w:hAnsi="Arial" w:cs="Arial"/>
          <w:color w:val="000000"/>
          <w:lang w:eastAsia="es-CO"/>
        </w:rPr>
        <w:t xml:space="preserve">. </w:t>
      </w:r>
      <w:r w:rsidRPr="009342F9">
        <w:rPr>
          <w:rFonts w:ascii="Arial" w:eastAsia="Times New Roman" w:hAnsi="Arial" w:cs="Arial"/>
          <w:color w:val="000000"/>
          <w:lang w:eastAsia="es-CO"/>
        </w:rPr>
        <w:t>Solicitud de la licencia y sus modificaciones.  </w:t>
      </w:r>
    </w:p>
    <w:p w14:paraId="5DE2152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55216D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El estudio, trámite y expedición de licencias urbanísticas y de sus modificaciones procederá a solicitud de quienes puedan ser titulares de </w:t>
      </w:r>
      <w:proofErr w:type="gramStart"/>
      <w:r w:rsidRPr="009342F9">
        <w:rPr>
          <w:rFonts w:ascii="Arial" w:eastAsia="Times New Roman" w:hAnsi="Arial" w:cs="Arial"/>
          <w:color w:val="000000"/>
          <w:lang w:eastAsia="es-CO"/>
        </w:rPr>
        <w:t>las mismas</w:t>
      </w:r>
      <w:proofErr w:type="gramEnd"/>
      <w:r w:rsidRPr="009342F9">
        <w:rPr>
          <w:rFonts w:ascii="Arial" w:eastAsia="Times New Roman" w:hAnsi="Arial" w:cs="Arial"/>
          <w:color w:val="000000"/>
          <w:lang w:eastAsia="es-CO"/>
        </w:rPr>
        <w:t>, una vez hayan sido radicadas en legal y debida forma.  </w:t>
      </w:r>
    </w:p>
    <w:p w14:paraId="79430D3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C600D3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1°. Se entenderá que una solicitud de licencia o su modificación está radicada en legal y debida forma si a la fecha de radicación se allega la totalidad de los documentos exigidos en el presente decreto, aun cuando estén sujetos a posteriores correcciones.  </w:t>
      </w:r>
    </w:p>
    <w:p w14:paraId="2BE8D7F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EB213C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Adicionalmente, y tratándose de solicitudes de licencias de construcción y sus modalidades, el curador urbano o la autoridad municipal o distrital competente encargada del estudio, trámite y expedición de las licencias urbanísticas, al momento de la radicación deberá verificar que los documentos que acompañan la solicitud contienen la información básica que se señala en el Formato de Revisión e Información de Proyectos adoptado por el Ministerio de Vivienda, Ciudad y Territorio mediante la Resolución número 0931 de 2012 o la norma que la adicione, modifique o sustituya.  </w:t>
      </w:r>
    </w:p>
    <w:p w14:paraId="30AD3BC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0DAA7D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2°. La expedición de la licencia conlleva, por parte del curador urbano o la autoridad municipal o distrital competente encargada del estudio, trámite y expedición de las licencias urbanísticas, la práctica, entre otras, de las siguientes actuaciones: el suministro de información sobre las normas urbanísticas aplicables al predio o predios objeto del proyecto, la rendición de los conceptos que sobre las normas urbanísticas aplicables se soliciten, la aprobación del proyecto urbanístico general y de los planos requeridos para acogerse al régimen de propiedad horizontal, la revisión del diseño estructural y la certificación del cumplimiento de las normas con base en las cuales fue expedida.  </w:t>
      </w:r>
    </w:p>
    <w:p w14:paraId="5F64E00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BF45ED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3°. En los casos en que exista concepto técnico expedido por autoridad municipal o distrital encargada de la gestión del riesgo de desastres, que evidencie que una edificación presenta graves daños en su estructura portante que pueda llegar a afectar la vida o la salud de las personas, que genere lesiones o impactos graves en las mismas o en la comunidad, o medie una orden de autoridad judicial o administrativa que ordene reforzar el inmueble, se deberá garantizar la vida y salud de las personas, así como la estabilidad de las obras, de la siguiente forma:  </w:t>
      </w:r>
    </w:p>
    <w:p w14:paraId="28E736A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92932C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 Titularidad. Será obligatorio para el titular de la licencia de construcción adelantar el trámite para su reforzamiento estructural, una vez expedido el concepto técnico de la autoridad municipal o distrital encargada de la gestión del riesgo de desastres, o se encuentre en firme la decisión judicial o administrativa; en el caso en que el proyecto se encuentre sometido al régimen de </w:t>
      </w:r>
      <w:r w:rsidRPr="009342F9">
        <w:rPr>
          <w:rFonts w:ascii="Arial" w:eastAsia="Times New Roman" w:hAnsi="Arial" w:cs="Arial"/>
          <w:color w:val="000000"/>
          <w:lang w:eastAsia="es-CO"/>
        </w:rPr>
        <w:lastRenderedPageBreak/>
        <w:t>propiedad horizontal, el titular de la referida licencia de construcción, será la asamblea de copropietarios o quien esta faculte;  </w:t>
      </w:r>
    </w:p>
    <w:p w14:paraId="4C8E1BB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2CB0FE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b) Intervención de los alcaldes. En el evento que el titular de la licencia de construcción se niegue a solicitar la respectiva licencia en la modalidad de reforzamiento, el trámite se adelantará por el alcalde municipal o distrital.  </w:t>
      </w:r>
    </w:p>
    <w:p w14:paraId="432D0BF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23206A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Si el proyecto se encuentra en periodo de garantía de la construcción, deberá tramitarse la licencia de construcción en la modalidad de reforzamiento estructural por el constructor o enajenador responsable de la garantía o la compañía de seguros que constituyó la misma. En caso de no hacerlo, dicho trámite lo podrá adelantar el municipio o distrito. Los costos del trámite y de la ejecución de la obra estarán a cargo de quienes deben asumir la garantía de la construcción;  </w:t>
      </w:r>
    </w:p>
    <w:p w14:paraId="4435734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1936ED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 Trámite. En todos los anteriores casos, el curador urbano o la autoridad encargada de resolver la solicitud de licencia, deberá citar a los titulares del derecho de dominio, a quienes ostenten garantías reales, así como a los vecinos colindantes del inmueble o inmuebles para que se hagan parte y hagan valer sus derechos, dando aplicación al procedimiento para la expedición de las licencias y sus modificaciones contemplado en el presente decreto;  </w:t>
      </w:r>
    </w:p>
    <w:p w14:paraId="2010DD7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20DF00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d) Costos. Los costos del trámite y de la ejecución de la obra estarán a cargo del titular o de quienes deben asumir la garantía de la construcción.  </w:t>
      </w:r>
    </w:p>
    <w:p w14:paraId="2BBD504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8BD553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Si por alguna de las situaciones descritas anteriormente, el municipio o distrito asumió el valor asociado al trámite de reforzamiento estructural, de conformidad con las disposiciones del artículo 69 de la Ley 9ª de 1989 o la norma que lo modifique o sustituya, podrá exigir su reembolso por jurisdicción coactiva, si es del caso;  </w:t>
      </w:r>
    </w:p>
    <w:p w14:paraId="327AD2E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CF9E36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e) Incumplimientos. El desconocimiento por parte de los responsables del trámite </w:t>
      </w:r>
      <w:proofErr w:type="gramStart"/>
      <w:r w:rsidRPr="009342F9">
        <w:rPr>
          <w:rFonts w:ascii="Arial" w:eastAsia="Times New Roman" w:hAnsi="Arial" w:cs="Arial"/>
          <w:color w:val="000000"/>
          <w:lang w:eastAsia="es-CO"/>
        </w:rPr>
        <w:t>descrito,</w:t>
      </w:r>
      <w:proofErr w:type="gramEnd"/>
      <w:r w:rsidRPr="009342F9">
        <w:rPr>
          <w:rFonts w:ascii="Arial" w:eastAsia="Times New Roman" w:hAnsi="Arial" w:cs="Arial"/>
          <w:color w:val="000000"/>
          <w:lang w:eastAsia="es-CO"/>
        </w:rPr>
        <w:t xml:space="preserve"> dará lugar a las sanciones urbanísticas del artículo 103 de la Ley 388 de 1997, modificado los artículos 1° de la Ley 810 de 2003 y 104 de la Ley 388 de 1997, modificado por el artículo 2° de la Ley 810 de 2003.  </w:t>
      </w:r>
    </w:p>
    <w:p w14:paraId="0995A71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D37A11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Para su trámite, estudio y expedición, la solicitud de licencia no se someterá a reparto entre los curadores urbanos del municipio o distrito.  </w:t>
      </w:r>
    </w:p>
    <w:p w14:paraId="36B63ACB"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266" w:name="ver_30074009"/>
      <w:bookmarkEnd w:id="1265"/>
      <w:bookmarkEnd w:id="1266"/>
    </w:p>
    <w:p w14:paraId="07FA5AA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2.2.6.1.2.1.2 Radicación de la solicitud. Presentada la solicitud de licencia, se radicará y numerará consecutivamente, en orden cronológico de recibo, dejando constancia de los documentos aportados con la misma. </w:t>
      </w:r>
    </w:p>
    <w:p w14:paraId="2A74C1D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C3E052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caso de que la solicitud no se encuentre completa, se devolverá la documentación para completarla. Si el peticionario insiste, se radicará dejando constancia de este hecho y advirtiéndole que deberá allanarse a cumplir dentro de los treinta (30) días hábiles siguientes so pena de entenderse desistida la solicitud, lo cual se hará mediante acto administrativo que ordene su archivo y contra el que procederá el recurso de reposición ante la autoridad que lo expidió. </w:t>
      </w:r>
    </w:p>
    <w:p w14:paraId="5258F9D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A75A84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Parágrafo. Si durante el término que transcurre entre la solicitud de una licencia o su modificación y la expedición del acto administrativo que otorgue la licencia o autorice la modificación, se produce un cambio en las normas urbanísticas que afecten el proyecto sometido a consideración del curador o de la autoridad municipal o distrital encargada de estudiar, tramitar y expedir las licencias urbanísticas, el solicitante tendrá derecho a que la licencia o la modificación se le </w:t>
      </w:r>
      <w:r w:rsidRPr="009342F9">
        <w:rPr>
          <w:rFonts w:ascii="Arial" w:eastAsia="Times New Roman" w:hAnsi="Arial" w:cs="Arial"/>
          <w:color w:val="000000"/>
          <w:lang w:eastAsia="es-CO"/>
        </w:rPr>
        <w:lastRenderedPageBreak/>
        <w:t>conceda con base en la norma urbanística vigente al momento de la radicación de la solicitud, siempre que la misma haya sido presentada en legal y debida forma. </w:t>
      </w:r>
    </w:p>
    <w:p w14:paraId="1903588F" w14:textId="6230675E"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267" w:name="ver_30074010"/>
      <w:bookmarkEnd w:id="1267"/>
    </w:p>
    <w:p w14:paraId="3069377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2.2.6.1.2.1.3 Sistema de categorización para el trámite de estudio y expedición de licencias de construcción en función de su complejidad. Con el propósito de optimizar y agilizar el trámite de expedición de licencias de construcción y sus modalidades, los curadores urbanos o la autoridad municipal o distrital encargada del estudio, trámite y expedición de las licencias, implementarán el sistema de categorización para el trámite de estudio y expedición de licencias de construcción y sus modalidades en función de la complejidad del proyecto objeto de solicitud, el cual se fundamenta exclusivamente en las siguientes variables: </w:t>
      </w:r>
    </w:p>
    <w:p w14:paraId="4F81E86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5BDDA9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Área de construcción o área construida del proyecto, entendida como la parte a edificar y/o edificada a intervenir y que corresponde a la suma de las superficies de los pisos, excluyendo azoteas y áreas sin cubrir o techar. </w:t>
      </w:r>
    </w:p>
    <w:p w14:paraId="1F78840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D6E46A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Requisitos generales de diseño estructural y construcción sismo resistente, en concordancia con las normas establecidas en la Ley 400 de 1997, sus decretos reglamentarios, o las normas que los adicionen, modifiquen o sustituyan y el Reglamento Colombiano de Construcción Sismo resistente -NSR- 10, y la norma que lo adicione, modifique o sustituya. </w:t>
      </w:r>
    </w:p>
    <w:p w14:paraId="3A99586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7E111E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ningún caso, podrán incluirse variables diferentes a las contempladas en el presente artículo. </w:t>
      </w:r>
    </w:p>
    <w:p w14:paraId="0078A46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F4718C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Para los efectos del presente artículo, el sistema de categorización en función de su complejidad se define como el conjunto de variables que, aplicadas a una actuación de expedición de una licencia de construcción, establece el mayor o menor grado de dificultad para su estudio. </w:t>
      </w:r>
    </w:p>
    <w:p w14:paraId="16F1E66D" w14:textId="196814CA"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268" w:name="ver_30074011"/>
      <w:bookmarkEnd w:id="1268"/>
    </w:p>
    <w:p w14:paraId="5921946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2.2.6.1.2.1.4 Categorías. Para efectos de lo previsto en el artículo anterior, todas las solicitudes de licencias de construcción y sus modalidades se clasificarán de acuerdo con las siguientes categorías de complejidad: </w:t>
      </w:r>
    </w:p>
    <w:p w14:paraId="78460A3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2034DB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Categoría IV: Alta Complejidad. Se incluyen dentro de esta categoría las solicitudes de licencia de construcción que cumplan con las siguientes condiciones: </w:t>
      </w:r>
    </w:p>
    <w:p w14:paraId="43C9BFB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DCDE0C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1.1 Área de construcción mayor a 5.000 metros cuadrados. </w:t>
      </w:r>
    </w:p>
    <w:p w14:paraId="4E35C6D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01A83B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1.2 Características estructurales diferentes a lo dispuesto en el Título E del Reglamento Colombiano de Construcción Sismo resistente -NSR- 10, y la norma que lo adicione, modifique o sustituya. </w:t>
      </w:r>
    </w:p>
    <w:p w14:paraId="143CF51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193C19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Categoría III: Media-Alta Complejidad. Se incluyen dentro de esta categoría las solicitudes de licencia de construcción que cumplan con las siguientes condiciones: </w:t>
      </w:r>
    </w:p>
    <w:p w14:paraId="1C756E5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017A28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2.1 Área de construcción superior a 2.000 metros cuadrados y hasta 5.000 metros cuadrado. </w:t>
      </w:r>
    </w:p>
    <w:p w14:paraId="05C3347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CC18DA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2.2 Características estructurales diferentes a lo dispuesto en el Título E del Reglamento colombiano de Construcción Sismo resistente -NSR- 10, y la norma que lo adicione, modifique o sustituya. </w:t>
      </w:r>
    </w:p>
    <w:p w14:paraId="18633AB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1D1826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Categoría II: Media Complejidad. Se incluyen dentro de esta categoría las solicitudes de licencia de construcción que cumplan con las siguientes condiciones: </w:t>
      </w:r>
    </w:p>
    <w:p w14:paraId="4D83D10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4F5E05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3.1 Área de construcción entre 500 y 2.000 metros cuadrados. </w:t>
      </w:r>
    </w:p>
    <w:p w14:paraId="77AB4BC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188098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3.2 Características estructurales de conformidad con lo dispuesto en el Título E del Reglamento Colombiano de Construcción Sismo resistente -NSR- 10, y la norma que lo adicione, modifique o sustituya. </w:t>
      </w:r>
    </w:p>
    <w:p w14:paraId="5AE19AD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BFD0E8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Categoría I: Baja Complejidad. Se incluyen dentro de esta categoría las solicitudes de licencia de construcción que cumplan con las siguientes condiciones: </w:t>
      </w:r>
    </w:p>
    <w:p w14:paraId="56243F9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7A8742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4.4 Área de construcción menor a 500 metros cuadrados. </w:t>
      </w:r>
    </w:p>
    <w:p w14:paraId="247DA08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2849ED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4.5 Características estructurales de conformidad con lo dispuesto en el Título E del Reglamento Colombiano de Construcción Sismo resistente -NSR- 10, y la norma que lo adicione, modifique o sustituya. </w:t>
      </w:r>
    </w:p>
    <w:p w14:paraId="34CE1CE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237CDB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1°. Cuando una vez aplicado el sistema de categorización resulte que el proyecto objeto de la solicitud reúne condiciones que permiten clasificarlo en varias categorías, será catalogado en la de mayor complejidad. </w:t>
      </w:r>
    </w:p>
    <w:p w14:paraId="11DBE9B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CA2754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2°. De acuerdo con esta categorización, los curadores urbanos y la autoridad municipal o distrital encargada del estudio, trámite y expedición de las licencias procederán a realizar la revisión técnica, jurídica, estructural, urbanística y arquitectónica de los proyectos objeto de solicitud, en los términos del presente Capítulo y dentro de los plazos Indicativos de que trata el artículo 2.2.6.1.2.3.2 del presente decreto. </w:t>
      </w:r>
    </w:p>
    <w:p w14:paraId="0991A980" w14:textId="52A52DF5"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269" w:name="ver_30110840"/>
      <w:bookmarkStart w:id="1270" w:name="ver_30110839"/>
      <w:bookmarkEnd w:id="1269"/>
    </w:p>
    <w:p w14:paraId="342038F7" w14:textId="4E7C7EAB"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2.2.6.1.2.1.5.</w:t>
      </w:r>
      <w:r w:rsidR="003A7066">
        <w:rPr>
          <w:rFonts w:ascii="Arial" w:eastAsia="Times New Roman" w:hAnsi="Arial" w:cs="Arial"/>
          <w:color w:val="000000"/>
          <w:lang w:eastAsia="es-CO"/>
        </w:rPr>
        <w:t xml:space="preserve"> </w:t>
      </w:r>
      <w:r w:rsidRPr="009342F9">
        <w:rPr>
          <w:rFonts w:ascii="Arial" w:eastAsia="Times New Roman" w:hAnsi="Arial" w:cs="Arial"/>
          <w:color w:val="000000"/>
          <w:lang w:eastAsia="es-CO"/>
        </w:rPr>
        <w:t>Titulares de las licencias de urbanización, parcelación, subdivisión y construcción. Podrán ser titulares de las licencias de urbanización, parcelación, subdivisión y construcción los titulares de derechos reales principales, los propietarios del derecho de dominio a título de fiducia y los fideicomitentes de las mismas fiducias, de los inmuebles objeto de la solicitud. </w:t>
      </w:r>
    </w:p>
    <w:p w14:paraId="53362EA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0A97F9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También podrán ser titulares las entidades previstas en el artículo 59 de la Ley 388 de 1997 o la norma que lo adicione, modifique o sustituya, cuando se les haya hecho entrega del predio o predios objeto de adquisición, en los procesos de enajenación voluntaria y/o expropiación previstos en los Capítulos VII y VIII de la Ley 388 de 1997. No obstante, durante el curso del proceso y previamente a la entrega del predio o predios, las citadas entidades estarán facultadas para adelantar todos los trámites previos para la solicitud de licencias urbanísticas tales como, solicitudes de factibilidad y disponibilidad de servicios públicos, actualización de cabida y linderos, los trámites dirigidos a precisar o actualizar la información cartográfica y demás actuaciones que se requieran para la expedición de licencias urbanísticas y estudio y aprobación de los instrumentos de planeación urbana que desarrollen y complementen el plan de ordenamiento territorial. </w:t>
      </w:r>
    </w:p>
    <w:p w14:paraId="6191589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FFF84C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Los propietarios comuneros podrán ser titulares de las licencias de que trata este artículo, siempre y cuando dentro del procedimiento se convoque a los demás copropietarios o comuneros de la forma prevista para la citación a vecinos con el fin de que se hagan parte y hagan valer sus derechos. </w:t>
      </w:r>
    </w:p>
    <w:p w14:paraId="289662F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C5EB9C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En los casos de proyectos bifamiliares, será titular de la licencia de construcción el propietario o poseedor de la unidad para la cual se haya hecho la solicitud, sin que se requiera que el </w:t>
      </w:r>
      <w:r w:rsidRPr="009342F9">
        <w:rPr>
          <w:rFonts w:ascii="Arial" w:eastAsia="Times New Roman" w:hAnsi="Arial" w:cs="Arial"/>
          <w:color w:val="000000"/>
          <w:lang w:eastAsia="es-CO"/>
        </w:rPr>
        <w:lastRenderedPageBreak/>
        <w:t>propietario o poseedor de la otra unidad concurra o autorice para radicar la respectiva solicitud. En todo caso, este último deberá ser convocado de la forma prevista para la citación a vecinos”. </w:t>
      </w:r>
    </w:p>
    <w:p w14:paraId="4909D54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9487B7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Los poseedores solo podrán ser titulares de las licencias de construcción y de los actos de reconocimiento de la existencia de edificaciones. </w:t>
      </w:r>
    </w:p>
    <w:p w14:paraId="6C910C29"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271" w:name="ver_30074013"/>
      <w:bookmarkEnd w:id="1270"/>
      <w:bookmarkEnd w:id="1271"/>
    </w:p>
    <w:p w14:paraId="138C695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2.2.6.1.2.1.6 Titulares de la licencia de intervención y ocupación del espacio público. Podrán ser titulares de las licencias de intervención y ocupación del espacio público las personas naturales o jurídicas, públicas o privadas y los consorcios o uniones temporales que precisen ocupar o intervenir el espacio público. </w:t>
      </w:r>
    </w:p>
    <w:p w14:paraId="576FCC97" w14:textId="4FF286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272" w:name="ver_30125159"/>
      <w:bookmarkEnd w:id="1272"/>
    </w:p>
    <w:p w14:paraId="7708B38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2.2.6.1.2.1.7 Documentos. Toda solicitud de Licencia urbanística deberá acompañarse de los siguientes documentos: </w:t>
      </w:r>
    </w:p>
    <w:p w14:paraId="23DCAA8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387889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1. Copia del certificado de libertad y tradición del inmueble o inmuebles objeto de la solicitud, cuya fecha de expedición no sea superior a un mes antes de la fecha de la solicitud. Cuando el predio no se haya </w:t>
      </w:r>
      <w:proofErr w:type="spellStart"/>
      <w:r w:rsidRPr="009342F9">
        <w:rPr>
          <w:rFonts w:ascii="Arial" w:eastAsia="Times New Roman" w:hAnsi="Arial" w:cs="Arial"/>
          <w:color w:val="000000"/>
          <w:lang w:eastAsia="es-CO"/>
        </w:rPr>
        <w:t>desenglobado</w:t>
      </w:r>
      <w:proofErr w:type="spellEnd"/>
      <w:r w:rsidRPr="009342F9">
        <w:rPr>
          <w:rFonts w:ascii="Arial" w:eastAsia="Times New Roman" w:hAnsi="Arial" w:cs="Arial"/>
          <w:color w:val="000000"/>
          <w:lang w:eastAsia="es-CO"/>
        </w:rPr>
        <w:t xml:space="preserve"> se podrá aportar el certificado del predio de mayor extensión. </w:t>
      </w:r>
    </w:p>
    <w:p w14:paraId="6190BB0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86342F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El formulario único nacional para la solicitud de licencias adoptado mediante la Resolución 0984 de 2005 del Ministerio de Ambiente, Vivienda y Desarrollo Territorial o la norma que la adicione, modifique o sustituya, debidamente diligenciado por el solicitante. </w:t>
      </w:r>
    </w:p>
    <w:p w14:paraId="630D1EF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96A327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Copia del documento de identidad del solicitante cuando se trate de personas naturales o certificado de existencia y representación legal, cuya fecha de expedición no sea superior a un mes, cuando se trate de personas jurídicas. </w:t>
      </w:r>
    </w:p>
    <w:p w14:paraId="4A1ECA4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A4412B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Poder o autorización debidamente otorgado, cuando se actúe mediante apoderado o mandatario, con presentación personal de quien lo otorgue. </w:t>
      </w:r>
    </w:p>
    <w:p w14:paraId="408DC98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A79D10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 Copia del documento o declaración privada del impuesto predial del último año en relación con el inmueble o inmuebles objeto de la solicitud, donde figure la nomenclatura alfanumérica o identificación del predio. Este requisito no se exigirá cuando exista otro documento oficial con base en el cual se pueda establecer la dirección del predio objeto de solicitud. </w:t>
      </w:r>
    </w:p>
    <w:p w14:paraId="4E5408B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8DEA61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6. La relación de la dirección de los predios colindantes al proyecto objeto de la solicitud. Se entiende por predios colindantes aquellos que tienen un lindero en común con el inmueble o inmuebles objeto de solicitud de licencia. Este requisito no se exigirá cuando se trate de predios rodeados completamente por espacio público o ubicados en zonas rurales no suburbanas. </w:t>
      </w:r>
    </w:p>
    <w:p w14:paraId="6096FC9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B64780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1°. A las solicitudes de licencia de intervención y ocupación del espacio público solo se les exigirá el aporte de los documentos de que tratan los numerales 3 y 4 del presente artículo. </w:t>
      </w:r>
    </w:p>
    <w:p w14:paraId="785DA29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B32A8C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2°. A las solicitudes de revalidación solamente se les exigirán los documentos de que tratan los numerales 1, 3 y 4 del presente artículo, no estarán sometidas al procedimiento de expedición de licencia y deberán resolverse en un término máximo de 30 días hábiles contados a partir de la radicación de la solicitud. </w:t>
      </w:r>
    </w:p>
    <w:p w14:paraId="2182EB1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681755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Parágrafo 3°. En las ciudades, donde existan medios tecnológicos disponibles de consulta virtual o flujos de información electrónica, el curador urbano o la autoridad municipal o distrital encargada del estudio, trámite y expedición de las licencias estarán en la obligación de verificar por estos mismos medios, al momento de la radicación de la solicitud, la información pertinente contenida </w:t>
      </w:r>
      <w:r w:rsidRPr="009342F9">
        <w:rPr>
          <w:rFonts w:ascii="Arial" w:eastAsia="Times New Roman" w:hAnsi="Arial" w:cs="Arial"/>
          <w:color w:val="000000"/>
          <w:lang w:eastAsia="es-CO"/>
        </w:rPr>
        <w:lastRenderedPageBreak/>
        <w:t>en los documentos de que tratan los numerales 1, 3 y 5 del presente artículo. Esta consulta de verificación sustituye la presentación del documento a cargo del solicitante de la licencia, salvo que la información correspondiente no se encuentre disponible por medios electrónicos. </w:t>
      </w:r>
    </w:p>
    <w:p w14:paraId="635561C9" w14:textId="5A5EE85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347B112"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273" w:name="ver_30109497"/>
      <w:bookmarkStart w:id="1274" w:name="ver_30109498"/>
      <w:r w:rsidRPr="009342F9">
        <w:rPr>
          <w:rFonts w:ascii="Arial" w:eastAsia="Times New Roman" w:hAnsi="Arial" w:cs="Arial"/>
          <w:color w:val="000000"/>
          <w:lang w:eastAsia="es-CO"/>
        </w:rPr>
        <w:t>Artículo 2.2.6.1.2.1.8. Derogado  </w:t>
      </w:r>
    </w:p>
    <w:p w14:paraId="0AFF54BE"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275" w:name="ver_30187321"/>
      <w:bookmarkStart w:id="1276" w:name="ver_30110841"/>
      <w:bookmarkStart w:id="1277" w:name="ver_30110842"/>
      <w:bookmarkEnd w:id="1273"/>
      <w:bookmarkEnd w:id="1274"/>
      <w:bookmarkEnd w:id="1275"/>
    </w:p>
    <w:p w14:paraId="0062B752" w14:textId="0604325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2.2.6.1.2.1.9.</w:t>
      </w:r>
      <w:r w:rsidR="00ED3B66">
        <w:rPr>
          <w:rFonts w:ascii="Arial" w:eastAsia="Times New Roman" w:hAnsi="Arial" w:cs="Arial"/>
          <w:color w:val="000000"/>
          <w:lang w:eastAsia="es-CO"/>
        </w:rPr>
        <w:t xml:space="preserve"> </w:t>
      </w:r>
      <w:r w:rsidRPr="009342F9">
        <w:rPr>
          <w:rFonts w:ascii="Arial" w:eastAsia="Times New Roman" w:hAnsi="Arial" w:cs="Arial"/>
          <w:color w:val="000000"/>
          <w:lang w:eastAsia="es-CO"/>
        </w:rPr>
        <w:t>Derogado </w:t>
      </w:r>
    </w:p>
    <w:p w14:paraId="661F8467" w14:textId="77777777" w:rsidR="00FC79C1" w:rsidRPr="009342F9" w:rsidRDefault="00FC79C1" w:rsidP="00FC79C1">
      <w:pPr>
        <w:spacing w:after="0" w:line="240" w:lineRule="auto"/>
        <w:jc w:val="both"/>
        <w:rPr>
          <w:rFonts w:ascii="Arial" w:eastAsia="Times New Roman" w:hAnsi="Arial" w:cs="Arial"/>
          <w:color w:val="000000"/>
          <w:lang w:eastAsia="es-CO"/>
        </w:rPr>
      </w:pPr>
    </w:p>
    <w:p w14:paraId="50FAB9BB"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278" w:name="ver_30074017"/>
      <w:bookmarkEnd w:id="1276"/>
      <w:bookmarkEnd w:id="1277"/>
      <w:r w:rsidRPr="009342F9">
        <w:rPr>
          <w:rFonts w:ascii="Arial" w:eastAsia="Times New Roman" w:hAnsi="Arial" w:cs="Arial"/>
          <w:color w:val="000000"/>
          <w:lang w:eastAsia="es-CO"/>
        </w:rPr>
        <w:t>Artículo 2.2.6.1.2.1.10 Derogado </w:t>
      </w:r>
    </w:p>
    <w:p w14:paraId="3DB426C2" w14:textId="77777777" w:rsidR="00FC79C1" w:rsidRPr="009342F9" w:rsidRDefault="00FC79C1" w:rsidP="00FC79C1">
      <w:pPr>
        <w:spacing w:after="0" w:line="240" w:lineRule="auto"/>
        <w:jc w:val="both"/>
        <w:rPr>
          <w:rFonts w:ascii="Arial" w:eastAsia="Times New Roman" w:hAnsi="Arial" w:cs="Arial"/>
          <w:color w:val="000000"/>
          <w:lang w:eastAsia="es-CO"/>
        </w:rPr>
      </w:pPr>
    </w:p>
    <w:p w14:paraId="00C751DC"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279" w:name="ver_30187322"/>
      <w:bookmarkStart w:id="1280" w:name="ver_30109509"/>
      <w:bookmarkStart w:id="1281" w:name="ver_30110903"/>
      <w:bookmarkStart w:id="1282" w:name="ver_30110908"/>
      <w:bookmarkEnd w:id="1278"/>
      <w:bookmarkEnd w:id="1279"/>
      <w:r w:rsidRPr="009342F9">
        <w:rPr>
          <w:rFonts w:ascii="Arial" w:eastAsia="Times New Roman" w:hAnsi="Arial" w:cs="Arial"/>
          <w:color w:val="000000"/>
          <w:lang w:eastAsia="es-CO"/>
        </w:rPr>
        <w:t>Artículo 2.2.6.1.2.1.11 Derogado </w:t>
      </w:r>
    </w:p>
    <w:p w14:paraId="1149C68F"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283" w:name="ver_30187323"/>
      <w:bookmarkStart w:id="1284" w:name="ver_30110916"/>
      <w:bookmarkEnd w:id="1280"/>
      <w:bookmarkEnd w:id="1281"/>
      <w:bookmarkEnd w:id="1282"/>
      <w:bookmarkEnd w:id="1283"/>
    </w:p>
    <w:p w14:paraId="56530B3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2.2.6.1.2.1.12 Derogado </w:t>
      </w:r>
    </w:p>
    <w:p w14:paraId="4AE2A183" w14:textId="77777777" w:rsidR="00FC79C1" w:rsidRPr="009342F9" w:rsidRDefault="00FC79C1" w:rsidP="00FC79C1">
      <w:pPr>
        <w:spacing w:after="0" w:line="240" w:lineRule="auto"/>
        <w:jc w:val="both"/>
        <w:rPr>
          <w:rFonts w:ascii="Arial" w:eastAsia="Times New Roman" w:hAnsi="Arial" w:cs="Arial"/>
          <w:color w:val="000000"/>
          <w:lang w:eastAsia="es-CO"/>
        </w:rPr>
      </w:pPr>
    </w:p>
    <w:p w14:paraId="098F1165"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285" w:name="ver_30187325"/>
      <w:bookmarkStart w:id="1286" w:name="ver_30074020"/>
      <w:bookmarkEnd w:id="1284"/>
      <w:bookmarkEnd w:id="1285"/>
      <w:r w:rsidRPr="009342F9">
        <w:rPr>
          <w:rFonts w:ascii="Arial" w:eastAsia="Times New Roman" w:hAnsi="Arial" w:cs="Arial"/>
          <w:color w:val="000000"/>
          <w:lang w:eastAsia="es-CO"/>
        </w:rPr>
        <w:t>Artículo 2.2.6.1.2.1.13 Derogado </w:t>
      </w:r>
    </w:p>
    <w:p w14:paraId="227E6CA1" w14:textId="77777777" w:rsidR="00D4095E" w:rsidRPr="009342F9" w:rsidRDefault="00D4095E" w:rsidP="00FC79C1">
      <w:pPr>
        <w:spacing w:after="0" w:line="240" w:lineRule="auto"/>
        <w:jc w:val="both"/>
        <w:rPr>
          <w:rFonts w:ascii="Arial" w:eastAsia="Times New Roman" w:hAnsi="Arial" w:cs="Arial"/>
          <w:color w:val="000000"/>
          <w:lang w:eastAsia="es-CO"/>
        </w:rPr>
      </w:pPr>
      <w:bookmarkStart w:id="1287" w:name="ver_30187326"/>
      <w:bookmarkStart w:id="1288" w:name="ver_30074021"/>
      <w:bookmarkEnd w:id="1286"/>
      <w:bookmarkEnd w:id="1287"/>
    </w:p>
    <w:p w14:paraId="6EA3CC46" w14:textId="59F837B8"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2.2.6.1.2.1.14 Derogado </w:t>
      </w:r>
    </w:p>
    <w:p w14:paraId="1CE081BB" w14:textId="77777777" w:rsidR="00FC79C1" w:rsidRPr="009342F9" w:rsidRDefault="00FC79C1" w:rsidP="00FC79C1">
      <w:pPr>
        <w:spacing w:after="0" w:line="240" w:lineRule="auto"/>
        <w:jc w:val="both"/>
        <w:rPr>
          <w:rFonts w:ascii="Arial" w:eastAsia="Times New Roman" w:hAnsi="Arial" w:cs="Arial"/>
          <w:color w:val="000000"/>
          <w:lang w:eastAsia="es-CO"/>
        </w:rPr>
      </w:pPr>
    </w:p>
    <w:p w14:paraId="045B4AFE" w14:textId="05F963C7" w:rsidR="00FC79C1" w:rsidRPr="009342F9" w:rsidRDefault="00FC79C1" w:rsidP="00D4095E">
      <w:pPr>
        <w:spacing w:after="0" w:line="240" w:lineRule="auto"/>
        <w:jc w:val="center"/>
        <w:rPr>
          <w:rFonts w:ascii="Arial" w:eastAsia="Times New Roman" w:hAnsi="Arial" w:cs="Arial"/>
          <w:b/>
          <w:bCs/>
          <w:color w:val="000000"/>
          <w:lang w:eastAsia="es-CO"/>
        </w:rPr>
      </w:pPr>
      <w:bookmarkStart w:id="1289" w:name="ver_30074022"/>
      <w:bookmarkEnd w:id="1288"/>
      <w:bookmarkEnd w:id="1289"/>
      <w:r w:rsidRPr="009342F9">
        <w:rPr>
          <w:rFonts w:ascii="Arial" w:eastAsia="Times New Roman" w:hAnsi="Arial" w:cs="Arial"/>
          <w:b/>
          <w:bCs/>
          <w:color w:val="000000"/>
          <w:lang w:eastAsia="es-CO"/>
        </w:rPr>
        <w:t>SUBSECCIÓN 2</w:t>
      </w:r>
    </w:p>
    <w:p w14:paraId="3D589CC2" w14:textId="77777777" w:rsidR="00FC79C1" w:rsidRPr="009342F9" w:rsidRDefault="00FC79C1" w:rsidP="00D4095E">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DEL PROCEDIMIENTO PARA LA EXPEDICIÓN DE LA LICENCIA Y SUS MODIFICACIONES</w:t>
      </w:r>
    </w:p>
    <w:p w14:paraId="0B8297F2"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290" w:name="ver_30074023"/>
      <w:bookmarkEnd w:id="1290"/>
    </w:p>
    <w:p w14:paraId="2C0BCDB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2.2.6.1.2.2.1 Citación a vecinos. El curador urbano o la autoridad municipal o distrital competente para el estudio, trámite y expedición de licencias, citará a los vecinos colindantes del inmueble o inmuebles objeto de la solicitud para que se hagan parte y puedan hacer valer sus derechos. En la citación se dará a conocer, por lo menos, el número de radicación y fecha, el nombre del solicitante de la licencia, la dirección del inmueble o inmuebles objeto de solicitud, la modalidad de </w:t>
      </w:r>
      <w:proofErr w:type="gramStart"/>
      <w:r w:rsidRPr="009342F9">
        <w:rPr>
          <w:rFonts w:ascii="Arial" w:eastAsia="Times New Roman" w:hAnsi="Arial" w:cs="Arial"/>
          <w:color w:val="000000"/>
          <w:lang w:eastAsia="es-CO"/>
        </w:rPr>
        <w:t>la misma</w:t>
      </w:r>
      <w:proofErr w:type="gramEnd"/>
      <w:r w:rsidRPr="009342F9">
        <w:rPr>
          <w:rFonts w:ascii="Arial" w:eastAsia="Times New Roman" w:hAnsi="Arial" w:cs="Arial"/>
          <w:color w:val="000000"/>
          <w:lang w:eastAsia="es-CO"/>
        </w:rPr>
        <w:t xml:space="preserve"> y el uso o usos propuestos conforme a la radicación. La citación a vecinos se hará por correo certificado conforme a la información suministrada por el solicitante de la licencia. </w:t>
      </w:r>
    </w:p>
    <w:p w14:paraId="5BE0E00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CFEEC2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Se entiende por vecinos los propietarios, poseedores, tenedores o residentes de predios colindantes, de acuerdo con lo establecido en el numeral 6 del artículo 2.2.6.1.2.1.7 de este decreto. </w:t>
      </w:r>
    </w:p>
    <w:p w14:paraId="3AB70AF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B2D257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Si la citación no fuere posible, se insertará un aviso en la publicación que para tal efecto tuviere la entidad o en un periódico de amplia circulación local o nacional. En la publicación se incluirá la información indicada para las citaciones. En aquellos municipios donde esto no fuere posible, se puede hacer uso de un medio masivo de radiodifusión local, en el horario de 8:00 a. m. a 8:00 p. m. </w:t>
      </w:r>
    </w:p>
    <w:p w14:paraId="2E02F76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2D94A6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Cualquiera sea el medio utilizado para comunicar la solicitud a los vecinos colindantes, en el expediente se deberán dejar las respectivas constancias. </w:t>
      </w:r>
    </w:p>
    <w:p w14:paraId="25096A6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542CDD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1°. Desde el día siguiente a la fecha de radicación en legal y debida forma de solicitudes de proyectos de parcelación, urbanización y construcción en cualquiera de sus modalidades, el peticionario de la licencia deberá instalar una valla resistente a la intemperie de fondo amarillo y letras negras, con una dimensión mínima de un metro (1.00 m) por setenta (70) centímetros, en lugar visible desde la vía pública, en la que se advierta a terceros sobre la iniciación del trámite administrativo tendiente a la expedición de la licencia urbanística, indicando el número de radicación, fecha de radicación, la autoridad ante la cual se tramita la solicitud, el uso y características básicas del proyecto. </w:t>
      </w:r>
    </w:p>
    <w:p w14:paraId="1EDFEA0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w:t>
      </w:r>
    </w:p>
    <w:p w14:paraId="0F21F37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Tratándose de solicitudes de licencia de construcción individual de vivienda de interés social, se instalará un aviso de treinta (30) centímetros por cincuenta (50) centímetros en lugar visible desde la vía pública. </w:t>
      </w:r>
    </w:p>
    <w:p w14:paraId="2486362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BD793A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Cuando se solicite licencia para el desarrollo de obras de construcción en las modalidades de ampliación, adecuación, restauración o demolición en edificios o conjunto sometidos al régimen de propiedad horizontal, se instalará un aviso de treinta (30) centímetros por cincuenta (50) centímetros en la cartelera principal del edificio o conjunto, o en un lugar de amplia circulación que determine la administración. </w:t>
      </w:r>
    </w:p>
    <w:p w14:paraId="2847B38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1BEF75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Una fotografía de la valla o del aviso, según sea el caso, con la información indicada se deberá anexar al respectivo expediente administrativo en los cinco (5) días hábiles siguientes a la radicación de la solicitud, so pena de entenderse desistida. </w:t>
      </w:r>
    </w:p>
    <w:p w14:paraId="7622BDE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DDB70A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Esta valla, por ser requisito para el trámite de la licencia, no generará ninguna clase de pagos o permisos adicionales a los de la licencia misma y deberá permanecer en el sitio hasta tanto la solicitud sea resuelta. </w:t>
      </w:r>
    </w:p>
    <w:p w14:paraId="567E742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C3A540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2°. Lo dispuesto en este artículo no se aplicará para las solicitudes de licencia de subdivisión, de construcción en la modalidad de reconstrucción; intervención y ocupación de espacio público; las solicitudes de revalidación ni las solicitudes de modificación de licencia vigente siempre y cuando, en estas últimas, se trate de rediseños internos manteniendo la volumetría y el uso predominante aprobados en la licencia objeto de modificación. </w:t>
      </w:r>
    </w:p>
    <w:p w14:paraId="6BF769FD" w14:textId="4B36F4BD"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291" w:name="ver_30074024"/>
      <w:bookmarkEnd w:id="1291"/>
    </w:p>
    <w:p w14:paraId="0DA9F2F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2.2.6.1.2.2.2 Intervención de terceros. Toda persona interesada en formular objeciones a la expedición de una licencia </w:t>
      </w:r>
      <w:proofErr w:type="gramStart"/>
      <w:r w:rsidRPr="009342F9">
        <w:rPr>
          <w:rFonts w:ascii="Arial" w:eastAsia="Times New Roman" w:hAnsi="Arial" w:cs="Arial"/>
          <w:color w:val="000000"/>
          <w:lang w:eastAsia="es-CO"/>
        </w:rPr>
        <w:t>urbanística,</w:t>
      </w:r>
      <w:proofErr w:type="gramEnd"/>
      <w:r w:rsidRPr="009342F9">
        <w:rPr>
          <w:rFonts w:ascii="Arial" w:eastAsia="Times New Roman" w:hAnsi="Arial" w:cs="Arial"/>
          <w:color w:val="000000"/>
          <w:lang w:eastAsia="es-CO"/>
        </w:rPr>
        <w:t xml:space="preserve"> podrá hacerse parte en el trámite administrativo desde la fecha de la radicación de la solicitud hasta antes de la expedición del acto administrativo que resuelva la solicitud. Dicho acto sólo podrá ser expedido una vez haya transcurrido un término mínimo de cinco (5) días hábiles, contados a partir del día siguiente a la fecha de la citación a los vecinos colindantes o de la publicación cuando esta fuere necesaria y, en el caso de los demás terceros, a partir del día siguiente a la fecha en que se radique la fotografía donde conste la instalación de la valla o aviso de que trata el parágrafo 1 del artículo anterior. </w:t>
      </w:r>
    </w:p>
    <w:p w14:paraId="4BD9CDE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DBD2C9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Las objeciones y observaciones se deberán presentar por escrito, acreditando la condición de tercero individual y directamente interesado y presentar las pruebas que pretenda hacer valer y deberán fundamentarse únicamente en la aplicación de las normas jurídicas, urbanísticas, de edificabilidad o estructurales referentes a la solicitud, so pena de la responsabilidad extracontractual en la que podría incurrir por los perjuicios que ocasione con su conducta. Dichas observaciones se resolverán en el acto que decida sobre la solicitud. </w:t>
      </w:r>
    </w:p>
    <w:p w14:paraId="3A0CB145" w14:textId="40C5FB81"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292" w:name="ver_30125161"/>
      <w:bookmarkStart w:id="1293" w:name="ver_30109499"/>
      <w:bookmarkStart w:id="1294" w:name="ver_30109500"/>
      <w:bookmarkEnd w:id="1292"/>
    </w:p>
    <w:p w14:paraId="13F984C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2.2.6.1.2.2.3. De la revisión del proyecto. El curador urbano o la autoridad municipal o distrital encargada de estudiar, tramitar y expedir las licencias deberá revisar el proyecto objeto de la solicitud desde el punto de vista jurídico, urbanístico, arquitectónico y estructural, incluyendo la revisión del cumplimiento del Reglamento Colombiano de Construcción Sismorresistente NSR-10 y la norma que lo adicione, modifique o sustituya; los diseños estructurales, estudios geotécnicos y de suelos y diseños de elementos no estructurales, así como el cumplimiento de las normas urbanísticas y de edificación aplicables.  </w:t>
      </w:r>
    </w:p>
    <w:p w14:paraId="6668730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012BDF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Si bien la revisión del proyecto se podrá iniciar a partir del día siguiente de la radicación, los términos para resolver la solicitud empezarán a correr una vez haya sido radicada en legal y debida forma.  </w:t>
      </w:r>
    </w:p>
    <w:p w14:paraId="7A0EC3C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379D70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1°. Durante el estudio y antes de emitir acta de observaciones podrá modificarse el proyecto objeto de solicitud siempre y cuando no conlleve cambio del uso predominante inicialmente presentado, evento en el cual deberá presentarse una nueva solicitud. Si la modificación del proyecto implica que el área construida alcance o supere los 2.000 metros cuadrados o que se genere un total de 5 o más unidades habitacionales o sin cambiar el uso predominante, para continuar con el trámite deberá allegarse copia de la memoria de los cálculos y planos estructurales firmados por el revisor independiente de los diseños estructurales, y copia del memorial de revisión independiente de los diseños estructurales.  </w:t>
      </w:r>
    </w:p>
    <w:p w14:paraId="143BF04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A7CC1F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2°. Mientras se crea el Registro Único Nacional de Profesionales Acreditados, los profesionales que suscriben el formulario único nacional para la solicitud de licencias, acreditarán su experiencia e idoneidad ante el curador urbano o la autoridad municipal o distrital encargada de la expedición de licencias, de conformidad con lo dispuesto en la Resolución número 015 de 2015 de la Comisión Asesora Permanente para el Régimen de Construcciones Sismorresistentes, o la que la adicione, modifique o sustituya.  </w:t>
      </w:r>
    </w:p>
    <w:p w14:paraId="7F2AA84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28598F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El revisor o revisores de los diseños estructurales, estudios geotécnicos y de suelos y diseños de elementos no estructurales no puede ser el mismo profesional que los elaboró, ni puede tener relación laboral o contractual con este, ni con la empresa que tuvo a su cargo la elaboración de cada uno de los diseños y estudios respectivamente. Esto aplica tanto para la revisión efectuada por las autoridades municipales o distritales encargadas del licenciamiento urbanístico, como para la revisión efectuada por los curadores urbanos y los revisores independientes de diseños estructurales. Además, no debe presentarse ninguna de las incompatibilidades contenidas en la Ley 1796 de 2016 ni en el Reglamento Colombiano de Construcción Sismorresistente NSR-10.  </w:t>
      </w:r>
    </w:p>
    <w:p w14:paraId="7A48E21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915667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3°. La revisión independiente de diseños estructurales debe realizarse conforme a lo dispuesto en el Apéndice A-6 del Reglamento Colombiano de Construcción Sismorresistente NSR-10. La escogencia y costo del profesional independiente será asumido por el solicitante de la licencia. En municipios que no cuenten con la figura del curador urbano, la revisión independiente de diseños estructurales podrá ser realizada por el curador urbano del municipio más cercano dentro del mismo departamento, siempre y cuando el mismo acepte realizarla y cumpla con las calidades profesionales de idoneidad y experiencia exigidas para desarrollar dicha revisión.  </w:t>
      </w:r>
    </w:p>
    <w:p w14:paraId="2508B76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A6FB70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El alcance y procedimiento de la revisión de los diseños y estudios se sujetará a las disposiciones que para el efecto defina la Comisión Asesora Permanente para el Régimen de Construcciones Sismorresistentes, de acuerdo con lo establecido en los artículos 16 y 42 de la Ley 400 de 1997, sus decretos reglamentarios, o las normas que los adicionen, modifiquen o sustituyan.  </w:t>
      </w:r>
    </w:p>
    <w:p w14:paraId="163D2D8B" w14:textId="13235D39"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5BEA41C" w14:textId="1D736C58" w:rsidR="00FC79C1" w:rsidRPr="009342F9" w:rsidRDefault="00FC79C1" w:rsidP="00FC79C1">
      <w:pPr>
        <w:spacing w:after="0" w:line="240" w:lineRule="auto"/>
        <w:jc w:val="both"/>
        <w:rPr>
          <w:rFonts w:ascii="Arial" w:eastAsia="Times New Roman" w:hAnsi="Arial" w:cs="Arial"/>
          <w:color w:val="000000"/>
          <w:lang w:eastAsia="es-CO"/>
        </w:rPr>
      </w:pPr>
      <w:bookmarkStart w:id="1295" w:name="ver_30125163"/>
      <w:bookmarkStart w:id="1296" w:name="ver_30125162"/>
      <w:bookmarkEnd w:id="1293"/>
      <w:bookmarkEnd w:id="1294"/>
      <w:bookmarkEnd w:id="1295"/>
      <w:r w:rsidRPr="009342F9">
        <w:rPr>
          <w:rFonts w:ascii="Arial" w:eastAsia="Times New Roman" w:hAnsi="Arial" w:cs="Arial"/>
          <w:color w:val="000000"/>
          <w:lang w:eastAsia="es-CO"/>
        </w:rPr>
        <w:t>Artículo 2.2.6.1.2.2.4.</w:t>
      </w:r>
      <w:r w:rsidR="004A4ED6">
        <w:rPr>
          <w:rFonts w:ascii="Arial" w:eastAsia="Times New Roman" w:hAnsi="Arial" w:cs="Arial"/>
          <w:color w:val="000000"/>
          <w:lang w:eastAsia="es-CO"/>
        </w:rPr>
        <w:t xml:space="preserve"> </w:t>
      </w:r>
      <w:r w:rsidRPr="009342F9">
        <w:rPr>
          <w:rFonts w:ascii="Arial" w:eastAsia="Times New Roman" w:hAnsi="Arial" w:cs="Arial"/>
          <w:color w:val="000000"/>
          <w:lang w:eastAsia="es-CO"/>
        </w:rPr>
        <w:t>Acta de observaciones y correcciones. Efectuada la revisión técnica, jurídica, estructural, urbanística y arquitectónica del proyecto, el curador urbano o la autoridad municipal o distrital competente para el estudio, trámite y expedición de las licencias, prórrogas, revalidaciones de licencias y otras actuaciones, levantará por una sola vez, si a ello hubiere lugar, un acta de observaciones y correcciones en la que se informe al solicitante sobre las actualizaciones, correcciones o aclaraciones que debe realizar al proyecto y los documentos adicionales que debe aportar para decidir sobre la solicitud.  </w:t>
      </w:r>
    </w:p>
    <w:p w14:paraId="3DAAA25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62280C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El solicitante contará con un plazo de treinta (30) días hábiles para dar respuesta al requerimiento. Este plazo podrá ser ampliado, a solicitud de parte, hasta por un término adicional de quince (15) días hábiles. Durante este plazo se suspenderá el término para la expedición de la licencia.  </w:t>
      </w:r>
    </w:p>
    <w:p w14:paraId="04B238D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43B69F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el evento que para los proyectos radicados con revisión independiente de los diseños estructurales, se advierta en el acta de observaciones, la necesidad de ajustar el proyecto arquitectónico, el proyecto estructural, los estudios geotécnicos y/o los diseños de los elementos no estructurales, en la respuesta al acta de observaciones, se deberá adjuntar un memorial suscrito por el revisor independiente de diseños estructurales, dirigido al curador urbano o a la autoridad municipal o distrital competente, que certifique el alcance de la revisión efectuada, el cumplimiento de las normas y decretos reglamentarios aplicables. Así mismo el revisor independiente de diseños estructurales firmará los planos y demás documentos técnicos como constancia de haber efectuado la revisión.  </w:t>
      </w:r>
    </w:p>
    <w:p w14:paraId="7E6F00E0"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297" w:name="ver_30074027"/>
      <w:bookmarkEnd w:id="1296"/>
      <w:bookmarkEnd w:id="1297"/>
    </w:p>
    <w:p w14:paraId="03818C4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2.2.6.1.2.2.5 Información de otras autoridades. Las licencias urbanísticas deberán resolverse exclusivamente con los requisitos fijados por las normas nacionales que reglamentan su trámite. No </w:t>
      </w:r>
      <w:proofErr w:type="gramStart"/>
      <w:r w:rsidRPr="009342F9">
        <w:rPr>
          <w:rFonts w:ascii="Arial" w:eastAsia="Times New Roman" w:hAnsi="Arial" w:cs="Arial"/>
          <w:color w:val="000000"/>
          <w:lang w:eastAsia="es-CO"/>
        </w:rPr>
        <w:t>obstante</w:t>
      </w:r>
      <w:proofErr w:type="gramEnd"/>
      <w:r w:rsidRPr="009342F9">
        <w:rPr>
          <w:rFonts w:ascii="Arial" w:eastAsia="Times New Roman" w:hAnsi="Arial" w:cs="Arial"/>
          <w:color w:val="000000"/>
          <w:lang w:eastAsia="es-CO"/>
        </w:rPr>
        <w:t xml:space="preserve"> los curadores urbanos o las autoridades competentes para la expedición de licencias, podrán solicitar a otras autoridades el aporte de información que requieran para precisar los requisitos definidos por la reglamentación nacional, la cual deberá ser remitida en un plazo de diez (10) días hábiles contados a partir del día siguiente de la radicación del requerimiento, lapso durante el cual se suspenderá el término que tiene la autoridad competente para decidir. </w:t>
      </w:r>
    </w:p>
    <w:p w14:paraId="1BEE959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AEEBFD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todo caso, el curador urbano o la autoridad municipal o distrital competente para el estudio, trámite y expedición de las licencias deberá resolver la solicitud de licencia con la información disponible que sustente su actuación, dentro del término establecido en los en los artículos siguientes. </w:t>
      </w:r>
    </w:p>
    <w:p w14:paraId="7258750F" w14:textId="77777777" w:rsidR="00D4095E" w:rsidRPr="009342F9" w:rsidRDefault="00D4095E" w:rsidP="00FC79C1">
      <w:pPr>
        <w:spacing w:after="0" w:line="240" w:lineRule="auto"/>
        <w:jc w:val="both"/>
        <w:rPr>
          <w:rFonts w:ascii="Arial" w:eastAsia="Times New Roman" w:hAnsi="Arial" w:cs="Arial"/>
          <w:color w:val="000000"/>
          <w:lang w:eastAsia="es-CO"/>
        </w:rPr>
      </w:pPr>
      <w:bookmarkStart w:id="1298" w:name="ver_30074028"/>
      <w:bookmarkEnd w:id="1298"/>
    </w:p>
    <w:p w14:paraId="3573DCAA" w14:textId="4B757C65" w:rsidR="00FC79C1" w:rsidRPr="009342F9" w:rsidRDefault="00FC79C1" w:rsidP="00D4095E">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SUBSECCIÓN 3</w:t>
      </w:r>
    </w:p>
    <w:p w14:paraId="38E534BC" w14:textId="77777777" w:rsidR="00FC79C1" w:rsidRPr="009342F9" w:rsidRDefault="00FC79C1" w:rsidP="00D4095E">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DE LA EXPEDICIÓN DE LICENCIAS, SUS MODIFICACIONES Y REVALIDACIONES</w:t>
      </w:r>
    </w:p>
    <w:p w14:paraId="4C24D501"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299" w:name="ver_30125165"/>
      <w:bookmarkStart w:id="1300" w:name="ver_30125164"/>
      <w:bookmarkEnd w:id="1299"/>
    </w:p>
    <w:p w14:paraId="3C0C76DB" w14:textId="6B4BF433"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2.2.6.1.2.3.</w:t>
      </w:r>
      <w:r w:rsidR="004A4ED6">
        <w:rPr>
          <w:rFonts w:ascii="Arial" w:eastAsia="Times New Roman" w:hAnsi="Arial" w:cs="Arial"/>
          <w:color w:val="000000"/>
          <w:lang w:eastAsia="es-CO"/>
        </w:rPr>
        <w:t>1</w:t>
      </w:r>
      <w:r w:rsidRPr="009342F9">
        <w:rPr>
          <w:rFonts w:ascii="Arial" w:eastAsia="Times New Roman" w:hAnsi="Arial" w:cs="Arial"/>
          <w:color w:val="000000"/>
          <w:lang w:eastAsia="es-CO"/>
        </w:rPr>
        <w:t>.</w:t>
      </w:r>
      <w:r w:rsidR="004A4ED6">
        <w:rPr>
          <w:rFonts w:ascii="Arial" w:eastAsia="Times New Roman" w:hAnsi="Arial" w:cs="Arial"/>
          <w:color w:val="000000"/>
          <w:lang w:eastAsia="es-CO"/>
        </w:rPr>
        <w:t xml:space="preserve"> </w:t>
      </w:r>
      <w:r w:rsidRPr="009342F9">
        <w:rPr>
          <w:rFonts w:ascii="Arial" w:eastAsia="Times New Roman" w:hAnsi="Arial" w:cs="Arial"/>
          <w:color w:val="000000"/>
          <w:lang w:eastAsia="es-CO"/>
        </w:rPr>
        <w:t xml:space="preserve">Término para resolver las solicitudes de licencias, sus modificaciones y revalidación de licencias. Los curadores urbanos y la entidad municipal o distrital encargada del estudio, trámite y expedición de las licencias, según el caso, tendrán un plazo máximo de cuarenta y cinco (45) días hábiles para resolver las solicitudes de licencias y de modificación de licencia vigente pronunciándose sobre su viabilidad, negación o desistimiento contados desde la fecha en que la solicitud haya sido radicada en legal y debida forma. Vencido este plazo sin que los curadores urbanos o las autoridades se hubieren pronunciado, se aplicará el silencio administrativo positivo en los términos </w:t>
      </w:r>
      <w:proofErr w:type="gramStart"/>
      <w:r w:rsidRPr="009342F9">
        <w:rPr>
          <w:rFonts w:ascii="Arial" w:eastAsia="Times New Roman" w:hAnsi="Arial" w:cs="Arial"/>
          <w:color w:val="000000"/>
          <w:lang w:eastAsia="es-CO"/>
        </w:rPr>
        <w:t>solicitados</w:t>
      </w:r>
      <w:proofErr w:type="gramEnd"/>
      <w:r w:rsidRPr="009342F9">
        <w:rPr>
          <w:rFonts w:ascii="Arial" w:eastAsia="Times New Roman" w:hAnsi="Arial" w:cs="Arial"/>
          <w:color w:val="000000"/>
          <w:lang w:eastAsia="es-CO"/>
        </w:rPr>
        <w:t xml:space="preserve"> pero en ningún caso en contravención de las normas urbanísticas y de edificación vigentes, quedando obligadas la autoridad municipal o distrital competente o el curador urbano, a expedir las constancias y certificaciones que se requieran para evidenciar la aprobación del proyecto presentado. La invocación del silencio administrativo </w:t>
      </w:r>
      <w:proofErr w:type="gramStart"/>
      <w:r w:rsidRPr="009342F9">
        <w:rPr>
          <w:rFonts w:ascii="Arial" w:eastAsia="Times New Roman" w:hAnsi="Arial" w:cs="Arial"/>
          <w:color w:val="000000"/>
          <w:lang w:eastAsia="es-CO"/>
        </w:rPr>
        <w:t>positivo,</w:t>
      </w:r>
      <w:proofErr w:type="gramEnd"/>
      <w:r w:rsidRPr="009342F9">
        <w:rPr>
          <w:rFonts w:ascii="Arial" w:eastAsia="Times New Roman" w:hAnsi="Arial" w:cs="Arial"/>
          <w:color w:val="000000"/>
          <w:lang w:eastAsia="es-CO"/>
        </w:rPr>
        <w:t xml:space="preserve"> se someterá al procedimiento previsto en el Código de Procedimiento Administrativo y de lo Contencioso Administrativo.  </w:t>
      </w:r>
    </w:p>
    <w:p w14:paraId="4538943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699CD1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Cuando el tamaño o la complejidad del proyecto lo ameriten, el plazo para resolver la solicitud de licencia de que trata este artículo podrá prorrogarse por una sola vez hasta por la mitad del término establecido mediante acto administrativo de trámite que solo será comunicado.  </w:t>
      </w:r>
    </w:p>
    <w:p w14:paraId="755E4C3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D9EB7C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Las solicitudes de revalidación de licencias se resolverán en un término máximo de treinta (30) días contados a partir de la fecha de radicación de la solicitud en legal y debida forma.  </w:t>
      </w:r>
    </w:p>
    <w:p w14:paraId="0CFDAA1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w:t>
      </w:r>
    </w:p>
    <w:p w14:paraId="7A73B2F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1°. Cuando se encuentre viable la expedición de la licencia, se proferirá un acto de trámite que se comunicará al interesado por escrito, y en el que además se le requerirá para que aporte los documentos señalados en el artículo 2.2.6.6.8.2 del presente decreto, los cuales deberán ser presentados en un término máximo de treinta (30) días contados a partir del recibo de la comunicación. Durante este término se entenderá suspendido el trámite para la expedición de la licencia.  </w:t>
      </w:r>
    </w:p>
    <w:p w14:paraId="43A5697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BCB31C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El curador urbano o la autoridad municipal o distrital encargada del estudio, trámite y expedición de las licencias, estará obligado a expedir el acto administrativo que conceda la licencia en un término no superior a cinco (5) días contados a partir de la entrega de los citados documentos. Vencido este plazo sin que el curador urbano o la autoridad municipal hubiere expedido la licencia operará el silencio administrativo a favor del solicitante cuando se cumpla el plazo máximo para la expedición de </w:t>
      </w:r>
      <w:proofErr w:type="gramStart"/>
      <w:r w:rsidRPr="009342F9">
        <w:rPr>
          <w:rFonts w:ascii="Arial" w:eastAsia="Times New Roman" w:hAnsi="Arial" w:cs="Arial"/>
          <w:color w:val="000000"/>
          <w:lang w:eastAsia="es-CO"/>
        </w:rPr>
        <w:t>la misma</w:t>
      </w:r>
      <w:proofErr w:type="gramEnd"/>
      <w:r w:rsidRPr="009342F9">
        <w:rPr>
          <w:rFonts w:ascii="Arial" w:eastAsia="Times New Roman" w:hAnsi="Arial" w:cs="Arial"/>
          <w:color w:val="000000"/>
          <w:lang w:eastAsia="es-CO"/>
        </w:rPr>
        <w:t>.  </w:t>
      </w:r>
    </w:p>
    <w:p w14:paraId="7D41605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01969D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Si el interesado no aporta los documentos en el término previsto en este parágrafo, la solicitud se entenderá desistida y en consecuencia se procederá a archivar el expediente, mediante acto administrativo contra el cual procederá el recurso de reposición.  </w:t>
      </w:r>
    </w:p>
    <w:p w14:paraId="79FDD8D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A74560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2°. Con el fin de garantizar la publicidad y la participación de quienes puedan verse afectados con la decisión, en ningún caso se podrá expedir el acto administrativo mediante el cual se niegue o conceda la licencia sin que previamente se haya dado estricto cumplimiento a la obligación de citación a vecinos colindantes y demás terceros en los términos previstos por los artículos 2.2.6.1.2.2.1 y 2.2.6.1.2.2.2 del presente decreto. Esta norma no será exigible para las licencias de subdivisión y construcción en la modalidad de reconstrucción.  </w:t>
      </w:r>
    </w:p>
    <w:p w14:paraId="5C3C1C0E" w14:textId="32DB7595"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301" w:name="ver_30074030"/>
      <w:bookmarkEnd w:id="1300"/>
      <w:bookmarkEnd w:id="1301"/>
    </w:p>
    <w:p w14:paraId="090D3F9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2.2.6.1.2.3.2 Plazos indicativos para pronunciarse sobre la solicitud de licencias de construcción. Una vez se adopte por los curadores urbanos o por la autoridad municipal o distrital competente para la expedición de licencias el sistema de categorización de que trata el artículo 2.2.6.1.2.1.3 del presente decreto, se tendrán en cuenta los siguientes plazos indicativos para pronunciarse sobre las solicitudes de las licencias de construcción: </w:t>
      </w:r>
    </w:p>
    <w:p w14:paraId="5C4D836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4B6264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Categoría IV Alta Complejidad: Cuarenta y cinco (45) días contados a partir de la fecha de radicación de la solicitud en legal y debida forma. </w:t>
      </w:r>
    </w:p>
    <w:p w14:paraId="7AE796A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18AB61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Categoría III Media-Alta Complejidad: Treinta y cinco (35) días contados a partir de la fecha de radicación de la solicitud en legal y debida forma. </w:t>
      </w:r>
    </w:p>
    <w:p w14:paraId="617795B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3B6C09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Categoría II Media Complejidad: Veinticinco (25) días contados a partir de la fecha de radicación de la solicitud en legal y debida forma. </w:t>
      </w:r>
    </w:p>
    <w:p w14:paraId="5507C63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64BDF8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Categoría I Baja Complejidad: Veinte (20) días contados a partir de la fecha de radicación de la solicitud en legal y debida forma. </w:t>
      </w:r>
    </w:p>
    <w:p w14:paraId="47CB3D0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AF1CAA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Estos plazos son de carácter indicativo y en los casos de los curadores urbanos se tendrán en cuenta para la evaluación anual sobre la calidad del servicio a cargo del curador urbano, de conformidad con lo previsto en el presente decreto. En todo caso, cuando no sea posible cumplir con los plazos previstos en el artículo 2.2.6.6.4.4 del presente decreto, los curadores urbanos podrán disponer de los cuarenta y cinco (45) días hábiles y la prórroga de que trata el artículo 99 numeral 3 de la Ley 388 de 1997 para resolver la solicitud y el artículo anterior. </w:t>
      </w:r>
    </w:p>
    <w:p w14:paraId="08F7511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2EEA79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Parágrafo. Para efectos de lo dispuesto en el artículo 2.2.6.6.4.5 del presente decreto, los curadores urbanos deberán presentar un informe trimestral a las alcaldías municipales y distritales o a las entidades que estas designen, en el que reporten la fecha de radicación en legal y debida forma de las solicitudes de licencias de construcción y sus modalidades señalando la categoría de complejidad a la que pertenece cada una y la fecha en que se resolvió o desistió la solicitud, con el fin de verificar el cumplimiento de los plazos indicativos de que trata este artículo. </w:t>
      </w:r>
    </w:p>
    <w:p w14:paraId="2AAE49EE" w14:textId="59E05304"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302" w:name="ver_30074031"/>
      <w:bookmarkEnd w:id="1302"/>
    </w:p>
    <w:p w14:paraId="7B56EAC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2.2.6.1.2.3.3 Efectos de la licencia. De conformidad con lo dispuesto en el literal a) del artículo 5° del Decreto-ley 151 de 1998, el otorgamiento de la licencia determinará la adquisición de los derechos de construcción y desarrollo, ya sea parcelando, urbanizando o construyendo en los predios objeto de </w:t>
      </w:r>
      <w:proofErr w:type="gramStart"/>
      <w:r w:rsidRPr="009342F9">
        <w:rPr>
          <w:rFonts w:ascii="Arial" w:eastAsia="Times New Roman" w:hAnsi="Arial" w:cs="Arial"/>
          <w:color w:val="000000"/>
          <w:lang w:eastAsia="es-CO"/>
        </w:rPr>
        <w:t>la misma</w:t>
      </w:r>
      <w:proofErr w:type="gramEnd"/>
      <w:r w:rsidRPr="009342F9">
        <w:rPr>
          <w:rFonts w:ascii="Arial" w:eastAsia="Times New Roman" w:hAnsi="Arial" w:cs="Arial"/>
          <w:color w:val="000000"/>
          <w:lang w:eastAsia="es-CO"/>
        </w:rPr>
        <w:t xml:space="preserve"> en los términos y condiciones expresados en la respectiva licencia. </w:t>
      </w:r>
    </w:p>
    <w:p w14:paraId="507AB54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E8959E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La expedición de licencias no conlleva pronunciamiento alguno acerca de la titularidad de derechos reales ni de la posesión sobre el inmueble o inmuebles objeto de ella. Las licencias recaen sobre uno o más predios y/o inmuebles y producen todos sus efectos </w:t>
      </w:r>
      <w:proofErr w:type="spellStart"/>
      <w:r w:rsidRPr="009342F9">
        <w:rPr>
          <w:rFonts w:ascii="Arial" w:eastAsia="Times New Roman" w:hAnsi="Arial" w:cs="Arial"/>
          <w:color w:val="000000"/>
          <w:lang w:eastAsia="es-CO"/>
        </w:rPr>
        <w:t>aún</w:t>
      </w:r>
      <w:proofErr w:type="spellEnd"/>
      <w:r w:rsidRPr="009342F9">
        <w:rPr>
          <w:rFonts w:ascii="Arial" w:eastAsia="Times New Roman" w:hAnsi="Arial" w:cs="Arial"/>
          <w:color w:val="000000"/>
          <w:lang w:eastAsia="es-CO"/>
        </w:rPr>
        <w:t xml:space="preserve"> cuando sean enajenados. Para el efecto, se tendrá por titular de la licencia, a quien esté registrado como propietario en el certificado de tradición y libertad del predio o inmueble, o al poseedor solicitante en los casos de licencia de construcción. </w:t>
      </w:r>
    </w:p>
    <w:p w14:paraId="464AEF7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3D0E44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el caso que el predio objeto de la licencia sea enajenado, no se requerirá adelantar ningún trámite de actualización del titular. No obstante, si el nuevo propietario así lo solicitare, dicha actuación no generará expensa a favor del curador urbano. </w:t>
      </w:r>
    </w:p>
    <w:p w14:paraId="3FD20E9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885D94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Parágrafo. Mientras estén vigentes las licencias urbanísticas los titulares de </w:t>
      </w:r>
      <w:proofErr w:type="gramStart"/>
      <w:r w:rsidRPr="009342F9">
        <w:rPr>
          <w:rFonts w:ascii="Arial" w:eastAsia="Times New Roman" w:hAnsi="Arial" w:cs="Arial"/>
          <w:color w:val="000000"/>
          <w:lang w:eastAsia="es-CO"/>
        </w:rPr>
        <w:t>las mismas</w:t>
      </w:r>
      <w:proofErr w:type="gramEnd"/>
      <w:r w:rsidRPr="009342F9">
        <w:rPr>
          <w:rFonts w:ascii="Arial" w:eastAsia="Times New Roman" w:hAnsi="Arial" w:cs="Arial"/>
          <w:color w:val="000000"/>
          <w:lang w:eastAsia="es-CO"/>
        </w:rPr>
        <w:t xml:space="preserve"> podrán renunciar por escrito a los derechos concedidos por ellas ante cualquier curador o la autoridad municipal o distrital competente para su estudio, trámite y expedición. En estos casos no habrá lugar a devolución de las expensas y para tramitar una nueva licencia deberán ajustarse a la reglamentación vigente al momento de la solicitud. </w:t>
      </w:r>
    </w:p>
    <w:p w14:paraId="41ED0AE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DC8FE7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El curador urbano o la autoridad competente, expedirá sin costo el acto que reconoce la renuncia, contra el cual no procederá recurso, e informará por escrito de esta situación a los demás curadores urbanos del municipio y a la autoridad encargada de ejercer el control urbano. </w:t>
      </w:r>
    </w:p>
    <w:p w14:paraId="03E7773C" w14:textId="0F927794"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303" w:name="ver_30074032"/>
      <w:bookmarkEnd w:id="1303"/>
    </w:p>
    <w:p w14:paraId="61D5FE4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2.2.6.1.2.3.4 Desistimiento de solicitudes de licencia. El solicitante de una licencia urbanística podrá desistir de la misma mientras no se haya expedido el acto administrativo mediante el cual se concede la licencia o se niegue la solicitud presentada. </w:t>
      </w:r>
    </w:p>
    <w:p w14:paraId="6987EC1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E78039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Cuando el solicitante de la licencia no haya dado cumplimiento a los requerimientos exigidos en el acta de observaciones y correcciones a que hace referencia el artículo 2.2.6.1.2.2.4 del presente decreto dentro de los términos allí indicados, la solicitud se entenderá desistida y en consecuencia se procederá a archivar el expediente mediante acto administrativo, contra el cual procederá el recurso de reposición. Una vez archivado el expediente, el interesado deberá presentar nuevamente la solicitud. </w:t>
      </w:r>
    </w:p>
    <w:p w14:paraId="7D2EB9A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494466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El interesado contará con treinta (30) días calendario, contados a partir de la fecha en que quede en firme el acto administrativo por el cual se entiende desistida la solicitud, para retirar los documentos que reposan en el expediente o para solicitar su traslado a otro en el evento que se radique una nueva solicitud ante la misma autoridad. En estos casos se expedirá el acto de devolución o desglose y traslado. Contra este acto no procede recurso. </w:t>
      </w:r>
    </w:p>
    <w:p w14:paraId="0A5EB096" w14:textId="195A54C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304" w:name="ver_30125173"/>
      <w:bookmarkStart w:id="1305" w:name="ver_30125172"/>
      <w:bookmarkEnd w:id="1304"/>
    </w:p>
    <w:p w14:paraId="6DA92C34" w14:textId="5BE42789"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Artículo 2.2.6.1.2.3.5.</w:t>
      </w:r>
      <w:r w:rsidR="004A4ED6">
        <w:rPr>
          <w:rFonts w:ascii="Arial" w:eastAsia="Times New Roman" w:hAnsi="Arial" w:cs="Arial"/>
          <w:color w:val="000000"/>
          <w:lang w:eastAsia="es-CO"/>
        </w:rPr>
        <w:t xml:space="preserve"> </w:t>
      </w:r>
      <w:r w:rsidRPr="009342F9">
        <w:rPr>
          <w:rFonts w:ascii="Arial" w:eastAsia="Times New Roman" w:hAnsi="Arial" w:cs="Arial"/>
          <w:color w:val="000000"/>
          <w:lang w:eastAsia="es-CO"/>
        </w:rPr>
        <w:t>Contenido de la licencia. La licencia se adoptará mediante acto administrativo de carácter particular y concreto y contendrá por lo menos: </w:t>
      </w:r>
    </w:p>
    <w:p w14:paraId="0E11AC3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707C3D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Número secuencial de la licencia y su fecha de expedición. </w:t>
      </w:r>
    </w:p>
    <w:p w14:paraId="5FF017F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8D4664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Tipo de licencia y modalidad. </w:t>
      </w:r>
    </w:p>
    <w:p w14:paraId="27647BD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4EF12C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Vigencia. </w:t>
      </w:r>
    </w:p>
    <w:p w14:paraId="72B1822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EDA6AF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Nombre e identificación del titular de la licencia, al igual que del urbanizador o del constructor responsable. </w:t>
      </w:r>
    </w:p>
    <w:p w14:paraId="3C46F92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9D1EC9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 Datos del predio: </w:t>
      </w:r>
    </w:p>
    <w:p w14:paraId="556E545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4A7692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5.1. Folio de matrícula inmobiliaria del predio o del de mayor extensión del que este forme parte. </w:t>
      </w:r>
    </w:p>
    <w:p w14:paraId="2578B55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2D16D6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5.2. Dirección o ubicación del predio con plano de localización. </w:t>
      </w:r>
    </w:p>
    <w:p w14:paraId="575DBA2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1BACEB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6. Descripción de las características básicas del proyecto aprobado, identificando cuando menos: uso, área del lote, área construida, número de pisos, número de unidades privadas aprobadas, estacionamientos, índices de ocupación y de construcción. </w:t>
      </w:r>
    </w:p>
    <w:p w14:paraId="369A3CC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61B158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7. Planos impresos aprobados por el curador urbano o la autoridad municipal o distrital competente para expedir licencias. </w:t>
      </w:r>
    </w:p>
    <w:p w14:paraId="6816D24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E8F05D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8. Constancia que se trata de vivienda de interés social cuando la licencia incluya este tipo de vivienda. </w:t>
      </w:r>
    </w:p>
    <w:p w14:paraId="5FE05E4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D8D9AB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9. Señalar la obligación de someter a supervisión técnica independiente la ejecución de la edificación cuando se trate de proyectos que requirieron y fueron objeto de revisión independiente de diseños estructurales. </w:t>
      </w:r>
    </w:p>
    <w:p w14:paraId="7C753EE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8FB681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10. Señalar, para los proyectos de vivienda nueva que requirieron revisión independiente de diseños estructurales, la obligación de obtener el Certificado de Ocupación antes de efectuarse la transferencia de los bienes inmuebles resultantes y/o su ocupación. </w:t>
      </w:r>
    </w:p>
    <w:p w14:paraId="1FD4B5C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E4EB6C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11. Indicar el cumplimiento de las normas vigentes de carácter nacional, municipal o distrital sobre eliminación de barreras arquitectónicas para personas en situación de discapacidad. </w:t>
      </w:r>
    </w:p>
    <w:p w14:paraId="6CC723E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EB8F11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w:t>
      </w:r>
      <w:proofErr w:type="gramStart"/>
      <w:r w:rsidRPr="009342F9">
        <w:rPr>
          <w:rFonts w:ascii="Arial" w:eastAsia="Times New Roman" w:hAnsi="Arial" w:cs="Arial"/>
          <w:color w:val="000000"/>
          <w:lang w:eastAsia="es-CO"/>
        </w:rPr>
        <w:t>En caso que</w:t>
      </w:r>
      <w:proofErr w:type="gramEnd"/>
      <w:r w:rsidRPr="009342F9">
        <w:rPr>
          <w:rFonts w:ascii="Arial" w:eastAsia="Times New Roman" w:hAnsi="Arial" w:cs="Arial"/>
          <w:color w:val="000000"/>
          <w:lang w:eastAsia="es-CO"/>
        </w:rPr>
        <w:t xml:space="preserve"> sea viable la expedición de la licencia, el interesado deberá proporcionar dos (2) copias en medio impreso y digital de los planos y demás estudios que hacen parte de la licencia, para que sean firmados por la autoridad competente en el momento de expedir el correspondiente acto administrativo. </w:t>
      </w:r>
    </w:p>
    <w:p w14:paraId="0805E49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51F112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Si las copias no se aportan el curador urbano o la autoridad municipal o distrital encargada del estudio, trámite y expedición de la licencia podrá reproducir a costa del titular dos (2) copias impresas de los planos y demás estudios que hacen parte de la licencia. </w:t>
      </w:r>
    </w:p>
    <w:p w14:paraId="73E2DE8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17F286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Un juego de copias se entregará al titular de la licencia con el acto administrativo que resuelva la solicitud, la otra copia irá para el archivo y los originales de la licencia, incluyendo, de ser el caso, las memorias y planos donde conste la revisión independiente de los diseños </w:t>
      </w:r>
      <w:proofErr w:type="gramStart"/>
      <w:r w:rsidRPr="009342F9">
        <w:rPr>
          <w:rFonts w:ascii="Arial" w:eastAsia="Times New Roman" w:hAnsi="Arial" w:cs="Arial"/>
          <w:color w:val="000000"/>
          <w:lang w:eastAsia="es-CO"/>
        </w:rPr>
        <w:t>estructurales,</w:t>
      </w:r>
      <w:proofErr w:type="gramEnd"/>
      <w:r w:rsidRPr="009342F9">
        <w:rPr>
          <w:rFonts w:ascii="Arial" w:eastAsia="Times New Roman" w:hAnsi="Arial" w:cs="Arial"/>
          <w:color w:val="000000"/>
          <w:lang w:eastAsia="es-CO"/>
        </w:rPr>
        <w:t xml:space="preserve"> se </w:t>
      </w:r>
      <w:r w:rsidRPr="009342F9">
        <w:rPr>
          <w:rFonts w:ascii="Arial" w:eastAsia="Times New Roman" w:hAnsi="Arial" w:cs="Arial"/>
          <w:color w:val="000000"/>
          <w:lang w:eastAsia="es-CO"/>
        </w:rPr>
        <w:lastRenderedPageBreak/>
        <w:t>entregarán a la autoridad municipal o distrital competente encargada del archivo y custodia de estos documentos. </w:t>
      </w:r>
    </w:p>
    <w:p w14:paraId="39167A6E" w14:textId="59118EE0"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306" w:name="ver_30179422"/>
      <w:bookmarkStart w:id="1307" w:name="ver_30125180"/>
      <w:bookmarkStart w:id="1308" w:name="ver_30179418"/>
      <w:bookmarkEnd w:id="1305"/>
      <w:bookmarkEnd w:id="1306"/>
    </w:p>
    <w:p w14:paraId="2E638F3A" w14:textId="5ACD98E5"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2.2.6.1.2.3.6.</w:t>
      </w:r>
      <w:r w:rsidR="004A4ED6">
        <w:rPr>
          <w:rFonts w:ascii="Arial" w:eastAsia="Times New Roman" w:hAnsi="Arial" w:cs="Arial"/>
          <w:color w:val="000000"/>
          <w:lang w:eastAsia="es-CO"/>
        </w:rPr>
        <w:t xml:space="preserve"> </w:t>
      </w:r>
      <w:r w:rsidRPr="009342F9">
        <w:rPr>
          <w:rFonts w:ascii="Arial" w:eastAsia="Times New Roman" w:hAnsi="Arial" w:cs="Arial"/>
          <w:color w:val="000000"/>
          <w:lang w:eastAsia="es-CO"/>
        </w:rPr>
        <w:t>Obligaciones del titular de la licencia. El curador urbano o la autoridad encargada de estudiar, tramitar y expedir licencias, deberá indicar al titular, el cumplimiento de las siguientes obligaciones: </w:t>
      </w:r>
    </w:p>
    <w:p w14:paraId="3C7A5F9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DB0F9B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Ejecutar las obras de forma tal que se garantice la salubridad y seguridad de las personas, así como la estabilidad de los terrenos y edificaciones vecinas y de los elementos constitutivos del espacio público. </w:t>
      </w:r>
    </w:p>
    <w:p w14:paraId="4967E81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23FD70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Cuando se trate de licencias de urbanización, ejecutar las obras de urbanización con sujeción a los proyectos técnicos aprobados y entregar y dotar las áreas públicas objeto de cesión gratuita con destino a vías locales, equipamientos colectivos y espacio público, de acuerdo con las especificaciones que la autoridad competente expida. </w:t>
      </w:r>
    </w:p>
    <w:p w14:paraId="5629207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2CFC89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Mantener en la obra la licencia y los planos aprobados, y exhibirlos cuando sean requeridos por la autoridad competente. </w:t>
      </w:r>
    </w:p>
    <w:p w14:paraId="784FA57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28AD6A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Cumplir con el programa de manejo ambiental de materiales y elementos a los que hace referencia la Resolución número 541 de 1994 del Ministerio del Medio Ambiente, o el acto que la modifique o sustituya, para aquellos proyectos que no requieren licencia ambiental, o planes de manejo, recuperación o restauración ambiental, de conformidad con el decreto único del sector ambiente y desarrollo sostenible en materia de licenciamiento ambiental. </w:t>
      </w:r>
    </w:p>
    <w:p w14:paraId="435A16D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22B233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 Cuando se trate de licencias de construcción, solicitar la Autorización de Ocupación de Inmuebles al concluir las obras de edificación en los términos que establece el artículo 2.2.6.1.4.1 del presente decreto. </w:t>
      </w:r>
    </w:p>
    <w:p w14:paraId="7BF2475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8A809D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6. Someter el proyecto a supervisión técnica independiente en los términos que señala el Título I del Reglamento Colombiano de Construcción Sismorresistente (NSR) 10. </w:t>
      </w:r>
    </w:p>
    <w:p w14:paraId="018EFF6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5E830D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7. Garantizar durante el desarrollo de la obra la participación del diseñador estructural del proyecto y del ingeniero </w:t>
      </w:r>
      <w:proofErr w:type="spellStart"/>
      <w:r w:rsidRPr="009342F9">
        <w:rPr>
          <w:rFonts w:ascii="Arial" w:eastAsia="Times New Roman" w:hAnsi="Arial" w:cs="Arial"/>
          <w:color w:val="000000"/>
          <w:lang w:eastAsia="es-CO"/>
        </w:rPr>
        <w:t>geotecnista</w:t>
      </w:r>
      <w:proofErr w:type="spellEnd"/>
      <w:r w:rsidRPr="009342F9">
        <w:rPr>
          <w:rFonts w:ascii="Arial" w:eastAsia="Times New Roman" w:hAnsi="Arial" w:cs="Arial"/>
          <w:color w:val="000000"/>
          <w:lang w:eastAsia="es-CO"/>
        </w:rPr>
        <w:t xml:space="preserve"> responsables de los planos y estudios aprobados, con el fin de que atiendan las consultas y aclaraciones que solicite el constructor y/o supervisor técnico independiente. Las consultas y aclaraciones deberán incorporarse en la bitácora del proyecto y/o en las actas de supervisión. </w:t>
      </w:r>
    </w:p>
    <w:p w14:paraId="17A7551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978519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8. Designar en un término máximo de 15 días hábiles al profesional que reemplazará a aquel que se desvinculó de la ejecución de los diseños o de la ejecución de la obra. Hasta tanto se designe el nuevo profesional, el que asumirá la obligación del profesional saliente será el titular de la licencia. </w:t>
      </w:r>
    </w:p>
    <w:p w14:paraId="67DFA9F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A88F9F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9. Obtener, previa la ocupación y/o transferencia de las nuevas edificaciones que requieren supervisión técnica independiente, el Certificado Técnico de Ocupación emitido por parte del Supervisor Técnico Independiente siguiendo lo previsto en el Título I del Reglamento Colombiano de Construcción Sismorresistente NSR-10. </w:t>
      </w:r>
    </w:p>
    <w:p w14:paraId="43EB701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A392FD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La ocupación de edificaciones sin haber protocolizado y registrado el Certificado Técnico de Ocupación ocasionará las sanciones correspondientes, incluyendo las previstas en el Código </w:t>
      </w:r>
      <w:r w:rsidRPr="009342F9">
        <w:rPr>
          <w:rFonts w:ascii="Arial" w:eastAsia="Times New Roman" w:hAnsi="Arial" w:cs="Arial"/>
          <w:color w:val="000000"/>
          <w:lang w:eastAsia="es-CO"/>
        </w:rPr>
        <w:lastRenderedPageBreak/>
        <w:t>Nacional de Policía y Convivencia, Ley 1801 de 2016 o la norma que la adicione, modifique o sustituya. </w:t>
      </w:r>
    </w:p>
    <w:p w14:paraId="3EED88D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9A6DD3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10. Remitir, para el caso de proyectos que requieren supervisión técnica independiente, copia de las actas de la supervisión técnica independiente que se expidan durante el desarrollo de la obra, así como el certificado técnico de ocupación, a las autoridades competentes para ejercer el control urbano en el municipio o distrito quienes remitirán copia a la entidad encargada de conservar el expediente del proyecto, y serán de público conocimiento. En los casos de patrimonios autónomos en los que el fiduciario ostente la titularidad del predio y/o de la licencia de construcción, se deberá prever en el correspondiente contrato fiduciario quien es el responsable de esta obligación. </w:t>
      </w:r>
    </w:p>
    <w:p w14:paraId="5180992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D7FA29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11. Realizar los controles de calidad para los diferentes materiales y elementos que señalen las normas de construcción sismorresistentes. </w:t>
      </w:r>
    </w:p>
    <w:p w14:paraId="348E452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0FF435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12. Instalar los equipos, sistemas e implementos de bajo consumo de agua, establecidos en la Ley 373 de 1997 o la norma que la adicione, modifique o sustituya. </w:t>
      </w:r>
    </w:p>
    <w:p w14:paraId="6BC6D1C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56A4DC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13. Cumplir con las normas vigentes de carácter nacional, municipal o distrital sobre eliminación de barreras arquitectónicas para personas en situación de discapacidad. </w:t>
      </w:r>
    </w:p>
    <w:p w14:paraId="1A35C13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B41A46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14. Cumplir con las disposiciones contenidas en las normas de construcción sismo-</w:t>
      </w:r>
      <w:proofErr w:type="spellStart"/>
      <w:r w:rsidRPr="009342F9">
        <w:rPr>
          <w:rFonts w:ascii="Arial" w:eastAsia="Times New Roman" w:hAnsi="Arial" w:cs="Arial"/>
          <w:color w:val="000000"/>
          <w:lang w:eastAsia="es-CO"/>
        </w:rPr>
        <w:t>rresistente</w:t>
      </w:r>
      <w:proofErr w:type="spellEnd"/>
      <w:r w:rsidRPr="009342F9">
        <w:rPr>
          <w:rFonts w:ascii="Arial" w:eastAsia="Times New Roman" w:hAnsi="Arial" w:cs="Arial"/>
          <w:color w:val="000000"/>
          <w:lang w:eastAsia="es-CO"/>
        </w:rPr>
        <w:t xml:space="preserve"> vigente. </w:t>
      </w:r>
    </w:p>
    <w:p w14:paraId="404E072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C75FC7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15. Dar cumplimiento a las disposiciones sobre construcción sostenible que adopte el Ministerio de Vivienda, Ciudad y Territorio o los municipios o distritos en ejercicio de sus competencias. </w:t>
      </w:r>
    </w:p>
    <w:p w14:paraId="0CACA9F7"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309" w:name="ver_30074035"/>
      <w:bookmarkEnd w:id="1307"/>
      <w:bookmarkEnd w:id="1308"/>
      <w:bookmarkEnd w:id="1309"/>
    </w:p>
    <w:p w14:paraId="570127E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2.2.6.1.2.3.7 Notificación de licencias. El acto administrativo que </w:t>
      </w:r>
      <w:proofErr w:type="gramStart"/>
      <w:r w:rsidRPr="009342F9">
        <w:rPr>
          <w:rFonts w:ascii="Arial" w:eastAsia="Times New Roman" w:hAnsi="Arial" w:cs="Arial"/>
          <w:color w:val="000000"/>
          <w:lang w:eastAsia="es-CO"/>
        </w:rPr>
        <w:t>otorgue,</w:t>
      </w:r>
      <w:proofErr w:type="gramEnd"/>
      <w:r w:rsidRPr="009342F9">
        <w:rPr>
          <w:rFonts w:ascii="Arial" w:eastAsia="Times New Roman" w:hAnsi="Arial" w:cs="Arial"/>
          <w:color w:val="000000"/>
          <w:lang w:eastAsia="es-CO"/>
        </w:rPr>
        <w:t xml:space="preserve"> niegue o declare el desistimiento de la solicitud de licencia será notificado al solicitante y a cualquier persona o autoridades que se hubiere hecho parte dentro del trámite, en los términos previstos en el Código de Procedimiento Administrativo y de lo Contencioso Administrativo. La constancia de la notificación se anexará al expediente. En el evento que el solicitante de la licencia sea un poseedor, el acto que resuelva la solicitud se le notificará al propietario inscrito del bien objeto de la licencia en la forma indicada anteriormente. </w:t>
      </w:r>
    </w:p>
    <w:p w14:paraId="256C1045" w14:textId="489380F6"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310" w:name="ver_30074036"/>
      <w:bookmarkEnd w:id="1310"/>
    </w:p>
    <w:p w14:paraId="3DB8E68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2.2.6.1.2.3.8 Publicación. De conformidad con el artículo 73 del Código de Procedimiento Administrativo y de lo Contencioso Administrativo, cuando, a juicio del curador urbano o la autoridad municipal o distrital competente, la expedición del acto administrativo que resuelva la solicitud de licencia afecte en forma directa e inmediata a terceros que no hayan intervenido en la actuación, se ordenará la publicación de la parte resolutiva de la licencia en un periódico de amplia circulación en el municipio o distrito donde se encuentren ubicados los inmuebles y en la página electrónica de la oficina que haya expedido la licencia, si cuentan con ella. </w:t>
      </w:r>
    </w:p>
    <w:p w14:paraId="29C938D6" w14:textId="0D179121"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311" w:name="ver_30074037"/>
      <w:bookmarkEnd w:id="1311"/>
    </w:p>
    <w:p w14:paraId="2796222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2.2.6.1.2.3.9 Recursos. Contra los actos que concedan o nieguen las solicitudes de licencias procederá el recurso de reposición y en subsidio apelación: </w:t>
      </w:r>
    </w:p>
    <w:p w14:paraId="45A9767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13322A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El de reposición, ante el curador urbano o la autoridad municipal o distrital que lo expidió, para que lo aclare, modifique o revoque. </w:t>
      </w:r>
    </w:p>
    <w:p w14:paraId="71C43B1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01B37C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2. El de apelación, ante la oficina de planeación o en su defecto ante el alcalde municipal, para que lo aclare, modifique o revoque. El recurso de apelación podrá interponerse directamente, o como subsidiario del de reposición. </w:t>
      </w:r>
    </w:p>
    <w:p w14:paraId="7F3761B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AADCCC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1°. Los recursos de reposición y apelación deberán presentarse en los términos previstos en el Código de Procedimiento Administrativo y de lo Contencioso Administrativo y de conformidad con lo dispuesto en el artículo 65 de la Ley 9ª de 1989. Transcurrido un plazo de dos (2) meses contados a partir de la interposición del recurso sin que se haya notificado decisión expresa sobre ellos, se entenderá que la decisión es negativa y quedará en firme el acto recurrido. Pasado dicho término, no se podrá resolver el recurso interpuesto e incurrirá en causal de mala conducta el funcionario moroso. </w:t>
      </w:r>
    </w:p>
    <w:p w14:paraId="4895D9D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7D1F38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2°. En el trámite de los recursos, los conceptos técnicos que expidan las autoridades o entidades encargadas de resolver los mismos, a través de sus dependencias internas, no darán lugar a la suspensión o prórroga de los términos para decidir. </w:t>
      </w:r>
    </w:p>
    <w:p w14:paraId="0C7767C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BD4A41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En todo caso, presentados los recursos se dará traslado de </w:t>
      </w:r>
      <w:proofErr w:type="gramStart"/>
      <w:r w:rsidRPr="009342F9">
        <w:rPr>
          <w:rFonts w:ascii="Arial" w:eastAsia="Times New Roman" w:hAnsi="Arial" w:cs="Arial"/>
          <w:color w:val="000000"/>
          <w:lang w:eastAsia="es-CO"/>
        </w:rPr>
        <w:t>los mismos</w:t>
      </w:r>
      <w:proofErr w:type="gramEnd"/>
      <w:r w:rsidRPr="009342F9">
        <w:rPr>
          <w:rFonts w:ascii="Arial" w:eastAsia="Times New Roman" w:hAnsi="Arial" w:cs="Arial"/>
          <w:color w:val="000000"/>
          <w:lang w:eastAsia="es-CO"/>
        </w:rPr>
        <w:t xml:space="preserve"> al titular por el término de cinco (5) días calendario para que se pronuncien sobre ellos. El acto que ordene el traslado no admite recurso y sólo será comunicado. </w:t>
      </w:r>
    </w:p>
    <w:p w14:paraId="7DDA5804" w14:textId="5508D721"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312" w:name="ver_30074038"/>
      <w:bookmarkEnd w:id="1312"/>
    </w:p>
    <w:p w14:paraId="3C6F801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2.2.6.1.2.3.10 De la revocatoria directa. Al acto administrativo que otorga la respectiva licencia le son aplicables las disposiciones sobre revocatoria directa establecidas en el Código de Procedimiento Administrativo y de lo Contencioso Administrativo con las precisiones señaladas en el presente artículo: </w:t>
      </w:r>
    </w:p>
    <w:p w14:paraId="1C930A0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FF5073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Son competentes para adelantar la revocatoria directa de las licencias, el mismo curador que expidió el acto o quien haya sido designado como tal mediante acto administrativo de manera provisional o definitiva, o el alcalde municipal o distrital o su delegado. </w:t>
      </w:r>
    </w:p>
    <w:p w14:paraId="06236E5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84C44B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2. Podrán solicitar la revocatoria directa de las licencias los solicitantes de las mismas, los vecinos colindantes del predio objeto de la </w:t>
      </w:r>
      <w:proofErr w:type="gramStart"/>
      <w:r w:rsidRPr="009342F9">
        <w:rPr>
          <w:rFonts w:ascii="Arial" w:eastAsia="Times New Roman" w:hAnsi="Arial" w:cs="Arial"/>
          <w:color w:val="000000"/>
          <w:lang w:eastAsia="es-CO"/>
        </w:rPr>
        <w:t>solicitud</w:t>
      </w:r>
      <w:proofErr w:type="gramEnd"/>
      <w:r w:rsidRPr="009342F9">
        <w:rPr>
          <w:rFonts w:ascii="Arial" w:eastAsia="Times New Roman" w:hAnsi="Arial" w:cs="Arial"/>
          <w:color w:val="000000"/>
          <w:lang w:eastAsia="es-CO"/>
        </w:rPr>
        <w:t xml:space="preserve"> así como los terceros y las autoridades administrativas competentes que se hayan hecho parte en el trámite. </w:t>
      </w:r>
    </w:p>
    <w:p w14:paraId="40F4DCC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CC7606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Durante el trámite de revocatoria directa el expediente quedará a disposición de las partes para su consulta y expedición de copias y se deberá convocar al interesado, y a los terceros que puedan resultar afectados con la decisión, con el fin de que se hagan parte y hagan valer sus derechos. Para el efecto, desde el inicio de la actuación, se pondrán en conocimiento, mediante oficio que será comunicado a las personas indicadas anteriormente, los motivos que fundamentan el trámite. Se concederá un término de diez (10) días hábiles para que se pronuncien sobre ellos y se solicite la práctica de pruebas. </w:t>
      </w:r>
    </w:p>
    <w:p w14:paraId="57CAA85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4A8BF5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Practicadas las pruebas decretadas y dentro del término previsto por el Código de Procedimiento Administrativo y de lo Contencioso Administrativo para resolver el trámite, se adoptará la decisión. </w:t>
      </w:r>
    </w:p>
    <w:p w14:paraId="28C0324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054F1C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 El término para resolver las solicitudes de revocatoria directa es de dos (2) meses contados a partir del día siguiente de la fecha de presentación de la solicitud. Vencido este término sin que se hubiere resuelto la petición, se entenderá que la solicitud de revocatoria fue negada. </w:t>
      </w:r>
    </w:p>
    <w:p w14:paraId="05CC5D6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C27E08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6. No procederá la revocatoria directa de los actos administrativos respecto de los cuales el peticionario haya ejercitado los recursos. </w:t>
      </w:r>
    </w:p>
    <w:p w14:paraId="77AF2053" w14:textId="40E25404"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w:t>
      </w:r>
      <w:bookmarkStart w:id="1313" w:name="ver_30074040"/>
      <w:bookmarkEnd w:id="1313"/>
    </w:p>
    <w:p w14:paraId="1478077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2.2.6.1.2.3.11 Información sobre licencias negadas. Cuando el acto que resuelva negar una solicitud de </w:t>
      </w:r>
      <w:proofErr w:type="gramStart"/>
      <w:r w:rsidRPr="009342F9">
        <w:rPr>
          <w:rFonts w:ascii="Arial" w:eastAsia="Times New Roman" w:hAnsi="Arial" w:cs="Arial"/>
          <w:color w:val="000000"/>
          <w:lang w:eastAsia="es-CO"/>
        </w:rPr>
        <w:t>licencia,</w:t>
      </w:r>
      <w:proofErr w:type="gramEnd"/>
      <w:r w:rsidRPr="009342F9">
        <w:rPr>
          <w:rFonts w:ascii="Arial" w:eastAsia="Times New Roman" w:hAnsi="Arial" w:cs="Arial"/>
          <w:color w:val="000000"/>
          <w:lang w:eastAsia="es-CO"/>
        </w:rPr>
        <w:t xml:space="preserve"> se encuentre en firme, el curador urbano o la autoridad que la niegue pondrá en conocimiento de ello a las autoridades encargadas del control urbano, indicando las razones por las cuales fue negada. </w:t>
      </w:r>
    </w:p>
    <w:p w14:paraId="5BC2341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4565A5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el evento que en el municipio o distrito exista la figura del curador urbano, este informará también a la oficina de planeación o la entidad que haga sus veces y a los demás curadores urbanos, a fin de que no se tramite la misma solicitud en las condiciones en que fue inicialmente negada. </w:t>
      </w:r>
    </w:p>
    <w:p w14:paraId="0DD6D363" w14:textId="255B8AA5"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314" w:name="ver_30110918"/>
      <w:bookmarkStart w:id="1315" w:name="ver_30110917"/>
      <w:bookmarkEnd w:id="1314"/>
    </w:p>
    <w:p w14:paraId="05783EC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2.2.6.1.2.3.12 Obligación de suministrar información de licencias otorgadas. Las oficinas de planeación, o la entidad que haga sus veces y los curadores urbanos, encargados de la expedición de licencias, en desarrollo de lo previsto en la Ley 79 de 1993 o la norma que la adicione, modifique o sustituya, remitirán al Departamento Administrativo Nacional de Estadística, DANE, dentro de los primeros cinco (5) días de cada mes, la información de la totalidad de las licencias que hayan quedado en firme durante el mes inmediatamente anterior. </w:t>
      </w:r>
    </w:p>
    <w:p w14:paraId="710C380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CCE03B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Adicionalmente, los curadores urbanos remitirán trimestralmente por escrito al Ministerio Vivienda, Ciudad y Territorio a más tardar el 30 de enero, 30 de abril, el 30 de julio y 30 de octubre de cada año, la información sobre las licencias expedidas por el respectivo curador, correspondientes al trimestre inmediatamente anterior. Dicha información será remitida en los formatos que para tal fin expida el Ministerio. </w:t>
      </w:r>
    </w:p>
    <w:p w14:paraId="06714C8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3920181" w14:textId="11A31A65"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Los curadores urbanos o la entidad encargada del estudio, trámite y expedi</w:t>
      </w:r>
      <w:r w:rsidRPr="009342F9">
        <w:rPr>
          <w:rFonts w:ascii="Arial" w:eastAsia="Times New Roman" w:hAnsi="Arial" w:cs="Arial"/>
          <w:color w:val="000000"/>
          <w:lang w:eastAsia="es-CO"/>
        </w:rPr>
        <w:softHyphen/>
        <w:t xml:space="preserve">ción de licencias, una vez en firme la correspondiente licencia de urbanización, parcelación y/o intervención y ocupación del espacio público en sus diferentes modalidades así como sus prórrogas, modificaciones y/o revalidaciones, remitirán mensualmente en los medios tecnológicos que defina el municipio o distrito, a la entidad encargada de la administración del espacio público del respectivo municipio o distrito, la información relacionada con las áreas de cesiones urbanísticas gratuitas destinadas entre otros, a vías, zonas verdes, parques, equipamientos colectivos y espacio público en general, con el objeto de hacer seguimiento a su entrega efectiva por parte de los urbanizadores, </w:t>
      </w:r>
      <w:proofErr w:type="spellStart"/>
      <w:r w:rsidRPr="009342F9">
        <w:rPr>
          <w:rFonts w:ascii="Arial" w:eastAsia="Times New Roman" w:hAnsi="Arial" w:cs="Arial"/>
          <w:color w:val="000000"/>
          <w:lang w:eastAsia="es-CO"/>
        </w:rPr>
        <w:t>parceladores</w:t>
      </w:r>
      <w:proofErr w:type="spellEnd"/>
      <w:r w:rsidRPr="009342F9">
        <w:rPr>
          <w:rFonts w:ascii="Arial" w:eastAsia="Times New Roman" w:hAnsi="Arial" w:cs="Arial"/>
          <w:color w:val="000000"/>
          <w:lang w:eastAsia="es-CO"/>
        </w:rPr>
        <w:t xml:space="preserve"> y/o titulares de licencias de intervención y ocupación del espacio público, en los medios y según lo determine el municipio o distrito”.  </w:t>
      </w:r>
    </w:p>
    <w:p w14:paraId="38CDDDA0" w14:textId="77777777" w:rsidR="00ED3B66" w:rsidRDefault="00ED3B66" w:rsidP="00FC79C1">
      <w:pPr>
        <w:spacing w:after="0" w:line="240" w:lineRule="auto"/>
        <w:jc w:val="both"/>
        <w:rPr>
          <w:rFonts w:ascii="Arial" w:eastAsia="Times New Roman" w:hAnsi="Arial" w:cs="Arial"/>
          <w:color w:val="000000"/>
          <w:lang w:eastAsia="es-CO"/>
        </w:rPr>
      </w:pPr>
      <w:bookmarkStart w:id="1316" w:name="ver_30074042"/>
      <w:bookmarkEnd w:id="1315"/>
      <w:bookmarkEnd w:id="1316"/>
    </w:p>
    <w:p w14:paraId="7B5C5634" w14:textId="0C2D16BC"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2.2.6.1.2.3.13 Archivo del expediente de la licencia urbanística otorgada. Componen el expediente de la licencia urbanística otorgada, los originales de los actos administrativos que se expidan, los documentos presentados y expedidos durante el trámite y los planos definitivos. </w:t>
      </w:r>
    </w:p>
    <w:p w14:paraId="2064096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8C92EF3" w14:textId="77777777" w:rsidR="00FC79C1" w:rsidRPr="009342F9" w:rsidRDefault="00FC79C1" w:rsidP="00FC79C1">
      <w:pPr>
        <w:spacing w:after="0" w:line="240" w:lineRule="auto"/>
        <w:jc w:val="both"/>
        <w:rPr>
          <w:rFonts w:ascii="Arial" w:eastAsia="Times New Roman" w:hAnsi="Arial" w:cs="Arial"/>
          <w:color w:val="000000"/>
          <w:lang w:eastAsia="es-CO"/>
        </w:rPr>
      </w:pPr>
      <w:r w:rsidRPr="231E957E">
        <w:rPr>
          <w:rFonts w:ascii="Arial" w:eastAsia="Times New Roman" w:hAnsi="Arial" w:cs="Arial"/>
          <w:color w:val="000000" w:themeColor="text1"/>
          <w:lang w:eastAsia="es-CO"/>
        </w:rPr>
        <w:t>El manejo, organización y conservación de los documentos de que trata el inciso anterior atenderá lo dispuesto en la Ley 594 de 2000 o la norma que la adicione, modifique o sustituya y su reglamento y corresponde a las oficinas de planeación municipal o distrital, la preservación, manejo y custodia de los archivos remitidos por los curadores urbanos. </w:t>
      </w:r>
    </w:p>
    <w:p w14:paraId="7B86F56C" w14:textId="526E39AF" w:rsidR="004A4ED6" w:rsidRPr="009342F9" w:rsidRDefault="00FC79C1" w:rsidP="00ED3B66">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E7810F8" w14:textId="753203E2" w:rsidR="00FC79C1" w:rsidRPr="009342F9" w:rsidRDefault="00FC79C1" w:rsidP="00D4095E">
      <w:pPr>
        <w:spacing w:after="0" w:line="240" w:lineRule="auto"/>
        <w:jc w:val="center"/>
        <w:rPr>
          <w:rFonts w:ascii="Arial" w:eastAsia="Times New Roman" w:hAnsi="Arial" w:cs="Arial"/>
          <w:b/>
          <w:bCs/>
          <w:color w:val="000000"/>
          <w:lang w:eastAsia="es-CO"/>
        </w:rPr>
      </w:pPr>
      <w:bookmarkStart w:id="1317" w:name="ver_30074043"/>
      <w:bookmarkEnd w:id="1317"/>
      <w:r w:rsidRPr="009342F9">
        <w:rPr>
          <w:rFonts w:ascii="Arial" w:eastAsia="Times New Roman" w:hAnsi="Arial" w:cs="Arial"/>
          <w:b/>
          <w:bCs/>
          <w:color w:val="000000"/>
          <w:lang w:eastAsia="es-CO"/>
        </w:rPr>
        <w:t>SUBSECCIÓN 4</w:t>
      </w:r>
    </w:p>
    <w:p w14:paraId="3F2FE338" w14:textId="77777777" w:rsidR="00FC79C1" w:rsidRPr="009342F9" w:rsidRDefault="00FC79C1" w:rsidP="00D4095E">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DE LA VIGENCIA DE LAS LICENCIAS</w:t>
      </w:r>
    </w:p>
    <w:p w14:paraId="2B2CAF1D"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318" w:name="ver_30219440"/>
      <w:bookmarkStart w:id="1319" w:name="ver_30109501"/>
      <w:bookmarkStart w:id="1320" w:name="ver_30109502"/>
      <w:bookmarkStart w:id="1321" w:name="ver_30110843"/>
      <w:bookmarkStart w:id="1322" w:name="ver_30137637"/>
      <w:bookmarkEnd w:id="1318"/>
    </w:p>
    <w:p w14:paraId="6C46C838" w14:textId="03823BE8"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2.2.6.1.2.4.1.</w:t>
      </w:r>
      <w:r w:rsidR="004A4ED6">
        <w:rPr>
          <w:rFonts w:ascii="Arial" w:eastAsia="Times New Roman" w:hAnsi="Arial" w:cs="Arial"/>
          <w:color w:val="000000"/>
          <w:lang w:eastAsia="es-CO"/>
        </w:rPr>
        <w:t xml:space="preserve"> </w:t>
      </w:r>
      <w:r w:rsidRPr="009342F9">
        <w:rPr>
          <w:rFonts w:ascii="Arial" w:eastAsia="Times New Roman" w:hAnsi="Arial" w:cs="Arial"/>
          <w:color w:val="000000"/>
          <w:lang w:eastAsia="es-CO"/>
        </w:rPr>
        <w:t xml:space="preserve">Vigencia de las licencias. Las licencias de urbanización en las modalidades de desarrollo y reurbanización, las licencias de parcelación y de construcción y las licencias de intervención y ocupación del espacio público, así como las revalidaciones, tendrán una vigencia de veinticuatro (24) meses prorrogables por una sola vez por un plazo adicional de doce (12) </w:t>
      </w:r>
      <w:r w:rsidRPr="009342F9">
        <w:rPr>
          <w:rFonts w:ascii="Arial" w:eastAsia="Times New Roman" w:hAnsi="Arial" w:cs="Arial"/>
          <w:color w:val="000000"/>
          <w:lang w:eastAsia="es-CO"/>
        </w:rPr>
        <w:lastRenderedPageBreak/>
        <w:t>meses, contados a partir de la fecha en que queden en firme los actos administrativos por medio de los cuales fueron otorgadas. </w:t>
      </w:r>
    </w:p>
    <w:p w14:paraId="727C00A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A311D1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Las licencias de urbanización en la modalidad de saneamiento y las licencias de parcelación para </w:t>
      </w:r>
      <w:proofErr w:type="gramStart"/>
      <w:r w:rsidRPr="009342F9">
        <w:rPr>
          <w:rFonts w:ascii="Arial" w:eastAsia="Times New Roman" w:hAnsi="Arial" w:cs="Arial"/>
          <w:color w:val="000000"/>
          <w:lang w:eastAsia="es-CO"/>
        </w:rPr>
        <w:t>saneamiento,</w:t>
      </w:r>
      <w:proofErr w:type="gramEnd"/>
      <w:r w:rsidRPr="009342F9">
        <w:rPr>
          <w:rFonts w:ascii="Arial" w:eastAsia="Times New Roman" w:hAnsi="Arial" w:cs="Arial"/>
          <w:color w:val="000000"/>
          <w:lang w:eastAsia="es-CO"/>
        </w:rPr>
        <w:t xml:space="preserve"> tienen una vigencia de doce (12) meses no prorrogables. </w:t>
      </w:r>
    </w:p>
    <w:p w14:paraId="6935FE4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767E9F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Cuando en un mismo acto se conceda licencia de urbanización en las modalidades de desarrollo o reurbanización, licencia de parcelación y licencia de construcción en modalidad distinta a la de cerramiento, tendrán una vigencia de treinta y seis (36) meses prorrogables por un período adicional de doce (12) meses, contados a partir de la fecha en que quede en firme el acto administrativo mediante el cual se otorgan las respectivas licencias. </w:t>
      </w:r>
    </w:p>
    <w:p w14:paraId="4887873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25B24B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 solicitud de prórroga deberá formularse dentro de los treinta (30) días calendario, anteriores al vencimiento de la respectiva licencia, siempre que el urbanizador o constructor responsable certifique la iniciación de la obra. </w:t>
      </w:r>
    </w:p>
    <w:p w14:paraId="4D9B80B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1A6450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 prórroga de la revalidación se debe solicitar dentro de los treinta (30) días calendario anteriores a su vencimiento y su expedición procede con la sola presentación de la solicitud por parte del interesado. </w:t>
      </w:r>
    </w:p>
    <w:p w14:paraId="42B2CEC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0B3425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Las licencias de subdivisión tendrán una vigencia improrrogable de seis (6) meses, contados a partir de la fecha en la que quede en firme el acto administrativo que otorga la respectiva licencia, para adelantar actuaciones de autorización y registro a que se refieren los artículos 7° de la Ley 810 de 2003 y 108 de la Ley 812 de 2003 o las normas que los adicionen, modifiquen o sustituyan, así como para la incorporación de estas subdivisiones en la cartografía oficial de los municipios. </w:t>
      </w:r>
    </w:p>
    <w:p w14:paraId="5805F21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724D29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transitorio. Hasta el 31 de diciembre del año 2019, los titulares de las licencias urbanísticas vigentes, salvo cuando se trate de licencia de urbanización en la modalidad de saneamiento, licencia de subdivisión, licencia de parcelación para saneamiento y acto de reconocimiento, podrán solicitar una segunda prórroga por un plazo adicional de doce (12) meses contados a partir de la fecha de vencimiento de la primera prórroga.  </w:t>
      </w:r>
    </w:p>
    <w:p w14:paraId="5AB0B9B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8D14B8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 solicitud de segunda prórroga deberá formularse dentro de los treinta (30) días calendario, anteriores al vencimiento de la primera prórroga, y su expedición procederá con la presentación de la solicitud por parte del titular. La segunda prórroga solo podrá concederse cumpliendo los requisitos señalados en este parágrafo y por una sola vez. </w:t>
      </w:r>
    </w:p>
    <w:p w14:paraId="204ADCF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30C040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Parágrafo Segundo Transitorio. Ampliar automáticamente por un término de nueve (9) meses la vigencia de las licencias urbanísticas </w:t>
      </w:r>
      <w:proofErr w:type="gramStart"/>
      <w:r w:rsidRPr="009342F9">
        <w:rPr>
          <w:rFonts w:ascii="Arial" w:eastAsia="Times New Roman" w:hAnsi="Arial" w:cs="Arial"/>
          <w:color w:val="000000"/>
          <w:lang w:eastAsia="es-CO"/>
        </w:rPr>
        <w:t>que</w:t>
      </w:r>
      <w:proofErr w:type="gramEnd"/>
      <w:r w:rsidRPr="009342F9">
        <w:rPr>
          <w:rFonts w:ascii="Arial" w:eastAsia="Times New Roman" w:hAnsi="Arial" w:cs="Arial"/>
          <w:color w:val="000000"/>
          <w:lang w:eastAsia="es-CO"/>
        </w:rPr>
        <w:t xml:space="preserve"> al 12 de marzo de 2020, estuvieren vigentes. </w:t>
      </w:r>
    </w:p>
    <w:p w14:paraId="1D157EB8" w14:textId="568CEA62"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323" w:name="ver_30074047"/>
      <w:bookmarkEnd w:id="1319"/>
      <w:bookmarkEnd w:id="1320"/>
      <w:bookmarkEnd w:id="1321"/>
      <w:bookmarkEnd w:id="1322"/>
      <w:bookmarkEnd w:id="1323"/>
    </w:p>
    <w:p w14:paraId="5CAB2A3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2.2.6.1.2.4.2 Vigencia de las licencias en urbanizaciones por etapas y proyecto urbanístico general. El proyecto urbanístico general es el planteamiento gráfico de un diseño urbanístico que refleja el desarrollo de uno o más predios en suelo urbano, o en suelo de expansión urbana cuando se haya adoptado el respectivo plan parcial, los cuales requieren de redes de servicios públicos, infraestructura vial, áreas de cesiones y áreas para obras de espacio público y equipamiento, e involucra las normas referentes a aprovechamientos y volumetrías básicas, acordes con el Plan de Ordenamiento Territorial y los instrumentos que lo desarrollen. </w:t>
      </w:r>
    </w:p>
    <w:p w14:paraId="2D7F63D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B26CDA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Para las urbanizaciones por etapas, el proyecto urbanístico general deberá elaborarse para la totalidad del predio o predios sobre los cuales se adelantará a urbanización y aprobarse mediante acto administrativo por el curador urbano o la autoridad municipal o distrital competente para </w:t>
      </w:r>
      <w:r w:rsidRPr="009342F9">
        <w:rPr>
          <w:rFonts w:ascii="Arial" w:eastAsia="Times New Roman" w:hAnsi="Arial" w:cs="Arial"/>
          <w:color w:val="000000"/>
          <w:lang w:eastAsia="es-CO"/>
        </w:rPr>
        <w:lastRenderedPageBreak/>
        <w:t>expedir la licencia. El proyecto urbanístico deberá reflejar el desarrollo progresivo de la urbanización definiendo la ubicación y cuadro de áreas para cada una de las etapas. </w:t>
      </w:r>
    </w:p>
    <w:p w14:paraId="6AAB8A1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1DE07D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El proyecto urbanístico general y la reglamentación de las urbanizaciones aprobadas mantendrán su vigencia aun cuando se modifiquen las normas urbanísticas sobre las cuales se aprobaron y servirán de fundamento para la expedición de las licencias de urbanización de las demás etapas, siempre que la licencia de urbanización para la nueva etapa se solicite como mínimo treinta (30) días calendario antes del vencimiento de la licencia de la etapa anterior. Las modificaciones del proyecto urbanístico general, en tanto esté vigente, se resolverán con fundamento en las normas urbanísticas y reglamentaciones con base en las cuales fue aprobado. </w:t>
      </w:r>
    </w:p>
    <w:p w14:paraId="4DE0DC9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67B59E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Para cada etapa se podrá solicitar y expedir una licencia, siempre que cuente con el documento de que trata el presente decreto respecto a la prestación de servicios públicos domiciliarios, los accesos y el cumplimiento autónomo de los porcentajes de cesión. </w:t>
      </w:r>
    </w:p>
    <w:p w14:paraId="0534027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74EDD5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la ejecución de la licencia para una de las etapas y en el marco del proyecto urbanístico general, se podrán conectar las redes de servicios públicos ubicadas fuera de la respectiva etapa, sin que sea necesaria la expedición de la licencia de urbanización para el área a intervenir, siempre y cuando se cumpla con las especificaciones técnicas definidas por la empresa de servicios públicos correspondientes y exista la aprobación del paso de redes por terrenos de los propietarios. </w:t>
      </w:r>
    </w:p>
    <w:p w14:paraId="5FB20ECA" w14:textId="509B956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324" w:name="ver_30110844"/>
      <w:bookmarkStart w:id="1325" w:name="ver_30109503"/>
      <w:bookmarkStart w:id="1326" w:name="ver_30109504"/>
      <w:bookmarkEnd w:id="1324"/>
    </w:p>
    <w:p w14:paraId="4CEE553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2.2.6.1.2.4.</w:t>
      </w:r>
      <w:proofErr w:type="gramStart"/>
      <w:r w:rsidRPr="009342F9">
        <w:rPr>
          <w:rFonts w:ascii="Arial" w:eastAsia="Times New Roman" w:hAnsi="Arial" w:cs="Arial"/>
          <w:color w:val="000000"/>
          <w:lang w:eastAsia="es-CO"/>
        </w:rPr>
        <w:t>3.Tránsito</w:t>
      </w:r>
      <w:proofErr w:type="gramEnd"/>
      <w:r w:rsidRPr="009342F9">
        <w:rPr>
          <w:rFonts w:ascii="Arial" w:eastAsia="Times New Roman" w:hAnsi="Arial" w:cs="Arial"/>
          <w:color w:val="000000"/>
          <w:lang w:eastAsia="es-CO"/>
        </w:rPr>
        <w:t xml:space="preserve"> de normas urbanísticas y revalidación de licencias. Cuando una licencia pierda su vigencia por vencimiento del plazo o de sus prórrogas, el interesado deberá solicitar una nueva licencia, ante la misma autoridad que la expidió, ajustándose a las normas urbanísticas vigentes al momento de la nueva solicitud.  </w:t>
      </w:r>
    </w:p>
    <w:p w14:paraId="6E48062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C210AF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Sin embargo, el interesado podrá solicitar, por una sola vez, la revalidación de la licencia vencida, entendida esta como el acto administrativo mediante el cual el curador urbano o la autoridad encargada de la expedición de licencias urbanísticas, concede una nueva licencia, con el fin de que se culminen las obras y actuaciones aprobadas en la licencia vencida, siempre y cuando no haya transcurrido un término mayor a dos (2) meses desde el vencimiento de la licencia que se pretende revalidar, que el constructor o el urbanizador presente el cuadro de áreas en el que se identifique lo ejecutado durante la licencia vencida así como lo que se ejecutará durante la revalidación y manifieste bajo la gravedad del juramento que el inmueble se encuentra en cualquiera de las siguientes situaciones:  </w:t>
      </w:r>
    </w:p>
    <w:p w14:paraId="7AAD944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01EEBC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En el caso de licencias de urbanización o parcelación, que las obras de la urbanización o parcelación se encuentran ejecutadas en por lo menos un cincuenta por ciento (50%).  </w:t>
      </w:r>
    </w:p>
    <w:p w14:paraId="6D48AFF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893CC9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En el caso de las licencias de construcción por unidades independientes estructuralmente, que por lo menos la mitad de las unidades construibles autorizadas, cuenten como mínimo con el cincuenta (50%) por ciento de la estructura portante o el elemento que haga sus veces.  </w:t>
      </w:r>
    </w:p>
    <w:p w14:paraId="791C43F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C688B1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En el caso de las licencias de construcción de una edificación independiente estructuralmente, que se haya construido por lo menos el cincuenta por ciento (50%) de la estructura portante o el elemento que haga sus veces.  </w:t>
      </w:r>
    </w:p>
    <w:p w14:paraId="61ADA17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D191CF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Para las licencias de intervención y ocupación del espacio público, solo se exige la presentación de la solicitud dentro del término señalado en el presente artículo.  </w:t>
      </w:r>
    </w:p>
    <w:p w14:paraId="2779006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812477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Las revalidaciones se resolverán con fundamento en las normas urbanísticas y demás reglamentaciones que sirvieron de base para la expedición de la licencia objeto de la revalidación, tendrán el mismo término de su vigencia y podrán prorrogarse por una sola vez por el término de doce (12) meses.  </w:t>
      </w:r>
    </w:p>
    <w:p w14:paraId="204D63D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3FC42B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La revalidación podrá ser objeto de modificaciones, caso en el cual la expensa se calculará aplicando el artículo 2.2.6.6.8.10 del Decreto Único Reglamentario 1077 de 2015. Si la modificación de la revalidación incluye el cambio o inclusión de nuevos usos, se deberá adelantar el trámite de citación a vecinos colindantes de que trata el artículo 2.2.6.1.2.2.1 del Decreto Único Reglamentario 1077 de 2015, o la norma que lo adicione, modifique o sustituya.  </w:t>
      </w:r>
    </w:p>
    <w:p w14:paraId="0F9839E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DF1269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Parágrafo transitorio. A partir de la </w:t>
      </w:r>
      <w:proofErr w:type="gramStart"/>
      <w:r w:rsidRPr="009342F9">
        <w:rPr>
          <w:rFonts w:ascii="Arial" w:eastAsia="Times New Roman" w:hAnsi="Arial" w:cs="Arial"/>
          <w:color w:val="000000"/>
          <w:lang w:eastAsia="es-CO"/>
        </w:rPr>
        <w:t>entrada en vigencia</w:t>
      </w:r>
      <w:proofErr w:type="gramEnd"/>
      <w:r w:rsidRPr="009342F9">
        <w:rPr>
          <w:rFonts w:ascii="Arial" w:eastAsia="Times New Roman" w:hAnsi="Arial" w:cs="Arial"/>
          <w:color w:val="000000"/>
          <w:lang w:eastAsia="es-CO"/>
        </w:rPr>
        <w:t xml:space="preserve"> del presente parágrafo y hasta el 31 de diciembre del año 2017, todas las revalidaciones vigentes podrán tener una segunda prórroga por un plazo adicional de doce (12) meses contados a partir de la fecha de vencimiento de la primera prórroga”.  </w:t>
      </w:r>
    </w:p>
    <w:p w14:paraId="076204A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6599BC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 solicitud de segunda prórroga deberá formularse dentro de los treinta (30) días calendario, anteriores al vencimiento de la primera prórroga de la revalidación, y su expedición procederá con la presentación de la solicitud por parte del titular”. </w:t>
      </w:r>
    </w:p>
    <w:p w14:paraId="4E5D3561"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327" w:name="ver_30074050"/>
      <w:bookmarkEnd w:id="1325"/>
      <w:bookmarkEnd w:id="1326"/>
      <w:bookmarkEnd w:id="1327"/>
    </w:p>
    <w:p w14:paraId="68D5BBD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2.2.6.1.2.4.4 Vigencia de la licencia de intervención y ocupación del espacio público. La licencia de intervención y ocupación del espacio público tendrá una vigencia de veinticuatro (24) meses, contados a partir de la fecha en la que quede en firme el acto administrativo que otorga la respectiva licencia, para la ejecución total de las obras autorizadas. </w:t>
      </w:r>
    </w:p>
    <w:p w14:paraId="6A939BF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BD243E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El término de la licencia de intervención y ocupación del espacio público podrá prorrogarse por una sola vez, por un término igual a la mitad del tiempo que fue inicialmente concedido, siempre y cuando esta sea solicitada durante los quince días anteriores al vencimiento de </w:t>
      </w:r>
      <w:proofErr w:type="gramStart"/>
      <w:r w:rsidRPr="009342F9">
        <w:rPr>
          <w:rFonts w:ascii="Arial" w:eastAsia="Times New Roman" w:hAnsi="Arial" w:cs="Arial"/>
          <w:color w:val="000000"/>
          <w:lang w:eastAsia="es-CO"/>
        </w:rPr>
        <w:t>la misma</w:t>
      </w:r>
      <w:proofErr w:type="gramEnd"/>
      <w:r w:rsidRPr="009342F9">
        <w:rPr>
          <w:rFonts w:ascii="Arial" w:eastAsia="Times New Roman" w:hAnsi="Arial" w:cs="Arial"/>
          <w:color w:val="000000"/>
          <w:lang w:eastAsia="es-CO"/>
        </w:rPr>
        <w:t>. </w:t>
      </w:r>
    </w:p>
    <w:p w14:paraId="0C84604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D6DFEF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Parágrafo. Una vez en firme la licencia de intervención y ocupación del espacio público para la localización de equipamiento comunal de que trata el numeral 1 del artículo 2.2.6.1.1.13 del presente decreto, el solicitante dispondrá máximo de seis (6) meses para obtener la respectiva licencia de construcción si se requiere, </w:t>
      </w:r>
      <w:proofErr w:type="gramStart"/>
      <w:r w:rsidRPr="009342F9">
        <w:rPr>
          <w:rFonts w:ascii="Arial" w:eastAsia="Times New Roman" w:hAnsi="Arial" w:cs="Arial"/>
          <w:color w:val="000000"/>
          <w:lang w:eastAsia="es-CO"/>
        </w:rPr>
        <w:t>en caso que</w:t>
      </w:r>
      <w:proofErr w:type="gramEnd"/>
      <w:r w:rsidRPr="009342F9">
        <w:rPr>
          <w:rFonts w:ascii="Arial" w:eastAsia="Times New Roman" w:hAnsi="Arial" w:cs="Arial"/>
          <w:color w:val="000000"/>
          <w:lang w:eastAsia="es-CO"/>
        </w:rPr>
        <w:t xml:space="preserve"> esta no se obtenga, la licencia de intervención y ocupación del espacio público perderá automáticamente su vigencia. </w:t>
      </w:r>
    </w:p>
    <w:p w14:paraId="20EDDC4A" w14:textId="68C449F5" w:rsidR="00D4095E"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328" w:name="ver_30074053"/>
      <w:bookmarkEnd w:id="1328"/>
    </w:p>
    <w:p w14:paraId="1181EFAC" w14:textId="69A7D4D9" w:rsidR="00FC79C1" w:rsidRPr="009342F9" w:rsidRDefault="00FC79C1" w:rsidP="00D4095E">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SECCIÓN 3</w:t>
      </w:r>
    </w:p>
    <w:p w14:paraId="40D462EA" w14:textId="77777777" w:rsidR="00FC79C1" w:rsidRPr="009342F9" w:rsidRDefault="00FC79C1" w:rsidP="00D4095E">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OTRAS ACTUACIONES RELACIONADAS CON LA EXPEDICIÓN DE LAS LICENCIAS</w:t>
      </w:r>
    </w:p>
    <w:p w14:paraId="2EE38526"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329" w:name="ver_30125188"/>
      <w:bookmarkStart w:id="1330" w:name="ver_30109505"/>
      <w:bookmarkStart w:id="1331" w:name="ver_30109506"/>
      <w:bookmarkStart w:id="1332" w:name="ver_30110845"/>
      <w:bookmarkEnd w:id="1329"/>
    </w:p>
    <w:p w14:paraId="6977C9F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2.2.6.1.3.</w:t>
      </w:r>
      <w:proofErr w:type="gramStart"/>
      <w:r w:rsidRPr="009342F9">
        <w:rPr>
          <w:rFonts w:ascii="Arial" w:eastAsia="Times New Roman" w:hAnsi="Arial" w:cs="Arial"/>
          <w:color w:val="000000"/>
          <w:lang w:eastAsia="es-CO"/>
        </w:rPr>
        <w:t>1.Otras</w:t>
      </w:r>
      <w:proofErr w:type="gramEnd"/>
      <w:r w:rsidRPr="009342F9">
        <w:rPr>
          <w:rFonts w:ascii="Arial" w:eastAsia="Times New Roman" w:hAnsi="Arial" w:cs="Arial"/>
          <w:color w:val="000000"/>
          <w:lang w:eastAsia="es-CO"/>
        </w:rPr>
        <w:t xml:space="preserve"> actuaciones. Se entiende por otras actuaciones relacionadas con la expedición de las licencias, aquellas vinculadas con el desarrollo de proyectos urbanísticos o arquitectónicos, que se pueden ejecutar independientemente o con ocasión de la expedición de una licencia dentro de las cuales se pueden enunciar las siguientes:  </w:t>
      </w:r>
    </w:p>
    <w:p w14:paraId="338CB7D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8749CA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Ajuste de cotas de áreas. Es la autorización para incorporar en los planos urbanísticos previamente aprobados por el curador urbano o la autoridad municipal o distrital competente para expedir licencias, la corrección técnica de cotas y áreas de un predio o predios determinados cuya urbanización haya sido ejecutada en su totalidad.  </w:t>
      </w:r>
    </w:p>
    <w:p w14:paraId="6CAA705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1A4598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2. Concepto de norma urbanística. Es el dictamen escrito por medio del cual el curador urbano, la autoridad municipal o distrital competente para expedir licencias o la oficina de planeación o la que haga sus veces, informa al interesado sobre las normas urbanísticas y demás vigentes </w:t>
      </w:r>
      <w:r w:rsidRPr="009342F9">
        <w:rPr>
          <w:rFonts w:ascii="Arial" w:eastAsia="Times New Roman" w:hAnsi="Arial" w:cs="Arial"/>
          <w:color w:val="000000"/>
          <w:lang w:eastAsia="es-CO"/>
        </w:rPr>
        <w:lastRenderedPageBreak/>
        <w:t>aplicables a un predio que va a ser construido o intervenido. La expedición de estos conceptos no otorga derechos ni obligaciones a su peticionario y no modifica los derechos conferidos mediante licencias que estén vigentes o que hayan sido ejecutadas.  </w:t>
      </w:r>
    </w:p>
    <w:p w14:paraId="790B523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25D7DA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Concepto de uso del suelo. Es el dictamen escrito por medio del cual el curador urbano o la autoridad municipal o distrital competente para expedir licencias o la oficina de planeación o la que haga sus veces, informa al interesado sobre el uso o usos permitidos en un predio o edificación, de conformidad con las normas urbanísticas del Plan de Ordenamiento Territorial y los instrumentos que lo desarrollen. La expedición de estos conceptos no otorga derechos ni obligaciones a su peticionario y no modifica los derechos conferidos mediante licencias que estén vigentes o que hayan sido ejecutadas.  </w:t>
      </w:r>
    </w:p>
    <w:p w14:paraId="17A9D40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9379CA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Copia certificada de planos. Es la certificación que otorga el curador urbano o la autoridad municipal o distrital competente para expedir licencias de que la copia adicional de los planos es idéntica a los planos que se aprobaron en la respectiva licencia urbanística.  </w:t>
      </w:r>
    </w:p>
    <w:p w14:paraId="1582A96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0A8FD3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 Aprobación de los Planos de Propiedad Horizontal. Es la aprobación que otorga el curador urbano, o la autoridad municipal o distrital competente para el estudio, trámite y expedición de las licencias, a los planos de alinderamiento, cuadros de áreas o al proyecto de división entre bienes privados y bienes comunes de la propiedad horizontal exigidos por la Ley 675 de 2001 o la norma que la adicione, modifique o sustituya, los cuales deben corresponder fielmente al proyecto de parcelación, urbanización o construcción aprobado mediante licencias urbanísticas o el aprobado por la autoridad competente cuando se trate de bienes de interés cultural. Estos deben señalar la localización, linderos, nomenclatura, áreas de cada una de las unidades privadas y las áreas y bienes de uso común.  </w:t>
      </w:r>
    </w:p>
    <w:p w14:paraId="7E067D3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9FFAD0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6. Autorización para el movimiento de tierras. Es la aprobación correspondiente al conjunto de trabajos a realizar en un terreno para dejarlo despejado y nivelado, como fase preparatoria de futuras obras de parcelación, urbanización y/o construcción.  </w:t>
      </w:r>
    </w:p>
    <w:p w14:paraId="409EE3E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A99EB6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Dicha autorización se otorgará a solicitud del interesado, con fundamento en estudios geotécnicos que garanticen la protección de vías, instalaciones de servicios públicos, predios aledaños y construcciones vecinas.  </w:t>
      </w:r>
    </w:p>
    <w:p w14:paraId="6DE7FFF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853A01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7. Aprobación de piscinas. Es la autorización para la intervención del terreno destinado a la construcción de piscinas en que se verifica el cumplimiento de las normas técnicas y de seguridad definidas por la normatividad vigente.  </w:t>
      </w:r>
    </w:p>
    <w:p w14:paraId="3B325C4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60A6D8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8. Modificación de planos urbanísticos, de legalización y demás planos que aprobaron desarrollos o asentamientos. Son los ajustes a los planos y cuadros de áreas de las urbanizaciones aprobadas y ejecutadas cuya licencia esté vencida o de los planos y cuadros de áreas aprobados y ejecutados según actos de legalización y demás que aprobaron asentamientos tales como loteos, planos de localización, planos topográficos y demás. Esta actuación no conlleva nuevas autorizaciones para ejecutar obras, y solo implica la actualización de la información contenida en los planos urbanísticos, de legalización y demás en concordancia con lo ejecutado.  </w:t>
      </w:r>
    </w:p>
    <w:p w14:paraId="291993B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5439C2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Habrá lugar a la modificación de los planos urbanísticos, de legalización y demás de que trata el presente numeral en los siguientes eventos:  </w:t>
      </w:r>
    </w:p>
    <w:p w14:paraId="1DC98BF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80C0EE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a) Cuando la autoridad competente desafecte áreas cuya destinación corresponda a afectaciones o reservas, o que no hayan sido adquiridas por estas dentro de los términos previstos en el artículo 37 de la Ley 9ª de 1989.  </w:t>
      </w:r>
    </w:p>
    <w:p w14:paraId="61A46AE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BA6794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este caso, para desarrollar el área desafectada se deberá obtener una nueva licencia de urbanización, la cual se expedirá con fundamento en las normas urbanísticas con que se aprobó el proyecto que se está ajustando, con el fin de mantener la coherencia entre el nuevo proyecto y el original.  </w:t>
      </w:r>
    </w:p>
    <w:p w14:paraId="3C87BD0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E6BE21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De manera previa a esta solicitud, se debe cancelar en el folio de matrícula inmobiliaria del predio la inscripción de la afectación;  </w:t>
      </w:r>
    </w:p>
    <w:p w14:paraId="4BCDE57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4EA221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b) Cuando existan urbanizaciones parcialmente ejecutadas y se pretenda separar el área urbanizada de la parte no urbanizada.  </w:t>
      </w:r>
    </w:p>
    <w:p w14:paraId="152B785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FB5931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este caso, el área urbanizada deberá ser autónoma en el cumplimiento del porcentaje de zonas de cesión definidos por la norma urbanística con que se aprobó la urbanización.  </w:t>
      </w:r>
    </w:p>
    <w:p w14:paraId="33D8337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83A535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Para desarrollar el área no urbanizada se deberá obtener una nueva licencia de urbanización, la cual se expedirá teniendo en cuenta lo previsto en la Sección Primera del Capítulo I del Título VI de la Parte 2 del Decreto número 1077 de 2015;  </w:t>
      </w:r>
    </w:p>
    <w:p w14:paraId="409BE98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85BA1D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 Cuando las entidades públicas administradoras del espacio público de uso público soliciten el cambio de uso de una zona de equipamiento comunal para convertirla en zona verde o viceversa que sean producto de procesos de urbanización y que estén bajo su administración;  </w:t>
      </w:r>
    </w:p>
    <w:p w14:paraId="2E5D546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D7AF6D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d) Cuando se trate de programas o proyectos de renovación urbana y se requiera precisar las áreas públicas y privadas de los planos urbanísticos, de legalización y demás sobre los que se adelantará el programa o proyecto objeto de renovación urbana;  </w:t>
      </w:r>
    </w:p>
    <w:p w14:paraId="015B60C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99C9C9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 Cuando existan circunstancias de fuerza mayor o caso fortuito plenamente acreditadas que justifiquen la modificación.  </w:t>
      </w:r>
    </w:p>
    <w:p w14:paraId="7831299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114B90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9. Bienes destinados a uso público o con vocación de uso público. Para efectos de definir la condición de bienes de uso público o con vocación de uso público en desarrollos urbanísticos construidos por el desaparecido Instituto de Crédito Territorial (ICT) y que de conformidad con la Ley 1001 de 2005 se deban ceder a título gratuito a las entidades del orden municipal o distrital, se deberá tener en consideración cualquiera de las siguientes condiciones:  </w:t>
      </w:r>
    </w:p>
    <w:p w14:paraId="630AB12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C3A47A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 Que al superponer los planos urbanísticos históricos disponibles del ICT, sobre la base cartográfica catastral oficial, y debidamente georreferenciado el bien, el mismo se identifique como una zona de cesión o destinada al uso público;  </w:t>
      </w:r>
    </w:p>
    <w:p w14:paraId="52DBDDD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7DB14F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b) Que aun cuando no cuenten con un señalamiento expreso como áreas de cesión pública en los planos urbanísticos históricos disponibles del ICT, de acuerdo con certificación expedida por la Oficina de Planeación o la autoridad municipal competente, el bien haya sido efectivamente utilizado por la comunidad como zona verde o parque, siempre y cuando el ente territorial acredite que ha invertido recursos en el predio o que los destinará a más tardar dentro de la vigencia fiscal inmediatamente siguiente a la transferencia, so pena de la restitución del predio;  </w:t>
      </w:r>
    </w:p>
    <w:p w14:paraId="0AC1267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EEDAD6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xml:space="preserve">c) Que </w:t>
      </w:r>
      <w:proofErr w:type="spellStart"/>
      <w:r w:rsidRPr="009342F9">
        <w:rPr>
          <w:rFonts w:ascii="Arial" w:eastAsia="Times New Roman" w:hAnsi="Arial" w:cs="Arial"/>
          <w:color w:val="000000"/>
          <w:lang w:eastAsia="es-CO"/>
        </w:rPr>
        <w:t>auncuando</w:t>
      </w:r>
      <w:proofErr w:type="spellEnd"/>
      <w:r w:rsidRPr="009342F9">
        <w:rPr>
          <w:rFonts w:ascii="Arial" w:eastAsia="Times New Roman" w:hAnsi="Arial" w:cs="Arial"/>
          <w:color w:val="000000"/>
          <w:lang w:eastAsia="es-CO"/>
        </w:rPr>
        <w:t xml:space="preserve"> no cuenten con un señalamiento expreso como áreas de cesión pública en los planos urbanísticos históricos disponibles del ICT, de acuerdo con certificación expedida por la Oficina de Planeación o la autoridad municipal competente, o la cartografía oficial del municipio, el bien se encuentre conformando un perfil vial;  </w:t>
      </w:r>
    </w:p>
    <w:p w14:paraId="6F21F9C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578D57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d) Que aun cuando no cuenten con un señalamiento expreso como áreas de cesión pública en los planos urbanísticos históricos disponibles del ICT, de acuerdo con certificación expedida por la Oficina de Planeación o la autoridad municipal competente, o la cartografía oficial del municipio, el predio se encuentre en una zona de protección ambiental.  </w:t>
      </w:r>
    </w:p>
    <w:p w14:paraId="07A2CFE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C0E092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todos los casos anteriores, el Ministerio de Vivienda, Ciudad y Territorio, elaborará un “Plano Récord de Identificación de Zonas de Uso Público” y lo remitirá al municipio o distrito, para su incorporación en la cartografía oficial.  </w:t>
      </w:r>
    </w:p>
    <w:p w14:paraId="11815D1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ADDA30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10. Revisión independiente de los diseños estructurales por parte de Curadores Urbanos. Es la revisión independiente de los diseños estructurales que adelanta el curador urbano en los términos del apéndice A-6 del Reglamento Colombiano de Construcción Sismorresistente NSR-10, en la cual constata que el diseño estructural propuesto en el proyecto cumple con la norma sismorresistente. El alcance y trámite de la revisión de los diseños estructurales se adelantará conforme a lo establecido en la Resolución número 0015 de 2015 expedida por la Comisión Asesora Permanente para el Régimen de Construcciones Sismorresistentes, o la norma que la adicione, modifique o sustituya.  </w:t>
      </w:r>
    </w:p>
    <w:p w14:paraId="13C45C0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F0B1E2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 revisión independiente de los diseños estructurales que realiza el curador urbano estará vigente mientras no se modifique la Norma Sismorresistente. Esta revisión solo podrá ser adelantada por el curador urbano del municipio más cercano del mismo departamento, en aquellos municipios y distritos donde no se cuente con la figura de curador urbano.  </w:t>
      </w:r>
    </w:p>
    <w:p w14:paraId="1890C56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4F2481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Parágrafo 1°. Cuando se desarrollen una o varias de las actividades señaladas en el presente artículo dentro del trámite de la licencia, se considerarán como parte de </w:t>
      </w:r>
      <w:proofErr w:type="gramStart"/>
      <w:r w:rsidRPr="009342F9">
        <w:rPr>
          <w:rFonts w:ascii="Arial" w:eastAsia="Times New Roman" w:hAnsi="Arial" w:cs="Arial"/>
          <w:color w:val="000000"/>
          <w:lang w:eastAsia="es-CO"/>
        </w:rPr>
        <w:t>la misma</w:t>
      </w:r>
      <w:proofErr w:type="gramEnd"/>
      <w:r w:rsidRPr="009342F9">
        <w:rPr>
          <w:rFonts w:ascii="Arial" w:eastAsia="Times New Roman" w:hAnsi="Arial" w:cs="Arial"/>
          <w:color w:val="000000"/>
          <w:lang w:eastAsia="es-CO"/>
        </w:rPr>
        <w:t xml:space="preserve"> y no darán lugar al cobro de expensas adicionales en favor del curador urbano distintas a las que se generan por el estudio, trámite y expedición de la respectiva licencia.  </w:t>
      </w:r>
    </w:p>
    <w:p w14:paraId="5DC4EA0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654086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 revisión independiente de los diseños estructurales que ejecute el curador urbano no hará parte del trámite de licenciamiento.  </w:t>
      </w:r>
    </w:p>
    <w:p w14:paraId="40D3582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6E95F8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2°. El término para que el curador urbano o la autoridad municipal o distrital competente para decidir sobre las actuaciones de que trata este artículo, será de quince (15) días hábiles contados a partir del día siguiente de la fecha de radicación de la solicitud, salvo cuando el curador urbano adelante la actuación señalada en el numeral 10, caso en el cual pactará con el solicitante el plazo para adelantar dicha labor.  </w:t>
      </w:r>
    </w:p>
    <w:p w14:paraId="4202A0F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9E55B1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3°. Las actuaciones de que tratan los numerales 6 y 7 de este artículo tienen una vigencia de dieciocho (18) meses improrrogables. La actuación de que trata el numeral 10 de este artículo tendrá vigencia mientras no se modifique la norma sismorresistente. La vigencia de las demás actuaciones no está limitada en el tiempo por cuanto no conllevan autorización de ejecución de obras sino la actualización, acreditación, conceptualización o certificación de situaciones urbanísticas.  </w:t>
      </w:r>
    </w:p>
    <w:p w14:paraId="3CC8C33F" w14:textId="77777777" w:rsidR="00D4095E"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333" w:name="ver_30110847"/>
      <w:bookmarkStart w:id="1334" w:name="ver_30110846"/>
      <w:bookmarkEnd w:id="1330"/>
      <w:bookmarkEnd w:id="1331"/>
      <w:bookmarkEnd w:id="1332"/>
      <w:bookmarkEnd w:id="1333"/>
    </w:p>
    <w:p w14:paraId="6C07447A" w14:textId="3640D693"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2.2.6.1.3.2</w:t>
      </w:r>
      <w:r w:rsidR="004A4ED6">
        <w:rPr>
          <w:rFonts w:ascii="Arial" w:eastAsia="Times New Roman" w:hAnsi="Arial" w:cs="Arial"/>
          <w:color w:val="000000"/>
          <w:lang w:eastAsia="es-CO"/>
        </w:rPr>
        <w:t xml:space="preserve"> </w:t>
      </w:r>
      <w:r w:rsidRPr="009342F9">
        <w:rPr>
          <w:rFonts w:ascii="Arial" w:eastAsia="Times New Roman" w:hAnsi="Arial" w:cs="Arial"/>
          <w:color w:val="000000"/>
          <w:lang w:eastAsia="es-CO"/>
        </w:rPr>
        <w:t xml:space="preserve">Requisitos para las solicitudes de otras actuaciones relacionadas con la expedición de las licencias. A las solicitudes de otras actuaciones urbanísticas de ajuste de cotas </w:t>
      </w:r>
      <w:r w:rsidRPr="009342F9">
        <w:rPr>
          <w:rFonts w:ascii="Arial" w:eastAsia="Times New Roman" w:hAnsi="Arial" w:cs="Arial"/>
          <w:color w:val="000000"/>
          <w:lang w:eastAsia="es-CO"/>
        </w:rPr>
        <w:lastRenderedPageBreak/>
        <w:t xml:space="preserve">y áreas, aprobación de los planos de propiedad horizontal, autorización para el movimiento de tierras, aprobación de piscinas y modificación del </w:t>
      </w:r>
      <w:proofErr w:type="spellStart"/>
      <w:r w:rsidRPr="009342F9">
        <w:rPr>
          <w:rFonts w:ascii="Arial" w:eastAsia="Times New Roman" w:hAnsi="Arial" w:cs="Arial"/>
          <w:color w:val="000000"/>
          <w:lang w:eastAsia="es-CO"/>
        </w:rPr>
        <w:t>plano</w:t>
      </w:r>
      <w:proofErr w:type="spellEnd"/>
      <w:r w:rsidRPr="009342F9">
        <w:rPr>
          <w:rFonts w:ascii="Arial" w:eastAsia="Times New Roman" w:hAnsi="Arial" w:cs="Arial"/>
          <w:color w:val="000000"/>
          <w:lang w:eastAsia="es-CO"/>
        </w:rPr>
        <w:t xml:space="preserve"> urbanístico se acompañarán los documentos a que hacen referencia los numerales 1, 3 y 4 del artículo 2.2.6.1.2.1.7 del presente decreto. </w:t>
      </w:r>
    </w:p>
    <w:p w14:paraId="6DDAEE2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2EE8B4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Adicionalmente a los requisitos generales señalados anteriormente, y dependiendo de la actuación que se solicite, se aportarán los siguientes documentos: </w:t>
      </w:r>
    </w:p>
    <w:p w14:paraId="1461350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03BFD0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Ajustes de cotas y áreas: Se debe aportar copia del plano correspondiente. </w:t>
      </w:r>
    </w:p>
    <w:p w14:paraId="4867AC5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C4B96E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2. Aprobación de los planos de propiedad horizontal: Se deben aportar los planos de alinderamiento y el cuadro de áreas o proyecto de división. Cuando se presente ante autoridad distinta a la que otorgó la licencia, copia de </w:t>
      </w:r>
      <w:proofErr w:type="gramStart"/>
      <w:r w:rsidRPr="009342F9">
        <w:rPr>
          <w:rFonts w:ascii="Arial" w:eastAsia="Times New Roman" w:hAnsi="Arial" w:cs="Arial"/>
          <w:color w:val="000000"/>
          <w:lang w:eastAsia="es-CO"/>
        </w:rPr>
        <w:t>la misma</w:t>
      </w:r>
      <w:proofErr w:type="gramEnd"/>
      <w:r w:rsidRPr="009342F9">
        <w:rPr>
          <w:rFonts w:ascii="Arial" w:eastAsia="Times New Roman" w:hAnsi="Arial" w:cs="Arial"/>
          <w:color w:val="000000"/>
          <w:lang w:eastAsia="es-CO"/>
        </w:rPr>
        <w:t xml:space="preserve"> y de los planos correspondientes. Tratándose de bienes de interés cultural, el anteproyecto de intervención aprobado. </w:t>
      </w:r>
    </w:p>
    <w:p w14:paraId="0AE88A6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611BE7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los casos en que las licencias urbanísticas hayan perdido su vigencia, se hará una manifestación expresa presentada bajo la gravedad de juramento en la que conste que la obra aprobada está construida en su totalidad. </w:t>
      </w:r>
    </w:p>
    <w:p w14:paraId="41C4FEE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D72A5D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Autorización para el movimiento de tierras: Se deben aportar los estudios de suelos y geotécnicos de conformidad con Ley 400 de 1997, sus decretos reglamentarios, o las normas que los adicionen, modifiquen o sustituyan. </w:t>
      </w:r>
    </w:p>
    <w:p w14:paraId="7250704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2F16CA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Aprobación de piscinas: Se deben aportar los planos de diseño y arquitectónicos, los estudios de suelos y geotécnicos de conformidad con las normas vigentes. </w:t>
      </w:r>
    </w:p>
    <w:p w14:paraId="52E30AE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B271D6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5. Modificación de plano urbanístico de legalización y demás planos: Se debe aportar copia de la licencia de urbanización, sus modificaciones, prórroga y/o revalidación, o el acto administrativo de legalización, o el acto administrativo que aprobó el desarrollo o asentamiento y los planos que hacen parte </w:t>
      </w:r>
      <w:proofErr w:type="gramStart"/>
      <w:r w:rsidRPr="009342F9">
        <w:rPr>
          <w:rFonts w:ascii="Arial" w:eastAsia="Times New Roman" w:hAnsi="Arial" w:cs="Arial"/>
          <w:color w:val="000000"/>
          <w:lang w:eastAsia="es-CO"/>
        </w:rPr>
        <w:t>del mismo</w:t>
      </w:r>
      <w:proofErr w:type="gramEnd"/>
      <w:r w:rsidRPr="009342F9">
        <w:rPr>
          <w:rFonts w:ascii="Arial" w:eastAsia="Times New Roman" w:hAnsi="Arial" w:cs="Arial"/>
          <w:color w:val="000000"/>
          <w:lang w:eastAsia="es-CO"/>
        </w:rPr>
        <w:t xml:space="preserve"> en cada caso, junto con los planos que contengan la nueva propuesta urbanística objeto de aprobación. En caso de que la aprobación del plano que se pretende modificar este contenida en el propio plano no se exigirá el acto administrativo que la apruebe. </w:t>
      </w:r>
    </w:p>
    <w:p w14:paraId="569F190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0903F6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Si la solicitud de modificación de plano urbanístico, de legalización y demás planos que aprobaron el desarrollo o asentamiento se hace para el desarrollo de un programa o proyecto de renovación urbana, el nuevo plano deberá identificar el área objeto de renovación y elaborarse con fundamento en las áreas consignadas en los títulos de propiedad, o en los certificados de cabida y linderos expedidos por las autoridades catastrales competentes, o en las áreas definidas en sentencias judiciales. </w:t>
      </w:r>
    </w:p>
    <w:p w14:paraId="28DDBAD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D55DB8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6. Concepto de norma urbanística y uso del suelo: se indicará la dirección oficial del predio o su ubicación si se encuentra en suelo rural y los antecedentes urbanísticos como licencias y demás, en el caso de existir. </w:t>
      </w:r>
    </w:p>
    <w:p w14:paraId="41D42CA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3C0DAC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7. Bienes destinados a uso público o con vocación de uso público: Se debe aportar “Plano Récord de Identificación de Zonas de Uso Público” elaborado por el Ministerio de Vivienda, Ciudad y Territorio. </w:t>
      </w:r>
    </w:p>
    <w:p w14:paraId="1894F5C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5A5C11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Parágrafo. En los municipios y distritos en donde existan medios tecnológicos disponibles de consulta virtual o flujos de información electrónica, los curadores urbanos estarán en la obligación de verificar por estos mismos medios, al momento de la radicación de la solicitud, la información </w:t>
      </w:r>
      <w:r w:rsidRPr="009342F9">
        <w:rPr>
          <w:rFonts w:ascii="Arial" w:eastAsia="Times New Roman" w:hAnsi="Arial" w:cs="Arial"/>
          <w:color w:val="000000"/>
          <w:lang w:eastAsia="es-CO"/>
        </w:rPr>
        <w:lastRenderedPageBreak/>
        <w:t>pertinente contenida en los documentos de que tratan los numerales 1 y 3 del artículo 2.2.6.1.2.1.7 del presente decreto. Esta consulta de verificación sustituye la presentación del documento a cargo del solicitante de la actuación, salvo que la información correspondiente no se encuentre disponible por medios electrónicos”. </w:t>
      </w:r>
    </w:p>
    <w:p w14:paraId="63E639A6" w14:textId="33A97719" w:rsidR="00FC79C1" w:rsidRPr="009342F9" w:rsidRDefault="00FC79C1" w:rsidP="00D4095E">
      <w:pPr>
        <w:spacing w:after="0" w:line="240" w:lineRule="auto"/>
        <w:jc w:val="center"/>
        <w:rPr>
          <w:rFonts w:ascii="Arial" w:eastAsia="Times New Roman" w:hAnsi="Arial" w:cs="Arial"/>
          <w:b/>
          <w:bCs/>
          <w:color w:val="000000"/>
          <w:lang w:eastAsia="es-CO"/>
        </w:rPr>
      </w:pPr>
    </w:p>
    <w:p w14:paraId="123E8CD2" w14:textId="669D86B6" w:rsidR="00FC79C1" w:rsidRPr="009342F9" w:rsidRDefault="00FC79C1" w:rsidP="00D4095E">
      <w:pPr>
        <w:spacing w:after="0" w:line="240" w:lineRule="auto"/>
        <w:jc w:val="center"/>
        <w:rPr>
          <w:rFonts w:ascii="Arial" w:eastAsia="Times New Roman" w:hAnsi="Arial" w:cs="Arial"/>
          <w:b/>
          <w:bCs/>
          <w:color w:val="000000"/>
          <w:lang w:eastAsia="es-CO"/>
        </w:rPr>
      </w:pPr>
      <w:bookmarkStart w:id="1335" w:name="ver_30074059"/>
      <w:bookmarkEnd w:id="1334"/>
      <w:bookmarkEnd w:id="1335"/>
      <w:r w:rsidRPr="009342F9">
        <w:rPr>
          <w:rFonts w:ascii="Arial" w:eastAsia="Times New Roman" w:hAnsi="Arial" w:cs="Arial"/>
          <w:b/>
          <w:bCs/>
          <w:color w:val="000000"/>
          <w:lang w:eastAsia="es-CO"/>
        </w:rPr>
        <w:t>SECCIÓN 4</w:t>
      </w:r>
    </w:p>
    <w:p w14:paraId="04ACFCE7" w14:textId="77777777" w:rsidR="00FC79C1" w:rsidRPr="009342F9" w:rsidRDefault="00FC79C1" w:rsidP="00D4095E">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OTRAS DISPOSICIONES</w:t>
      </w:r>
    </w:p>
    <w:p w14:paraId="7B6EEEA0"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336" w:name="ver_30125196"/>
      <w:bookmarkStart w:id="1337" w:name="ver_30125189"/>
      <w:bookmarkEnd w:id="1336"/>
    </w:p>
    <w:p w14:paraId="69C55F9E" w14:textId="70748E15"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2.2.6.1.4.1.</w:t>
      </w:r>
      <w:r w:rsidR="004A4ED6">
        <w:rPr>
          <w:rFonts w:ascii="Arial" w:eastAsia="Times New Roman" w:hAnsi="Arial" w:cs="Arial"/>
          <w:color w:val="000000"/>
          <w:lang w:eastAsia="es-CO"/>
        </w:rPr>
        <w:t xml:space="preserve"> </w:t>
      </w:r>
      <w:r w:rsidRPr="009342F9">
        <w:rPr>
          <w:rFonts w:ascii="Arial" w:eastAsia="Times New Roman" w:hAnsi="Arial" w:cs="Arial"/>
          <w:color w:val="000000"/>
          <w:lang w:eastAsia="es-CO"/>
        </w:rPr>
        <w:t>Autorización de Ocupación de Inmuebles. Es el acto mediante el cual la autoridad competente para ejercer el control urbano y posterior de obra certifica mediante acta detallada el cabal cumplimiento de:  </w:t>
      </w:r>
    </w:p>
    <w:p w14:paraId="53F2150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91D853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Las obras construidas de conformidad con la licencia de construcción en la modalidad de obra nueva otorgada por el curador urbano o la autoridad municipal o distrital competente para expedir licencias, cuando se trate de proyectos que no requirieron supervisión técnica independiente.  </w:t>
      </w:r>
    </w:p>
    <w:p w14:paraId="4C8C300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91B33F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2. Las obras de adecuación a las normas de </w:t>
      </w:r>
      <w:proofErr w:type="spellStart"/>
      <w:r w:rsidRPr="009342F9">
        <w:rPr>
          <w:rFonts w:ascii="Arial" w:eastAsia="Times New Roman" w:hAnsi="Arial" w:cs="Arial"/>
          <w:color w:val="000000"/>
          <w:lang w:eastAsia="es-CO"/>
        </w:rPr>
        <w:t>sismorresistencia</w:t>
      </w:r>
      <w:proofErr w:type="spellEnd"/>
      <w:r w:rsidRPr="009342F9">
        <w:rPr>
          <w:rFonts w:ascii="Arial" w:eastAsia="Times New Roman" w:hAnsi="Arial" w:cs="Arial"/>
          <w:color w:val="000000"/>
          <w:lang w:eastAsia="es-CO"/>
        </w:rPr>
        <w:t xml:space="preserve"> y/o a las normas urbanísticas y arquitectónicas contempladas en el acto de reconocimiento de la edificación, en los términos de que trata el presente decreto. Para este efecto, la autoridad competente realizará una inspección al sitio donde se desarrolló el proyecto, dejando constancia de </w:t>
      </w:r>
      <w:proofErr w:type="gramStart"/>
      <w:r w:rsidRPr="009342F9">
        <w:rPr>
          <w:rFonts w:ascii="Arial" w:eastAsia="Times New Roman" w:hAnsi="Arial" w:cs="Arial"/>
          <w:color w:val="000000"/>
          <w:lang w:eastAsia="es-CO"/>
        </w:rPr>
        <w:t>la misma</w:t>
      </w:r>
      <w:proofErr w:type="gramEnd"/>
      <w:r w:rsidRPr="009342F9">
        <w:rPr>
          <w:rFonts w:ascii="Arial" w:eastAsia="Times New Roman" w:hAnsi="Arial" w:cs="Arial"/>
          <w:color w:val="000000"/>
          <w:lang w:eastAsia="es-CO"/>
        </w:rPr>
        <w:t xml:space="preserve"> mediante acta, en la que se describirán las obras ejecutadas. Si estas se adelantaron de conformidad con lo aprobado en la licencia, la autoridad expedirá la Autorización de Ocupación de Inmuebles.  </w:t>
      </w:r>
    </w:p>
    <w:p w14:paraId="63A65AA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FEFDE0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ningún caso se podrá supeditar la conexión de servicios públicos domiciliarios a la obtención del permiso de ocupación y/o demás mecanismos de control urbano del orden municipal o distrital. Dicha conexión únicamente se sujetará al cumplimiento de lo previsto en la Ley 142 de 1994 y sus reglamentaciones o a las normas que lo adicionen, modifiquen o sustituyan.  </w:t>
      </w:r>
    </w:p>
    <w:p w14:paraId="3024AE7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A451C6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La autoridad competente tendrá un término máximo de quince (15) días hábiles contados a partir de la fecha de la solicitud, para expedir sin costo alguno la Autorización de Ocupación de Inmuebles.  </w:t>
      </w:r>
    </w:p>
    <w:p w14:paraId="4A07C5F1" w14:textId="45519BEA"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2BD1E29"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338" w:name="ver_30074062"/>
      <w:bookmarkEnd w:id="1337"/>
      <w:bookmarkEnd w:id="1338"/>
      <w:r w:rsidRPr="009342F9">
        <w:rPr>
          <w:rFonts w:ascii="Arial" w:eastAsia="Times New Roman" w:hAnsi="Arial" w:cs="Arial"/>
          <w:color w:val="000000"/>
          <w:lang w:eastAsia="es-CO"/>
        </w:rPr>
        <w:t>Artículo 2.2.6.1.4.2 Expedición de licencias de urbanización y construcción con posterioridad a la declaración de situación de desastre o calamidad pública. En el evento de declaración de situación de desastre o calamidad pública, se aplicará el régimen especial para la expedición de licencias de urbanización y construcción contenidos en el Capítulo sobre “Licencias urbanísticas con posterioridad a la declaratoria de situación de desastre o calamidad pública” del presente decreto. </w:t>
      </w:r>
    </w:p>
    <w:p w14:paraId="38406733" w14:textId="198E3EC2"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339" w:name="ver_30074063"/>
      <w:bookmarkEnd w:id="1339"/>
    </w:p>
    <w:p w14:paraId="19C3DF6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2.2.6.1.4.3 Materiales y métodos alternos de diseño y de construcción. En el evento de que la solicitud de la licencia de construcción incluya el uso de materiales estructurales, métodos de diseño y métodos de construcción diferentes a los prescritos por las normas de construcción sismo resistentes vigentes, deberá cumplirse con los </w:t>
      </w:r>
      <w:proofErr w:type="spellStart"/>
      <w:r w:rsidRPr="009342F9">
        <w:rPr>
          <w:rFonts w:ascii="Arial" w:eastAsia="Times New Roman" w:hAnsi="Arial" w:cs="Arial"/>
          <w:color w:val="000000"/>
          <w:lang w:eastAsia="es-CO"/>
        </w:rPr>
        <w:t>requisites</w:t>
      </w:r>
      <w:proofErr w:type="spellEnd"/>
      <w:r w:rsidRPr="009342F9">
        <w:rPr>
          <w:rFonts w:ascii="Arial" w:eastAsia="Times New Roman" w:hAnsi="Arial" w:cs="Arial"/>
          <w:color w:val="000000"/>
          <w:lang w:eastAsia="es-CO"/>
        </w:rPr>
        <w:t xml:space="preserve"> y seguirse el procedimiento establecido en el Capítulo 2 del Título III de la Ley 400 de 1997, sus decretos reglamentarios, o las normas que los adicionen, modifiquen o sustituyan y el Reglamento Colombiano de Construcción Sismorresistente – NSR – 10, y la norma que lo adicione, modifique o sustituya. </w:t>
      </w:r>
    </w:p>
    <w:p w14:paraId="0A5E3E0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C7E2A3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Para permitir la utilización de métodos alternos de construcción y de materiales cubiertos, se aplicará lo establecido en el artículo 11 de la Ley 400 de 1997, sus decretos reglamentarios, o las normas que los adicionen, modifiquen o sustituyan. </w:t>
      </w:r>
    </w:p>
    <w:p w14:paraId="75DF469E" w14:textId="20876905"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340" w:name="ver_30074065"/>
      <w:bookmarkEnd w:id="1340"/>
    </w:p>
    <w:p w14:paraId="11A51DA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xml:space="preserve">Artículo 2.2.6.1.4.4 Exigencias técnicas de construcción. En desarrollo de lo dispuesto en el numeral 11 del artículo 41 de la Ley 400 de 1997, sus decretos reglamentarios, o las normas que los adicionen, modifiquen o sustituyan, la aprobación de condiciones de diseño y técnicas de </w:t>
      </w:r>
      <w:proofErr w:type="gramStart"/>
      <w:r w:rsidRPr="009342F9">
        <w:rPr>
          <w:rFonts w:ascii="Arial" w:eastAsia="Times New Roman" w:hAnsi="Arial" w:cs="Arial"/>
          <w:color w:val="000000"/>
          <w:lang w:eastAsia="es-CO"/>
        </w:rPr>
        <w:t>construcción,</w:t>
      </w:r>
      <w:proofErr w:type="gramEnd"/>
      <w:r w:rsidRPr="009342F9">
        <w:rPr>
          <w:rFonts w:ascii="Arial" w:eastAsia="Times New Roman" w:hAnsi="Arial" w:cs="Arial"/>
          <w:color w:val="000000"/>
          <w:lang w:eastAsia="es-CO"/>
        </w:rPr>
        <w:t xml:space="preserve"> corresponderá exclusivamente a la Comisión Asesora Permanente para el Régimen de Construcciones Sismorresistentes. </w:t>
      </w:r>
    </w:p>
    <w:p w14:paraId="066E514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130D59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Los curadores urbanos no podrán exigir el cumplimiento de normas técnicas o cualquier otra norma de construcción establecida por los municipios y distritos, salvo que exista expresa atribución legal que permita a las autoridades locales la definición de aspectos de orden técnico en la construcción de obras. </w:t>
      </w:r>
    </w:p>
    <w:p w14:paraId="003257CB" w14:textId="7BF5E264"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341" w:name="ver_30074066"/>
      <w:bookmarkEnd w:id="1341"/>
    </w:p>
    <w:p w14:paraId="265EA44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2.2.6.1.4.5 Determinación de las áreas de cesión. Sin perjuicio de las normas nacionales que regulan la materia, los Planes de Ordenamiento Territorial o los instrumentos que lo desarrollen o complementen determinarán las especificaciones para la conformación y dotación de las cesiones gratuitas destinadas a vías, equipamientos colectivos y espacio público en general. Cuando las zonas de cesión presenten áreas inferiores a las mínimas exigidas, o cuando su ubicación sea inconveniente para el municipio o distrito, se podrán compensar en dinero o en otros inmuebles, en los términos que reglamente el Concejo municipal o distrital. Estas previsiones se consignarán en las respectivas licencias de urbanización o parcelación. </w:t>
      </w:r>
    </w:p>
    <w:p w14:paraId="17D0B44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CA0B50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Si la compensación es en dinero, se destinará su valor para la adquisición de los predios requeridos para la conformación del sistema de espacio público, y si es en inmuebles, los mismos deberán estar destinados a la provisión de espacio público en los lugares apropiados, según lo determine el Plan de Ordenamiento Territorial o los instrumentos que lo desarrollen o complementen. </w:t>
      </w:r>
    </w:p>
    <w:p w14:paraId="7C4E827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AF0321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todo caso, por lo menos el cincuenta por ciento (50%) de las zonas de cesión con destino a parques, zonas verdes o equipamientos se distribuirán espacialmente en un sólo globo de terreno y cumplirán con las siguientes características: </w:t>
      </w:r>
    </w:p>
    <w:p w14:paraId="1BBFCB4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7E5E13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Garantizar el acceso a las cesiones públicas para parques y equipamientos desde una vía pública vehicular. </w:t>
      </w:r>
    </w:p>
    <w:p w14:paraId="38FE024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3AB1F7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Proyectar las zonas de cesión en forma continua hacia el espacio público sin interrupción por áreas privadas. </w:t>
      </w:r>
    </w:p>
    <w:p w14:paraId="56E2C36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46E9EC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No localizar las cesiones en predios inundables ni en zonas de alto riesgo. </w:t>
      </w:r>
    </w:p>
    <w:p w14:paraId="32CE352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BD8D7A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Los aislamientos laterales, paramentos y retrocesos de las edificaciones no podrán ser compensados en dinero, ni canjeado por otros inmuebles. </w:t>
      </w:r>
    </w:p>
    <w:p w14:paraId="2085ABC7" w14:textId="64338259"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342" w:name="ver_30074068"/>
      <w:bookmarkEnd w:id="1342"/>
    </w:p>
    <w:p w14:paraId="431BC3C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2.2.6.1.4.6 Incorporación de áreas públicas. El espacio público resultante de los procesos de urbanización, parcelación y construcción se incorporará con el solo procedimiento de registro de la escritura de constitución de la urbanización en la Oficina de Registro de Instrumentos Públicos, en la cual se determinen las áreas públicas objeto de cesión y las áreas privadas, por su localización y linderos. La escritura correspondiente deberá otorgarse y registrarse antes de la iniciación de las ventas del proyecto respectivo. </w:t>
      </w:r>
    </w:p>
    <w:p w14:paraId="1B32F5B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D089B4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En la escritura pública de constitución de la urbanización se incluirá una cláusula en la cual se expresará que este acto implica cesión gratuita de las zonas públicas objeto de cesión obligatoria al municipio o distrito. Igualmente se incluirá una cláusula en la que se manifieste que el acto de </w:t>
      </w:r>
      <w:r w:rsidRPr="009342F9">
        <w:rPr>
          <w:rFonts w:ascii="Arial" w:eastAsia="Times New Roman" w:hAnsi="Arial" w:cs="Arial"/>
          <w:color w:val="000000"/>
          <w:lang w:eastAsia="es-CO"/>
        </w:rPr>
        <w:lastRenderedPageBreak/>
        <w:t>cesión está sujeto a condición resolutoria, en el evento en que las obras y/o dotación de las zonas de cesión no se ejecuten en su totalidad durante el término de vigencia de la licencia o su revalidación. Para acreditar la ocurrencia de tal condición bastará la certificación expedida por la entidad municipal o distrital responsable de la administración y mantenimiento del espacio público acerca de la no ejecución de las obras y/o dotaciones correspondientes. En este caso se entenderá incumplida la obligación de entrega de la zona de cesión y, por tanto, no se tendrá por urbanizado el predio. </w:t>
      </w:r>
    </w:p>
    <w:p w14:paraId="1E3A0F6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46D614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 condición resolutoria se hará efectiva una vez verificado el procedimiento previsto en el artículo siguiente del presente decreto. </w:t>
      </w:r>
    </w:p>
    <w:p w14:paraId="633A5EA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14DEF6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El urbanizador tendrá la obligación de avisar a la entidad municipal o distrital responsable de la administración y mantenimiento del espacio público acerca del otorgamiento de la escritura de constitución de la urbanización. El Registrador de Instrumentos Públicos abrirá los folios de matrícula que correspondan a la cesión en los que figure el municipio o distrito como titular del dominio. </w:t>
      </w:r>
    </w:p>
    <w:p w14:paraId="35E722B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F2C3C9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Corresponderá a los municipios y distritos determinar las demás condiciones y procedimientos para garantizar que a través de la correspondiente escritura pública las áreas de terreno determinadas como espacio público objeto de cesión obligatoria ingresen al inventario inmobiliario municipal o distrital. </w:t>
      </w:r>
    </w:p>
    <w:p w14:paraId="42B2F42C" w14:textId="3D25DD5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343" w:name="ver_30074069"/>
      <w:bookmarkEnd w:id="1343"/>
    </w:p>
    <w:p w14:paraId="664E1B5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2.2.6.1.4.7 Entrega material de las áreas de cesión. La entrega material de las zonas objeto de cesión obligatoria, así como la ejecución de las obras y dotaciones a cargo del urbanizador sobre dichas zonas, se verificará mediante inspección realizada por la entidad municipal o distrital responsable de la administración y mantenimiento del espacio público. </w:t>
      </w:r>
    </w:p>
    <w:p w14:paraId="5D7CC7C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708127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 diligencia de inspección se realizará en la fecha que fije la entidad municipal o distrital responsable de la administración y mantenimiento del espacio público, levantando un acta de la inspección suscrita por el urbanizador y la entidad municipal o distrital competente. La solicitud escrita deberá presentarse por el urbanizador y/o el titular de la licencia a más tardar, dentro de los seis (6) meses siguientes al vencimiento del término de vigencia de la licencia o de su revalidación, y se señalará y comunicará al solicitante la fecha de la diligencia, dentro de los cinco (5) días siguientes a partir de la fecha de radicación de la solicitud. </w:t>
      </w:r>
    </w:p>
    <w:p w14:paraId="2BB8AFB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73A464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El acta de inspección equivaldrá al recibo material de las zonas cedidas, y será el medio probatorio para verificar el cumplimiento de las obligaciones a cargo del urbanizador establecidas en la respectiva licencia. En el evento de verificarse un incumplimiento de las citadas obligaciones, en el acta se deberá dejar constancia de las razones del incumplimiento y del término que se concede al urbanizador para ejecutar las obras o actividades que le den solución, el que en todo caso no podrá ser inferior a quince (15) días hábiles. Igualmente se señalará la fecha en que se llevará a cabo la segunda visita, la que tendrá como finalidad verificar que las obras y dotaciones se adecuaron a lo establecido en la licencia, caso en el cual, en la misma acta se indicará que es procedente el recibo de las zonas de cesión. </w:t>
      </w:r>
    </w:p>
    <w:p w14:paraId="41A6746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9CD254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Si efectuada la segunda visita el incumplimiento persiste, se hará efectiva la condición resolutoria de que trata el artículo anterior y se dará traslado a la entidad competente, dentro de los tres (3) días hábiles siguientes, para iniciar las acciones tendientes a sancionar la infracción en los términos de la Ley 810 de 2003 o la norma que la adicione, modifique o sustituya. </w:t>
      </w:r>
    </w:p>
    <w:p w14:paraId="3E1C110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5C5F32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Parágrafo 1. En el acto que otorgue la licencia se dejará manifestación expresa de la obligación que tiene el titular de la licencia de solicitar la diligencia de inspección de que trata este artículo. </w:t>
      </w:r>
    </w:p>
    <w:p w14:paraId="260E5FE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08141D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2. En las urbanizaciones por etapas, la ejecución de las obras y dotaciones a cargo del urbanizador se hará de manera proporcional al avance del proyecto urbanístico. Los municipios y distritos establecerán los mecanismos y procedimientos para asegurar el cumplimiento de las obras y dotaciones a cargo del urbanizador. </w:t>
      </w:r>
    </w:p>
    <w:p w14:paraId="2ECF7CF7" w14:textId="5AB4A62D"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344" w:name="ver_30110912"/>
      <w:bookmarkStart w:id="1345" w:name="ver_30110911"/>
      <w:bookmarkEnd w:id="1344"/>
    </w:p>
    <w:p w14:paraId="68F9CA6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2.2.6.1.4.8 Entrega anticipada de cesiones. Los propietarios de predios ur</w:t>
      </w:r>
      <w:r w:rsidRPr="009342F9">
        <w:rPr>
          <w:rFonts w:ascii="Arial" w:eastAsia="Times New Roman" w:hAnsi="Arial" w:cs="Arial"/>
          <w:color w:val="000000"/>
          <w:lang w:eastAsia="es-CO"/>
        </w:rPr>
        <w:softHyphen/>
        <w:t>banizables no urbanizados que se encuentren dentro del perímetro urbano y no hayan sido objeto de incorporación en los términos del artículo 47 de la Ley 1537 de 2012 modificado por el artículo 91 de la Ley 1753 de 2015, podrán proponer a los municipios o distritos, o estos a aquellos, la cesión de porción o porciones de dichos predios que, sin sustituir totalmente el reparto de cargas y beneficios que se deba efectuar al momento de solicitar la licencia urbanística, se recibirán a título de zonas de cesión anticipada de desarrollos urbanísticos futuros, siempre y cuando, resulten convenientes para proyectos de utilidad pública o interés social que estén previstos en el Plan de Ordenamiento Territorial o en los instrumentos que lo desarrollen y/o complementen. </w:t>
      </w:r>
    </w:p>
    <w:p w14:paraId="51D68D82" w14:textId="5F57F878" w:rsidR="00FC79C1"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 entidad municipal o distrital responsable de la administración y mantenimiento del espacio público, efectuará el recibo físico de la zona de cesión anticipada indicando su des</w:t>
      </w:r>
      <w:r w:rsidRPr="009342F9">
        <w:rPr>
          <w:rFonts w:ascii="Arial" w:eastAsia="Times New Roman" w:hAnsi="Arial" w:cs="Arial"/>
          <w:color w:val="000000"/>
          <w:lang w:eastAsia="es-CO"/>
        </w:rPr>
        <w:softHyphen/>
        <w:t>tino, para lo cual suscribirá con el propietario la respectiva acta de entrega a la cual deberá anexarse documento que permita la plena identificación física del predio, de acuerdo con los lineamientos que defina el Ministerio de Vivienda, Ciudad y Territorio. </w:t>
      </w:r>
    </w:p>
    <w:p w14:paraId="4CE3F18E" w14:textId="77777777" w:rsidR="00ED3B66" w:rsidRPr="009342F9" w:rsidRDefault="00ED3B66" w:rsidP="00FC79C1">
      <w:pPr>
        <w:spacing w:after="0" w:line="240" w:lineRule="auto"/>
        <w:jc w:val="both"/>
        <w:rPr>
          <w:rFonts w:ascii="Arial" w:eastAsia="Times New Roman" w:hAnsi="Arial" w:cs="Arial"/>
          <w:color w:val="000000"/>
          <w:lang w:eastAsia="es-CO"/>
        </w:rPr>
      </w:pPr>
    </w:p>
    <w:p w14:paraId="2EFFA7FE" w14:textId="0401D1ED" w:rsidR="00FC79C1"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Para la transferencia del área de cesión anticipada para equipamientos públicos, se procederá a otorgar y registrar la escritura de división material dando aplicación al numeral 2 del artículo 2.2.2.1.4.1.4 del presente decreto. </w:t>
      </w:r>
    </w:p>
    <w:p w14:paraId="54DF14B0" w14:textId="77777777" w:rsidR="00ED3B66" w:rsidRPr="009342F9" w:rsidRDefault="00ED3B66" w:rsidP="00FC79C1">
      <w:pPr>
        <w:spacing w:after="0" w:line="240" w:lineRule="auto"/>
        <w:jc w:val="both"/>
        <w:rPr>
          <w:rFonts w:ascii="Arial" w:eastAsia="Times New Roman" w:hAnsi="Arial" w:cs="Arial"/>
          <w:color w:val="000000"/>
          <w:lang w:eastAsia="es-CO"/>
        </w:rPr>
      </w:pPr>
    </w:p>
    <w:p w14:paraId="20DC871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Para solicitar la respectiva licencia de construcción en la modalidad de obra nueva para el desarrollo de equipamientos en suelos objeto de entrega de cesiones anticipadas, se de</w:t>
      </w:r>
      <w:r w:rsidRPr="009342F9">
        <w:rPr>
          <w:rFonts w:ascii="Arial" w:eastAsia="Times New Roman" w:hAnsi="Arial" w:cs="Arial"/>
          <w:color w:val="000000"/>
          <w:lang w:eastAsia="es-CO"/>
        </w:rPr>
        <w:softHyphen/>
        <w:t>berá adjuntar la disponibilidad inmediata de servicios públicos domiciliarios de acueducto, alcantarillado y energía eléctrica, expedidos por los respectivos prestadores de servicios. En el proyecto se deberá garantizar el acceso directo desde una vía pública vehicular y acce</w:t>
      </w:r>
      <w:r w:rsidRPr="009342F9">
        <w:rPr>
          <w:rFonts w:ascii="Arial" w:eastAsia="Times New Roman" w:hAnsi="Arial" w:cs="Arial"/>
          <w:color w:val="000000"/>
          <w:lang w:eastAsia="es-CO"/>
        </w:rPr>
        <w:softHyphen/>
        <w:t>sibilidad al transporte público en las condiciones de la norma urbanística correspondiente. </w:t>
      </w:r>
    </w:p>
    <w:p w14:paraId="1B166D5A"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346" w:name="ver_30074079"/>
      <w:bookmarkEnd w:id="1345"/>
      <w:bookmarkEnd w:id="1346"/>
    </w:p>
    <w:p w14:paraId="466DCB3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2.2.6.1.4.9 Identificación de las obras. El titular de la licencia de parcelación, urbanización o construcción está obligado a instalar un aviso durante el término de ejecución de las obras, cuya dimensión mínima será de un metro (1.00 m) por setenta (70) centímetros, localizada en lugar visible desde la vía pública más importante sobre la cual tenga frente o límite el desarrollo o construcción que haya sido objeto de la licencia. En caso de obras que se desarrollen en edificios o conjunto sometidos al régimen de propiedad horizontal se instalará un aviso en la cartelera principal del edificio o conjunto, o en un lugar de amplia circulación que determine la administración. En caso de obras menores se instalará un aviso de treinta (30) centímetros por cincuenta (50) centímetros. </w:t>
      </w:r>
    </w:p>
    <w:p w14:paraId="7D190B2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4CE277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 valla o aviso deberá indicar al menos: </w:t>
      </w:r>
    </w:p>
    <w:p w14:paraId="33CCFEE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A5CF69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La clase y número de identificación de la licencia, y la autoridad que la expidió. </w:t>
      </w:r>
    </w:p>
    <w:p w14:paraId="3B6C913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F0BB1B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El nombre o razón social del titular de la licencia. </w:t>
      </w:r>
    </w:p>
    <w:p w14:paraId="0EAD7EF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0EBA5A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La dirección del inmueble. </w:t>
      </w:r>
    </w:p>
    <w:p w14:paraId="5B3E3FF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w:t>
      </w:r>
    </w:p>
    <w:p w14:paraId="7E29F50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Vigencia de la licencia. </w:t>
      </w:r>
    </w:p>
    <w:p w14:paraId="2AAABE4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352797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 Descripción del tipo de obra que se adelanta, haciendo referencia especialmente al uso o usos autorizados, metros de construcción, altura total de las edificaciones, número de estacionamientos y número de unidades habitacionales, comerciales o de otros usos. </w:t>
      </w:r>
    </w:p>
    <w:p w14:paraId="3E09C11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742401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 valla o aviso se instalará antes de la iniciación de cualquier tipo de obra, emplazamiento de campamentos o maquinaria, entre otros, y deberá permanecer instalado durante todo el tiempo de la ejecución de la obra. </w:t>
      </w:r>
    </w:p>
    <w:p w14:paraId="63CBDF1C" w14:textId="7A84E9DA"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347" w:name="ver_30074081"/>
      <w:bookmarkEnd w:id="1347"/>
    </w:p>
    <w:p w14:paraId="1F3B1CCD" w14:textId="77777777" w:rsidR="00FC79C1"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2.2.6.1.4.10 Aplicación de las normas de accesibilidad al espacio público, a los edificios de uso público y a la vivienda. Los proyectos de urbanización, construcción e intervención y ocupación del espacio </w:t>
      </w:r>
      <w:proofErr w:type="gramStart"/>
      <w:r w:rsidRPr="009342F9">
        <w:rPr>
          <w:rFonts w:ascii="Arial" w:eastAsia="Times New Roman" w:hAnsi="Arial" w:cs="Arial"/>
          <w:color w:val="000000"/>
          <w:lang w:eastAsia="es-CO"/>
        </w:rPr>
        <w:t>público,</w:t>
      </w:r>
      <w:proofErr w:type="gramEnd"/>
      <w:r w:rsidRPr="009342F9">
        <w:rPr>
          <w:rFonts w:ascii="Arial" w:eastAsia="Times New Roman" w:hAnsi="Arial" w:cs="Arial"/>
          <w:color w:val="000000"/>
          <w:lang w:eastAsia="es-CO"/>
        </w:rPr>
        <w:t xml:space="preserve"> deben contemplar en su diseño las normas vigentes que garanticen la accesibilidad y desplazamiento de las personas con movilidad reducida, sea esta temporal o permanente, de conformidad con las normas establecidas en la Ley 361 de 1997 o la norma que la adicione, modifique o sustituya y su reglamento. </w:t>
      </w:r>
    </w:p>
    <w:p w14:paraId="1B3BA1AB" w14:textId="77777777" w:rsidR="004A4ED6" w:rsidRPr="009342F9" w:rsidRDefault="004A4ED6" w:rsidP="00FC79C1">
      <w:pPr>
        <w:spacing w:after="0" w:line="240" w:lineRule="auto"/>
        <w:jc w:val="both"/>
        <w:rPr>
          <w:rFonts w:ascii="Arial" w:eastAsia="Times New Roman" w:hAnsi="Arial" w:cs="Arial"/>
          <w:color w:val="000000"/>
          <w:lang w:eastAsia="es-CO"/>
        </w:rPr>
      </w:pPr>
    </w:p>
    <w:p w14:paraId="5010910B" w14:textId="59B5E93F" w:rsidR="00FC79C1" w:rsidRPr="009342F9" w:rsidRDefault="00FC79C1" w:rsidP="00FC79C1">
      <w:pPr>
        <w:spacing w:after="0" w:line="240" w:lineRule="auto"/>
        <w:jc w:val="both"/>
        <w:rPr>
          <w:rFonts w:ascii="Arial" w:eastAsia="Times New Roman" w:hAnsi="Arial" w:cs="Arial"/>
          <w:color w:val="000000"/>
          <w:lang w:eastAsia="es-CO"/>
        </w:rPr>
      </w:pPr>
      <w:bookmarkStart w:id="1348" w:name="ver_30125198"/>
      <w:bookmarkStart w:id="1349" w:name="ver_30125197"/>
      <w:bookmarkEnd w:id="1348"/>
      <w:r w:rsidRPr="009342F9">
        <w:rPr>
          <w:rFonts w:ascii="Arial" w:eastAsia="Times New Roman" w:hAnsi="Arial" w:cs="Arial"/>
          <w:color w:val="000000"/>
          <w:lang w:eastAsia="es-CO"/>
        </w:rPr>
        <w:t>Artículo 2.2.6.1.4.11.</w:t>
      </w:r>
      <w:r w:rsidR="004A4ED6">
        <w:rPr>
          <w:rFonts w:ascii="Arial" w:eastAsia="Times New Roman" w:hAnsi="Arial" w:cs="Arial"/>
          <w:color w:val="000000"/>
          <w:lang w:eastAsia="es-CO"/>
        </w:rPr>
        <w:t xml:space="preserve"> </w:t>
      </w:r>
      <w:r w:rsidRPr="009342F9">
        <w:rPr>
          <w:rFonts w:ascii="Arial" w:eastAsia="Times New Roman" w:hAnsi="Arial" w:cs="Arial"/>
          <w:color w:val="000000"/>
          <w:lang w:eastAsia="es-CO"/>
        </w:rPr>
        <w:t>Competencia del control urbano. Corresponde a los alcaldes municipales o distritales por conducto de los inspectores de policía rurales, urbanos y corregidores, de conformidad con lo dispuesto en la Ley 1801 de 2016 (Código de Policía) o la norma que la modifique, adicione o sustituya, ejercer la vigilancia y control durante la ejecución de las obras, con el fin de aplicar las medidas correctivas para asegurar el cumplimiento de las licencias urbanísticas y de las normas contenidas en el Plan de Ordenamiento Territorial, sin perjuicio de las facultades atribuidas a los funcionarios del Ministerio Público y de las veedurías en defensa tanto del orden jurídico, del ambiente y del patrimonio y espacios públicos, como de los intereses colectivos y de la sociedad en general.  </w:t>
      </w:r>
    </w:p>
    <w:p w14:paraId="3F32939A" w14:textId="151451B3"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350" w:name="ver_30074084"/>
      <w:bookmarkEnd w:id="1349"/>
      <w:bookmarkEnd w:id="1350"/>
    </w:p>
    <w:p w14:paraId="12555F8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2.2.6.1.4.12 Régimen de transición para la expedición de licencias, reconocimiento de edificaciones y otras actuaciones. Las solicitudes de licencias, reconocimiento de edificaciones, otras actuaciones asociadas a la Licencia y prórrogas que hubieren sido radicadas en legal y debida forma antes del 3 de mayo de 2010, continuarán rigiéndose por las disposiciones vigentes al momento de su radicación. </w:t>
      </w:r>
    </w:p>
    <w:p w14:paraId="0160B887" w14:textId="37D0F290"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351" w:name="ver_30074086"/>
      <w:bookmarkEnd w:id="1351"/>
    </w:p>
    <w:p w14:paraId="7693B39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2.2.6.1.4.13 Trámite de licencias por parte de las oficinas municipales encargadas de expedir licencias. Las entidades municipales o distritales encargadas de estudiar, tramitar y expedir licencias, deberán sujetarse en un todo a la reglamentación que establece la Ley 388 de 1997, el presente decreto y las normas que lo adicionen, sustituyan o modifiquen. </w:t>
      </w:r>
    </w:p>
    <w:p w14:paraId="478234DD" w14:textId="4D54728F" w:rsidR="00FC79C1" w:rsidRPr="009342F9" w:rsidRDefault="00FC79C1" w:rsidP="00ED3B66">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932E065" w14:textId="4445D3F3" w:rsidR="00FC79C1" w:rsidRPr="00ED3B66" w:rsidRDefault="00FC79C1" w:rsidP="00ED3B66">
      <w:pPr>
        <w:spacing w:after="0" w:line="240" w:lineRule="auto"/>
        <w:jc w:val="center"/>
        <w:rPr>
          <w:rFonts w:ascii="Arial" w:eastAsia="Times New Roman" w:hAnsi="Arial" w:cs="Arial"/>
          <w:b/>
          <w:bCs/>
          <w:color w:val="000000"/>
          <w:lang w:eastAsia="es-CO"/>
        </w:rPr>
      </w:pPr>
      <w:bookmarkStart w:id="1352" w:name="ver_30074087"/>
      <w:bookmarkEnd w:id="1352"/>
      <w:r w:rsidRPr="00ED3B66">
        <w:rPr>
          <w:rFonts w:ascii="Arial" w:eastAsia="Times New Roman" w:hAnsi="Arial" w:cs="Arial"/>
          <w:b/>
          <w:bCs/>
          <w:color w:val="000000"/>
          <w:lang w:eastAsia="es-CO"/>
        </w:rPr>
        <w:t>CAPÍTULO 2</w:t>
      </w:r>
    </w:p>
    <w:p w14:paraId="5FD761EC" w14:textId="77777777" w:rsidR="00FC79C1" w:rsidRPr="00ED3B66" w:rsidRDefault="00FC79C1" w:rsidP="00ED3B66">
      <w:pPr>
        <w:spacing w:after="0" w:line="240" w:lineRule="auto"/>
        <w:jc w:val="center"/>
        <w:rPr>
          <w:rFonts w:ascii="Arial" w:eastAsia="Times New Roman" w:hAnsi="Arial" w:cs="Arial"/>
          <w:b/>
          <w:bCs/>
          <w:color w:val="000000"/>
          <w:lang w:eastAsia="es-CO"/>
        </w:rPr>
      </w:pPr>
      <w:r w:rsidRPr="00ED3B66">
        <w:rPr>
          <w:rFonts w:ascii="Arial" w:eastAsia="Times New Roman" w:hAnsi="Arial" w:cs="Arial"/>
          <w:b/>
          <w:bCs/>
          <w:color w:val="000000"/>
          <w:lang w:eastAsia="es-CO"/>
        </w:rPr>
        <w:t>LICENCIAS URBANÍSTICAS EN SUELO RURAL</w:t>
      </w:r>
    </w:p>
    <w:p w14:paraId="64D495C4"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353" w:name="ver_30074089"/>
      <w:bookmarkEnd w:id="1353"/>
    </w:p>
    <w:p w14:paraId="4A8263C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2.2.6.2.1 Edificación en suelo rural. La expedición de licencias urbanísticas en suelo rural, además de lo dispuesto en el Título anterior, y en la legislación específica aplicable, se sujetará a las siguientes condiciones: </w:t>
      </w:r>
    </w:p>
    <w:p w14:paraId="073AD8D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79E244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Deberá darse estricto cumplimiento a las incompatibilidades sobre usos del suelo señaladas en el Plan de Ordenamiento Territorial o los instrumentos que lo desarrollen o complementen. </w:t>
      </w:r>
    </w:p>
    <w:p w14:paraId="08E3502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3879CC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2. Solamente se podrá autorizar la construcción de edificaciones dedicadas a la explotación económica del predio que guarden relación con la naturaleza y destino </w:t>
      </w:r>
      <w:proofErr w:type="gramStart"/>
      <w:r w:rsidRPr="009342F9">
        <w:rPr>
          <w:rFonts w:ascii="Arial" w:eastAsia="Times New Roman" w:hAnsi="Arial" w:cs="Arial"/>
          <w:color w:val="000000"/>
          <w:lang w:eastAsia="es-CO"/>
        </w:rPr>
        <w:t>del mismo</w:t>
      </w:r>
      <w:proofErr w:type="gramEnd"/>
      <w:r w:rsidRPr="009342F9">
        <w:rPr>
          <w:rFonts w:ascii="Arial" w:eastAsia="Times New Roman" w:hAnsi="Arial" w:cs="Arial"/>
          <w:color w:val="000000"/>
          <w:lang w:eastAsia="es-CO"/>
        </w:rPr>
        <w:t xml:space="preserve">, en razón de </w:t>
      </w:r>
      <w:r w:rsidRPr="009342F9">
        <w:rPr>
          <w:rFonts w:ascii="Arial" w:eastAsia="Times New Roman" w:hAnsi="Arial" w:cs="Arial"/>
          <w:color w:val="000000"/>
          <w:lang w:eastAsia="es-CO"/>
        </w:rPr>
        <w:lastRenderedPageBreak/>
        <w:t>sus usos agrícolas, ganaderos, forestales, de explotación de recursos naturales y/o actividades análogas. </w:t>
      </w:r>
    </w:p>
    <w:p w14:paraId="54971EC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4842B2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La construcción de equipamientos en suelo rural podrá autorizarse siempre que se compruebe que no exista la posibilidad de formación de un núcleo de población, de conformidad con la localización prevista para estos usos por el Plan de Ordenamiento Territorial o los instrumentos que lo desarrollen o complementen. </w:t>
      </w:r>
    </w:p>
    <w:p w14:paraId="1D7965B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5400DC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El desarrollo de usos industriales, comerciales y de servicios en suelo rural se sujetará a las determinaciones, dimensionamiento y localización de las áreas destinadas a estos usos en el Plan de Ordenamiento Territorial o los instrumentos que lo desarrollen o complementen. </w:t>
      </w:r>
    </w:p>
    <w:p w14:paraId="155E2FA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9575D7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 La autorización de actuaciones urbanísticas en centros poblados rurales se subordinará a las normas adoptadas en el Plan de Ordenamiento Territorial o los instrumentos que lo desarrollen o complementen, para orientar la ocupación de sus suelos y la adecuada dotación de infraestructura de servicios básicos y de equipamiento social. </w:t>
      </w:r>
    </w:p>
    <w:p w14:paraId="07A91D0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DCB995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En ningún caso, se podrán expedir licencias autorizando el desarrollo de usos, intensidades de uso y densidades propias del suelo urbano en suelo rural. </w:t>
      </w:r>
    </w:p>
    <w:p w14:paraId="56E629CE" w14:textId="33F86DAD"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354" w:name="ver_30074090"/>
      <w:bookmarkEnd w:id="1354"/>
    </w:p>
    <w:p w14:paraId="56DE9E20" w14:textId="478EFE84"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2.2.6.2.2 Prohibición de parcelaciones en suelo rural. A partir del 17 de enero de 2006, no se podrán expedir licencias de parcelación o construcción autorizando parcelaciones en suelo rural para vivienda campestre, mientras no se incorpore en el Plan de Ordenamiento Territorial la identificación y delimitación precisa de las áreas destinadas a este uso, con la definición de las normas urbanísticas de parcelación, las cuales deberán tener en cuenta la legislación agraria y ambiental. Esta prohibición cobija a las solicitudes de licencias de parcelación o construcción de parcelaciones en suelo rural para vivienda campestre, que actualmente se encuentran en trámite. </w:t>
      </w:r>
    </w:p>
    <w:p w14:paraId="53C6FA86" w14:textId="77777777" w:rsidR="00D4095E" w:rsidRPr="009342F9" w:rsidRDefault="00D4095E" w:rsidP="00FC79C1">
      <w:pPr>
        <w:spacing w:after="0" w:line="240" w:lineRule="auto"/>
        <w:jc w:val="both"/>
        <w:rPr>
          <w:rFonts w:ascii="Arial" w:eastAsia="Times New Roman" w:hAnsi="Arial" w:cs="Arial"/>
          <w:color w:val="000000"/>
          <w:lang w:eastAsia="es-CO"/>
        </w:rPr>
      </w:pPr>
    </w:p>
    <w:p w14:paraId="356506B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todo caso, para la definición de las normas urbanísticas de parcelación los municipios deberán ajustarse a las normas generales y las densidades máximas definidas por la Corporación Autónoma Regional correspondiente, las cuales deberán ser inferiores a aquellas establecidas para el suelo suburbano. </w:t>
      </w:r>
    </w:p>
    <w:p w14:paraId="7FC08E0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916593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Parágrafo. Los municipios y distritos señalarán los terrenos que deban ser mantenidos y preservados por su importancia para la explotación agrícola, ganadera, </w:t>
      </w:r>
      <w:proofErr w:type="spellStart"/>
      <w:r w:rsidRPr="009342F9">
        <w:rPr>
          <w:rFonts w:ascii="Arial" w:eastAsia="Times New Roman" w:hAnsi="Arial" w:cs="Arial"/>
          <w:color w:val="000000"/>
          <w:lang w:eastAsia="es-CO"/>
        </w:rPr>
        <w:t>paisajísmo</w:t>
      </w:r>
      <w:proofErr w:type="spellEnd"/>
      <w:r w:rsidRPr="009342F9">
        <w:rPr>
          <w:rFonts w:ascii="Arial" w:eastAsia="Times New Roman" w:hAnsi="Arial" w:cs="Arial"/>
          <w:color w:val="000000"/>
          <w:lang w:eastAsia="es-CO"/>
        </w:rPr>
        <w:t xml:space="preserve"> o de recursos naturales, según la clasificación del suelo adoptada en el Plan de Ordenamiento Territorial. En estos terrenos no podrán autorizarse actuaciones urbanísticas de subdivisión, parcelación o edificación de inmuebles que impliquen la alteración o transformación de su uso actual. </w:t>
      </w:r>
    </w:p>
    <w:p w14:paraId="0D9752DA" w14:textId="00C8147B"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355" w:name="ver_30074092"/>
      <w:bookmarkEnd w:id="1355"/>
    </w:p>
    <w:p w14:paraId="01522D8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2.2.6.2.3 Actuaciones urbanísticas en suelo suburbano. El suelo suburbano puede ser objeto de desarrollo con restricciones de uso, de intensidad y de densidad, garantizando el autoabastecimiento en servicios públicos domiciliarios, de conformidad con lo establecido en la Ley 99 de 1993 y en la Ley 142 de 1994 o las normas que las adicionen, modifiquen o sustituyan. </w:t>
      </w:r>
    </w:p>
    <w:p w14:paraId="48A9F7C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B925AD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Los municipios y distritos deben establecer las regulaciones complementarias tendientes a impedir el desarrollo de actividades y usos urbanos en estas áreas. </w:t>
      </w:r>
    </w:p>
    <w:p w14:paraId="073E3282" w14:textId="25907834"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356" w:name="ver_30074094"/>
      <w:bookmarkEnd w:id="1356"/>
    </w:p>
    <w:p w14:paraId="78245A0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2.2.6.2.4. Cesiones obligatorias. De conformidad con lo previsto en el artículo 37 de la Ley 388 de 1997, las reglamentaciones municipales y distritales deberán determinar las cesiones obligatorias que los propietarios de inmuebles deben hacer con destino a vías locales, </w:t>
      </w:r>
      <w:r w:rsidRPr="009342F9">
        <w:rPr>
          <w:rFonts w:ascii="Arial" w:eastAsia="Times New Roman" w:hAnsi="Arial" w:cs="Arial"/>
          <w:color w:val="000000"/>
          <w:lang w:eastAsia="es-CO"/>
        </w:rPr>
        <w:lastRenderedPageBreak/>
        <w:t>equipamientos colectivos y espacio público para las actuaciones urbanísticas de parcelación y edificación en suelo rural. </w:t>
      </w:r>
    </w:p>
    <w:p w14:paraId="259F80B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31A883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Los propietarios quedan obligados a realizar las cesiones obligatorias de terrenos que establezca el plan de ordenamiento territorial o los instrumentos que los desarrollen y complementen. En los planos que acompañan la licencia se hará la identificación precisa de las áreas objeto de cesión obligatoria. </w:t>
      </w:r>
    </w:p>
    <w:p w14:paraId="5BE93AC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D804A7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Las cesiones obligatorias incluirán entre otros componentes las franjas de aislamiento y las calzadas de desaceleración de que trata el artículo 2.2.2.2.2.3 del presente decreto. </w:t>
      </w:r>
    </w:p>
    <w:p w14:paraId="5DB4B7B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8F8486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ningún caso, las áreas de cesión obligatoria en suelo rural suburbano con destino a vías y espacio público podrán ser compensadas en dinero, ni podrán canjearse por otros inmuebles. </w:t>
      </w:r>
    </w:p>
    <w:p w14:paraId="67FDC93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E1C44B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1°. Para el otorgamiento de licencias urbanísticas que autoricen el desarrollo de parques, conjuntos o agrupaciones industriales en suelo rural suburbano con índices de ocupación superiores al 30%, las reglamentaciones municipales y distritales deberán definir la cantidad de suelo que debe obtenerse por concepto de cesiones urbanísticas obligatorias adicionales a las previstas en el presente artículo, que compensen el impacto urbanístico y ambiental producido por la mayor ocupación autorizada. </w:t>
      </w:r>
    </w:p>
    <w:p w14:paraId="6D856AE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2644B1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Las cesiones adicionales deberán localizarse en las zonas que se hayan delimitado en el plan de ordenamiento territorial para consolidar el sistema de espacio público en aquellas áreas de que trata el numeral 1 del artículo 2.2.2.2.1.3 del presente decreto. </w:t>
      </w:r>
    </w:p>
    <w:p w14:paraId="4CA152F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3F9EFD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ningún caso, la cesión adicional podrá ser inferior a la cantidad de metros cuadrados de suelo de mayor ocupación con áreas construidas que se autoricen por encima del 30%. </w:t>
      </w:r>
    </w:p>
    <w:p w14:paraId="0672872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2B70B8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2°. Para efectos de lo dispuesto en el inciso 2° del Parágrafo anterior, los municipios y distritos adoptarán, previa concertación con la respectiva Corporación Autónoma Regional, la delimitación específica de las áreas en donde se permitirá la localización de las cesiones adicionales, en todo de conformidad con la localización y dimensionamiento que haya definido el plan de ordenamiento de las áreas de conservación y protección ambiental a que se refiere el presente decreto. </w:t>
      </w:r>
    </w:p>
    <w:p w14:paraId="734119C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386868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 delimitación de estas áreas también incorporará los criterios de priorización que resulten necesarios para programar la transferencia de la propiedad de las áreas de cesión adicional al municipio o distrito. </w:t>
      </w:r>
    </w:p>
    <w:p w14:paraId="7AE42C3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E81B3F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3°. Para el otorgamiento de la respectiva licencia se requiere acreditar la transferencia de la propiedad de las áreas de cesión adicional al municipio o distrito, las cuales deberán estar demarcadas por localización, alinderamiento y amojonamiento y libres de cualquier limitación al derecho de dominio, tales como condiciones resolutorias, daciones en pago, embargos, hipotecas, anticresis, arrendamiento por escritura pública, servidumbres y libres de construcciones, invasiones u ocupaciones temporales o permanentes. Igualmente, se encontrarán a paz y salvo por concepto de pago de tributos municipales. </w:t>
      </w:r>
    </w:p>
    <w:p w14:paraId="7C4E3029" w14:textId="3CF40E5E"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357" w:name="ver_30074095"/>
      <w:bookmarkEnd w:id="1357"/>
    </w:p>
    <w:p w14:paraId="5E9A8E6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2.2.6.2.5 Cálculo del Índice de ocupación. Para la aplicación de las disposiciones contenidas en el presente Título, dentro del índice de ocupación únicamente se computarán las áreas de suelo que pueden ser ocupadas por edificación en primer piso bajo cubierta. </w:t>
      </w:r>
    </w:p>
    <w:p w14:paraId="6A56F45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4E89A6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En todo caso, el índice de ocupación se calculará sobre el área resultante de descontar del área bruta del predio, las áreas para la localización de la infraestructura para el sistema vial principal y de transporte, las redes primarias de servicios públicos, las áreas de conservación y protección de los recursos naturales y paisajísticos y demás afectaciones del predio. </w:t>
      </w:r>
    </w:p>
    <w:p w14:paraId="75EA3420" w14:textId="10BE322A"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358" w:name="ver_30074098"/>
      <w:bookmarkEnd w:id="1358"/>
    </w:p>
    <w:p w14:paraId="34DE992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2.2.6.2.6 Condiciones generales para el otorgamiento de licencias para los distintos usos en suelo rural y rural suburbano. Sin perjuicio de lo dispuesto en el presente Título, la expedición de licencias de parcelación y construcción en suelo rural y rural suburbano deberá sujetarse al cumplimiento de lo dispuesto en este artículo: </w:t>
      </w:r>
    </w:p>
    <w:p w14:paraId="5AA530D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E50C97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Movimiento de tierras. El movimiento de tierras para parcelar o edificar sólo podrá autorizarse en la respectiva licencia de parcelación o construcción. </w:t>
      </w:r>
    </w:p>
    <w:p w14:paraId="4C4D5D4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F013DF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Ambiente. Se deberán conservar y mantener las masas arbóreas y forestales en suelos con pendientes superiores a cuarenta y cinco grados (45°), en las condiciones que determine la autoridad ambiental competente, sin perjuicio del cumplimiento de las demás normas ambientales. </w:t>
      </w:r>
    </w:p>
    <w:p w14:paraId="7DB33B9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003052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Condiciones para la prestación de servicios públicos domiciliarios. Cuando existan redes de servicios públicos domiciliarios disponibles de acueducto y saneamiento básico será obligatorio vincularse como usuario y cumplir con los deberes respectivos. En su defecto, quienes puedan ser titulares de las licencias deberán acreditar los permisos y autorizaciones para el uso y aprovechamiento de los recursos naturales renovables en caso de autoabastecimiento y el pronunciamiento de la Superintendencia de Servicios Públicos de conformidad con lo dispuesto en la Ley 142 de 1994. </w:t>
      </w:r>
    </w:p>
    <w:p w14:paraId="6EE95A3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937FBC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todo caso, la prestación de dichos servicios deberá resolverse de forma integral para la totalidad de los predios que integren la unidad mínima de actuación. </w:t>
      </w:r>
    </w:p>
    <w:p w14:paraId="43C1DF1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F97AC1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Accesos viales. Deberá garantizarse la adecuada conexión con el sistema nacional, departamental o local de carreteras. Las obras de construcción, adecuación y/o ampliación de accesos viales a las parcelaciones correrán por cuenta de los propietarios de los predios objeto de la solicitud, aun cuando deban pasar por fuera de los límites del predio o predios objeto de la solicitud, para lo cual deberán utilizar preferentemente las vías o caminos rurales existentes de dominio público. </w:t>
      </w:r>
    </w:p>
    <w:p w14:paraId="78B13C6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266293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 Cerramientos. El cerramiento de los predios se realizará con elementos transparentes, los cuales se podrán combinar con elementos vegetales de acuerdo con lo que para el efecto se especifique en las normas urbanísticas. En todo caso, se prohibirán los cerramientos con tapias o muros que obstaculicen o impidan el disfrute visual del paisaje rural. </w:t>
      </w:r>
    </w:p>
    <w:p w14:paraId="6448AE1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34BE3F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6. Retrocesos. En los corredores viales suburbanos, se exigirá un retroceso al interior del predio como mínimo de diez (10) metros respecto de la calzada de desaceleración, de los cuales por lo menos cinco (5) metros deben tratarse como zona verde privada. El área restante se puede destinar para estacionamientos. El cerramiento de los predios se permitirá a partir de la zona verde de retroceso de que trata este numeral. </w:t>
      </w:r>
    </w:p>
    <w:p w14:paraId="6B98AF2F" w14:textId="7D2F6F5D"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359" w:name="ver_30074105"/>
      <w:bookmarkEnd w:id="1359"/>
    </w:p>
    <w:p w14:paraId="5B85980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2.2.6.2.7 Régimen de transición para la expedición de licencias. Mientras los municipios y distritos revisan y/o modifican sus planes de ordenamiento territorial y/o adoptan las unidades de planificación rural de acuerdo con las disposiciones contenidas en el presente decreto, en el trámite de estudio y expedición de licencias deberá verificarse que los proyectos de parcelación </w:t>
      </w:r>
      <w:r w:rsidRPr="009342F9">
        <w:rPr>
          <w:rFonts w:ascii="Arial" w:eastAsia="Times New Roman" w:hAnsi="Arial" w:cs="Arial"/>
          <w:color w:val="000000"/>
          <w:lang w:eastAsia="es-CO"/>
        </w:rPr>
        <w:lastRenderedPageBreak/>
        <w:t>y edificación en suelo rural y rural suburbano se ajusten a lo dispuesto en el presente decreto en lo relativo a: </w:t>
      </w:r>
    </w:p>
    <w:p w14:paraId="2F27463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0BCE8B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La extensión de la unidad mínima de actuación prevista en el presente decreto. </w:t>
      </w:r>
    </w:p>
    <w:p w14:paraId="3A37CA2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953440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La demarcación de la franja de aislamiento y la calzada de desaceleración de que trata este Decreto. </w:t>
      </w:r>
    </w:p>
    <w:p w14:paraId="5A65EF8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3A1E05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Las normas aplicables para el desarrollo de usos industriales, comerciales y de servicios de que trata este decreto, y </w:t>
      </w:r>
    </w:p>
    <w:p w14:paraId="4429019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42FB5D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Las demás disposiciones previstas en el presente decreto, y en las demás normas que los modifiquen, complementen o sustituyan. </w:t>
      </w:r>
    </w:p>
    <w:p w14:paraId="656079E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130BF8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1°. Las solicitudes de licencia de parcelación y/o construcción radicadas en legal y debida forma antes de la promulgación del presente decreto se resolverán con base en las normas vigentes al momento de la radicación de la solicitud. </w:t>
      </w:r>
    </w:p>
    <w:p w14:paraId="06304B2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5BFD7F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2°. Los titulares de licencias de parcelación en suelo rural y rural suburbano otorgadas antes de la entrada en vigencia del presente decreto o en virtud de lo dispuesto en el parágrafo anterior, podrán solicitar que se les expida la correspondiente licencia de construcción con fundamento en las normas urbanísticas y reglamentaciones que sirvieron de base para la expedición de la licencia de parcelación, siempre y cuando se presente alguna de las condiciones de que trata el parágrafo 4 del artículo 2.2.6.1.1.7 del presente decreto. </w:t>
      </w:r>
    </w:p>
    <w:p w14:paraId="564BDCEA" w14:textId="1ABAF99B"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360" w:name="ver_30074107"/>
      <w:bookmarkEnd w:id="1360"/>
    </w:p>
    <w:p w14:paraId="3766E21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2.2.6.2.8 Licencias de ampliación de edificaciones existentes. Sin perjuicio de lo dispuesto en la Ley 1228 de 2008, y tratándose de predios ubicados sobre corredores viales suburbanos, el otorgamiento de licencias de ampliación de edificaciones existentes deberá respetar la franja de aislamiento y la calzada de desaceleración de que trata el presente decreto. </w:t>
      </w:r>
    </w:p>
    <w:p w14:paraId="729AF440" w14:textId="2E2FDBF3"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361" w:name="ver_30074110"/>
      <w:bookmarkEnd w:id="1361"/>
    </w:p>
    <w:p w14:paraId="3D9941A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2.2.6.2.9 Obligación de suministrar la información de licencias. Con el fin de facilitar las funciones de evaluación, prevención y control de los factores de deterioro ambiental, los curadores urbanos o las entidades municipales encargadas de la expedición de licencias remitirán a la Corporación Autónoma Regional o autoridad ambiental correspondiente, dentro de los primeros dos (2) días hábiles de cada mes, la información de la totalidad de las licencias de parcelación y construcción en suelo rural y rural suburbano que hayan otorgado durante el mes inmediatamente anterior. </w:t>
      </w:r>
    </w:p>
    <w:p w14:paraId="5BFDE3F1" w14:textId="77777777" w:rsidR="00ED3B66" w:rsidRDefault="00FC79C1" w:rsidP="00ED3B66">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362" w:name="ver_30074112"/>
      <w:bookmarkEnd w:id="1362"/>
    </w:p>
    <w:p w14:paraId="1F84D97B" w14:textId="45E0F754" w:rsidR="00FC79C1" w:rsidRPr="009342F9" w:rsidRDefault="00FC79C1" w:rsidP="00ED3B66">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CAPÍTULO 3</w:t>
      </w:r>
    </w:p>
    <w:p w14:paraId="4697F86F" w14:textId="77777777" w:rsidR="00FC79C1" w:rsidRPr="009342F9" w:rsidRDefault="00FC79C1" w:rsidP="00D4095E">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LICENCIAS URBANÍSTICAS CON POSTERIORIDAD A LA DECLARATORIA DE SITUACIÓN DE DESASTRE O CALAMIDAD PÚBLICA</w:t>
      </w:r>
    </w:p>
    <w:p w14:paraId="4F228F5E"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363" w:name="ver_30074114"/>
      <w:bookmarkEnd w:id="1363"/>
    </w:p>
    <w:p w14:paraId="7BE2E93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2.2.6.3.1 Objeto. Este capítulo constituye un régimen especial que se aplica para la expedición de licencias de urbanismo y construcción por parte de los curadores urbanos o las autoridades municipales o distritales competentes; únicamente para aquellos proyectos inmobiliarios que se pretendan desarrollar con posterioridad a la declaración de situación de desastre o calamidad pública y mientras tal declaratoria subsista. Por tanto, sustituye lo referente a los requisitos y procedimientos generales de las normas existentes para las licencias de construcción y urbanismo. </w:t>
      </w:r>
    </w:p>
    <w:p w14:paraId="4B196AD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924E38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xml:space="preserve">Parágrafo. No </w:t>
      </w:r>
      <w:proofErr w:type="gramStart"/>
      <w:r w:rsidRPr="009342F9">
        <w:rPr>
          <w:rFonts w:ascii="Arial" w:eastAsia="Times New Roman" w:hAnsi="Arial" w:cs="Arial"/>
          <w:color w:val="000000"/>
          <w:lang w:eastAsia="es-CO"/>
        </w:rPr>
        <w:t>obstante</w:t>
      </w:r>
      <w:proofErr w:type="gramEnd"/>
      <w:r w:rsidRPr="009342F9">
        <w:rPr>
          <w:rFonts w:ascii="Arial" w:eastAsia="Times New Roman" w:hAnsi="Arial" w:cs="Arial"/>
          <w:color w:val="000000"/>
          <w:lang w:eastAsia="es-CO"/>
        </w:rPr>
        <w:t xml:space="preserve"> lo establecido en el presente artículo, en lo no contemplado por este capítulo y que sea compatible, se aplicará lo dispuesto en el Capítulo 1 del Título 6 de la Parte 2 del Libro 2 del presente decreto y las normas que lo adicionasen, modifiquen o sustituyan. </w:t>
      </w:r>
    </w:p>
    <w:p w14:paraId="2E83E6AB" w14:textId="2DB0F735"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364" w:name="ver_30074117"/>
      <w:bookmarkEnd w:id="1364"/>
    </w:p>
    <w:p w14:paraId="1534E72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2.2.6.3.2 Declaratoria de situación de desastre o calamidad pública previa. Siempre que medie la declaratoria de situación de desastre o calamidad pública, podrán otorgarse licencias de construcción para la adecuación, reparación y/o reconstrucción de edificaciones a su estado original, en todo, de conformidad con lo previsto en el presente Capítulo. </w:t>
      </w:r>
    </w:p>
    <w:p w14:paraId="219F5A98" w14:textId="29C47061"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365" w:name="ver_30074120"/>
      <w:bookmarkEnd w:id="1365"/>
    </w:p>
    <w:p w14:paraId="79634CE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2.2.6.3.3 Excepciones. No procederá el otorgamiento de licencias de construcción para la adecuación, reparación y/o reconstrucción de edificaciones a su estado original, cuando estas o parte de ellas encuentren localizadas en: </w:t>
      </w:r>
    </w:p>
    <w:p w14:paraId="718A82B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9C5EB9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Áreas o zonas de protección ambiental y en suelo clasificado como de protección por el plan de ordenamiento territorial o en los instrumentos que lo desarrollen y complementen. </w:t>
      </w:r>
    </w:p>
    <w:p w14:paraId="68ECE25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2B40A8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Zonas declaradas como de alto riesgo no mitigable identificadas en el plan de ordenamiento territorial y en los instrumentos que lo desarrollen y complementen. </w:t>
      </w:r>
    </w:p>
    <w:p w14:paraId="3005D97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B74183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Inmuebles afectados en los términos del artículo 37 de la Ley 9 de 1989 o la norma que lo adicione, modifique o sustituya. </w:t>
      </w:r>
    </w:p>
    <w:p w14:paraId="1F83EC0B" w14:textId="6AAD33C8"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366" w:name="ver_30074124"/>
      <w:bookmarkEnd w:id="1366"/>
    </w:p>
    <w:p w14:paraId="23032D4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2.2.6.3.4 Indemnización de las obras. En todos los casos en que no se haya registrado la afectación en los términos artículo 37 de la Ley 9a de 1989 o la norma que lo adicione, modifique o sustituya, procederá la indemnización de las obras de adecuación, reparación o reconstrucción que se hayan autorizado por medio de la respectiva licencia de construcción, dando cumplimiento al artículo precedente. </w:t>
      </w:r>
    </w:p>
    <w:p w14:paraId="6589CF71" w14:textId="5F093B38"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367" w:name="ver_30074125"/>
      <w:bookmarkEnd w:id="1367"/>
    </w:p>
    <w:p w14:paraId="72E80CF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2.2.6.3.5 Evaluación de edificaciones. Con posterioridad a la declaratoria de situación de desastre o calamidad pública, la autoridad municipal, distrital, departamental o nacional competente, adelantará un inventario y diagnóstico de los inmuebles afectados. Con base en el resultado obtenido, se podrá evaluar con el apoyo de gremios, asociaciones profesionales o comisiones técnicas, el grado de afectación de cada uno de los inmuebles y con la debida sustentación se establecerán: </w:t>
      </w:r>
    </w:p>
    <w:p w14:paraId="4B468E0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CC2F61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Las edificaciones que hubieren sufrido daños leves, moderados o severos, y que puedan ser adecuadas a su estado original, conforme a las normas de diseño y construcción sismos resistentes vigentes. </w:t>
      </w:r>
    </w:p>
    <w:p w14:paraId="0E68750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85E53E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Las edificaciones colapsadas o las que hubieren sufrido daños severos que hagan necesaria su demolición, podrán ser construidas nuevamente, así: </w:t>
      </w:r>
    </w:p>
    <w:p w14:paraId="35C58DE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6E1873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2.1 Para construir la edificación a su estado original, cuando las normas de diseño y construcción sismo resistentes vigentes lo permitan. </w:t>
      </w:r>
    </w:p>
    <w:p w14:paraId="450E5BC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2E467C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2.2 Para construir una edificación diferente a la original con sujeción a las normas urbanísticas, de diseño y construcción sismo resistentes y al plan de ordenamiento territorial vigentes. </w:t>
      </w:r>
    </w:p>
    <w:p w14:paraId="1F6DAF0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DE198A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Edificaciones que se encuentran en zonas de alto riesgo y cuyos habitantes deben ser reubicados en las áreas establecidas para este uso, según el plan de ordenamiento territorial vigente. </w:t>
      </w:r>
    </w:p>
    <w:p w14:paraId="62AA467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w:t>
      </w:r>
    </w:p>
    <w:p w14:paraId="395D159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Se entiende por “estado original” de una edificación, la construcción que mantiene las características de diseño arquitectónico, distributivo, funcional y volumétrico igual a los registrados en los planos originales o catastrales, sin embargo, ésta debe cumplir desde el punto de vista estructural con la Ley 400 de 1997, sus decretos reglamentarios y las normas que para el efecto expida el Ministerio de Vivienda, Ciudad y Territorio. </w:t>
      </w:r>
    </w:p>
    <w:p w14:paraId="7D725406" w14:textId="2E42CC6A"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368" w:name="ver_30074127"/>
      <w:bookmarkEnd w:id="1368"/>
    </w:p>
    <w:p w14:paraId="260E530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2.2.6.3.6 Licencias. Las edificaciones clasificadas dentro del inventario a que se refiere el artículo </w:t>
      </w:r>
      <w:proofErr w:type="gramStart"/>
      <w:r w:rsidRPr="009342F9">
        <w:rPr>
          <w:rFonts w:ascii="Arial" w:eastAsia="Times New Roman" w:hAnsi="Arial" w:cs="Arial"/>
          <w:color w:val="000000"/>
          <w:lang w:eastAsia="es-CO"/>
        </w:rPr>
        <w:t>anterior,</w:t>
      </w:r>
      <w:proofErr w:type="gramEnd"/>
      <w:r w:rsidRPr="009342F9">
        <w:rPr>
          <w:rFonts w:ascii="Arial" w:eastAsia="Times New Roman" w:hAnsi="Arial" w:cs="Arial"/>
          <w:color w:val="000000"/>
          <w:lang w:eastAsia="es-CO"/>
        </w:rPr>
        <w:t xml:space="preserve"> podrán ser adecuadas o construidas, previa licencia de construcción o urbanismo en cualquiera de sus modalidades, con sujeción a las normas de diseño y construcción sismo resistentes y al plan de ordenamiento territorial vigente. </w:t>
      </w:r>
    </w:p>
    <w:p w14:paraId="079C8A25" w14:textId="13D08112"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369" w:name="ver_30074130"/>
      <w:bookmarkEnd w:id="1369"/>
    </w:p>
    <w:p w14:paraId="1B6C6BC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2.2.6.3.7 Requisitos de la licencia. Para adelantar el proceso de adecuación o construcción al estado original de las edificaciones o para la construcción de nuevas edificaciones a que se refiere el presente decreto, sólo deberán presentar al momento de la solicitud de la licencia construcción o urbanismo los siguientes documentos: </w:t>
      </w:r>
    </w:p>
    <w:p w14:paraId="296FB64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DB11E8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Copia del certificado de libertad y tradición del inmueble o inmuebles objeto de la solicitud, cuya fecha de expedición no sea anterior en más de tres (3) meses a la fecha de la solicitud. </w:t>
      </w:r>
    </w:p>
    <w:p w14:paraId="4EED259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AC7F80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2. Si el solicitante de la licencia fuera una persona jurídica, deberá acreditarse la existencia y representación de </w:t>
      </w:r>
      <w:proofErr w:type="gramStart"/>
      <w:r w:rsidRPr="009342F9">
        <w:rPr>
          <w:rFonts w:ascii="Arial" w:eastAsia="Times New Roman" w:hAnsi="Arial" w:cs="Arial"/>
          <w:color w:val="000000"/>
          <w:lang w:eastAsia="es-CO"/>
        </w:rPr>
        <w:t>la misma</w:t>
      </w:r>
      <w:proofErr w:type="gramEnd"/>
      <w:r w:rsidRPr="009342F9">
        <w:rPr>
          <w:rFonts w:ascii="Arial" w:eastAsia="Times New Roman" w:hAnsi="Arial" w:cs="Arial"/>
          <w:color w:val="000000"/>
          <w:lang w:eastAsia="es-CO"/>
        </w:rPr>
        <w:t xml:space="preserve"> mediante el documento legal idóneo. </w:t>
      </w:r>
    </w:p>
    <w:p w14:paraId="648427F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CFF45A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Plano de localización e identificación del predio o predios objeto de la solicitud. </w:t>
      </w:r>
    </w:p>
    <w:p w14:paraId="2820776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09192C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La manifestación escrita de si la destinación del inmueble es para vivienda de interés social, de lo cual se dejará constancia en el acto que resuelva la licencia. </w:t>
      </w:r>
    </w:p>
    <w:p w14:paraId="6BB9508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F545D7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Cuando se trate de la solicitud de licencias de construcción para inmuebles sometidos al régimen de propiedad horizontal, el solicitante deberá acompañar además de los documentos señalados en este artículo, copia del acta de la asamblea general de copropietarios, donde conste la autorización para ejecutar las obras solicitadas, expedida conforme a la ley y reglamento de propiedad horizontal. </w:t>
      </w:r>
    </w:p>
    <w:p w14:paraId="0A30AF03" w14:textId="22A55E2C"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370" w:name="ver_30074132"/>
      <w:bookmarkEnd w:id="1370"/>
    </w:p>
    <w:p w14:paraId="08B6C01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2.2.6.3.8 Documentos para la licencia de construcción. Para las solicitudes de licencia de construcción, además de los documentos señalados en el artículo anterior, deberá acreditarse el cumplimiento de los siguientes requisitos: </w:t>
      </w:r>
    </w:p>
    <w:p w14:paraId="65F3D61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669493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Para adecuar el inmueble. </w:t>
      </w:r>
    </w:p>
    <w:p w14:paraId="202A651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574562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1.1 Sobre los daños estructurales. Debe presentarse una memoria acerca de la estructura de la edificación, la cual debe contener como mínimo: </w:t>
      </w:r>
    </w:p>
    <w:p w14:paraId="2B1AF91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4D344D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1.1.1 Una descripción técnica de los daños estructurales causados, para cuyo efecto, pueden emplearse fotografías y otros elementos gráficos. </w:t>
      </w:r>
    </w:p>
    <w:p w14:paraId="7804E99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F82E90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1.1.2 Un concepto técnico que declare la causa del mal comportamiento estructural. </w:t>
      </w:r>
    </w:p>
    <w:p w14:paraId="0C3285F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94B09A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1.2 Sobre los daños en los elementos no estructurales. Debe presentarse una memoria de los elementos no estructurales, previstos en la Ley 400 de 1997 y sus reglamentos, la cual debe contener como mínimo: </w:t>
      </w:r>
    </w:p>
    <w:p w14:paraId="1EBE6E9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w:t>
      </w:r>
    </w:p>
    <w:p w14:paraId="0AA45FC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1.2.1 Una descripción técnica de los daños que se presentaron en los elementos no estructurales de la edificación, para cuyo efecto, pueden emplearse fotografías y otros elementos gráficos. </w:t>
      </w:r>
    </w:p>
    <w:p w14:paraId="5EFC455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EFCFCD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1.2.2 Un concepto técnico que declare la causa del mal comportamiento de estos elementos. </w:t>
      </w:r>
    </w:p>
    <w:p w14:paraId="1A7C7C9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4C4F82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1.3 Proyecto de adecuación Debe presentarse una propuesta general del enfoque y alcance de la adecuación, la cual debe ajustarse a la reglamentación urbana, de diseño y construcción sismo resistente vigente, y ser consecuente con lo indicado en los numerales anteriores, respecto a la estructura y a los elementos no estructurales, e incluir la respectiva programación de obra. </w:t>
      </w:r>
    </w:p>
    <w:p w14:paraId="0370288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0CFF71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1.4 Constancia de adecuación. Una vez realizada la adecuación, los responsables de los diseños y de las obras, deberán presentar ante la entidad municipal o distrital encargada del control posterior de obra, un informe detallado y gráfico donde consten las obras efectivamente ejecutadas y su concordancia con las normas de diseño y construcción sismo resistentes y urbanas vigentes. </w:t>
      </w:r>
    </w:p>
    <w:p w14:paraId="4547401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97198A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Para la construcción de inmuebles nuevos en el mismo predio de los que colapsaron o fueron demolidos. </w:t>
      </w:r>
    </w:p>
    <w:p w14:paraId="75FB1B9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D5F05B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2.1 Tres (3) juegos de la memoria de los cálculos estructurales, de los diseños estructurales, de las memorias de otros diseños no estructurales y de los estudios geotécnicos y de suelos que sirvan para determinar la estabilidad de la obra, elaborados de conformidad con las normas de diseño y construcción sismo resistentes vigentes al momento de la solicitud, debidamente firmados o rotulados con un sello seco por los profesionales facultados para ese fin, quienes se harán responsables legalmente de los diseños y de la información contenidos en ellos. </w:t>
      </w:r>
    </w:p>
    <w:p w14:paraId="016A1ED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F2EA34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2.2 Tres (3) copias del proyecto arquitectónico que bien puede corresponder al proyecto arquitectónico en estado original o un nuevo proyecto, ambos debidamente firmados por un arquitecto. </w:t>
      </w:r>
    </w:p>
    <w:p w14:paraId="1B3BC8D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F93EB4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Para las edificaciones nuevas en predios diferentes, cuyo propósito es la reubicación. Para el caso del literal 3 del artículo 2.2.6.3. de este Capítulo, se exigirán los mismos requisitos de las disposiciones generales para licencias de construcción y urbanismo y estarán sujetas a las normas de diseño y construcción sismo resistentes y a los lineamientos del respectivo plan de ordenamiento territorial vigente. </w:t>
      </w:r>
    </w:p>
    <w:p w14:paraId="77A7DE18" w14:textId="10B29576"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371" w:name="ver_30074135"/>
      <w:bookmarkEnd w:id="1371"/>
    </w:p>
    <w:p w14:paraId="7E00379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2.2.6.3.9 Solicitud de licencias. La solicitud de licencia de construcción para los casos contemplados en el presente decreto, podrán hacerse de manera individual o colectiva ante el curador urbano o autoridad distrital o municipal competente, a través de organizaciones civiles sin ánimo de lucro o asociaciones profesionales. Estas deben contar con un diseñador estructural y un diseñador de elementos no estructurales cuando el alcance de la reparación cubra estos elementos, y quienes deben cumplir los requisitos de idoneidad y experiencia que exige la Ley 400 de 1997. </w:t>
      </w:r>
    </w:p>
    <w:p w14:paraId="6961022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99C86D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Para las situaciones especiales contempladas en el presente Título, las sociedades o asociaciones profesionales o civiles sin ánimo de lucro de reconocida prestancia, o las universidades que tengan programas académicos de pregrado o posgrado en ingeniería civil y arquitectura, podrán recibir por encargo la elaboración de los diseños y proyectos. Para este fin actuarán los profesionales que cumplan los requisitos de idoneidad y experiencia que exige la Ley 400 de 1997. </w:t>
      </w:r>
    </w:p>
    <w:p w14:paraId="34FB103B" w14:textId="40BB2162"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w:t>
      </w:r>
      <w:bookmarkStart w:id="1372" w:name="ver_30074138"/>
      <w:bookmarkEnd w:id="1372"/>
    </w:p>
    <w:p w14:paraId="1EAA789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2.2.6.3.10 Remuneración de los curadores urbanos. Para los procesos de adecuación y construcción de edificaciones al estado original, y la construcción de edificaciones nuevas en programas de reubicación, según lo establece el Título, se dispone que el valor de las expensas causadas ante los curadores </w:t>
      </w:r>
      <w:proofErr w:type="gramStart"/>
      <w:r w:rsidRPr="009342F9">
        <w:rPr>
          <w:rFonts w:ascii="Arial" w:eastAsia="Times New Roman" w:hAnsi="Arial" w:cs="Arial"/>
          <w:color w:val="000000"/>
          <w:lang w:eastAsia="es-CO"/>
        </w:rPr>
        <w:t>urbanos,</w:t>
      </w:r>
      <w:proofErr w:type="gramEnd"/>
      <w:r w:rsidRPr="009342F9">
        <w:rPr>
          <w:rFonts w:ascii="Arial" w:eastAsia="Times New Roman" w:hAnsi="Arial" w:cs="Arial"/>
          <w:color w:val="000000"/>
          <w:lang w:eastAsia="es-CO"/>
        </w:rPr>
        <w:t xml:space="preserve"> sea de un cincuenta por ciento (50%) del valor de las tarifas vigentes, al momento de la solicitud de la licencia y de tal situación debe informarse al Ministerio de Vivienda, Ciudad y Territorio. </w:t>
      </w:r>
    </w:p>
    <w:p w14:paraId="594F41AF" w14:textId="473179B7" w:rsidR="00D4095E"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373" w:name="ver_30074140"/>
      <w:bookmarkEnd w:id="1373"/>
    </w:p>
    <w:p w14:paraId="7A9E1A71" w14:textId="4990F68C" w:rsidR="00FC79C1" w:rsidRPr="009342F9" w:rsidRDefault="00FC79C1" w:rsidP="00D4095E">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CAPÍTULO 4</w:t>
      </w:r>
    </w:p>
    <w:p w14:paraId="1E696C0C" w14:textId="77777777" w:rsidR="00FC79C1" w:rsidRDefault="00FC79C1" w:rsidP="00D4095E">
      <w:pPr>
        <w:spacing w:after="0" w:line="240" w:lineRule="auto"/>
        <w:jc w:val="center"/>
        <w:rPr>
          <w:rFonts w:ascii="Arial" w:eastAsia="Times New Roman" w:hAnsi="Arial" w:cs="Arial"/>
          <w:b/>
          <w:bCs/>
          <w:color w:val="000000"/>
          <w:lang w:eastAsia="es-CO"/>
        </w:rPr>
      </w:pPr>
      <w:r w:rsidRPr="231E957E">
        <w:rPr>
          <w:rFonts w:ascii="Arial" w:eastAsia="Times New Roman" w:hAnsi="Arial" w:cs="Arial"/>
          <w:b/>
          <w:color w:val="000000" w:themeColor="text1"/>
          <w:lang w:eastAsia="es-CO"/>
        </w:rPr>
        <w:t>RECONOCIMIENTO DE EXISTENCIA DE EDIFICACIONES</w:t>
      </w:r>
    </w:p>
    <w:p w14:paraId="7939B99A" w14:textId="77777777" w:rsidR="005C5EEB" w:rsidRPr="009342F9" w:rsidRDefault="005C5EEB" w:rsidP="00D4095E">
      <w:pPr>
        <w:spacing w:after="0" w:line="240" w:lineRule="auto"/>
        <w:jc w:val="center"/>
        <w:rPr>
          <w:rFonts w:ascii="Arial" w:eastAsia="Times New Roman" w:hAnsi="Arial" w:cs="Arial"/>
          <w:b/>
          <w:bCs/>
          <w:color w:val="000000"/>
          <w:lang w:eastAsia="es-CO"/>
        </w:rPr>
      </w:pPr>
    </w:p>
    <w:p w14:paraId="4D62B9BD" w14:textId="3692543D" w:rsidR="00FC79C1" w:rsidRPr="009342F9" w:rsidRDefault="00FC79C1" w:rsidP="00D4095E">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SECCIÓN 1</w:t>
      </w:r>
    </w:p>
    <w:p w14:paraId="5F7C5609" w14:textId="77777777" w:rsidR="00FC79C1" w:rsidRPr="009342F9" w:rsidRDefault="00FC79C1" w:rsidP="00D4095E">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DISPOSICIONES GENERALES</w:t>
      </w:r>
    </w:p>
    <w:p w14:paraId="3FFD70F6"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374" w:name="ver_30074141"/>
      <w:bookmarkEnd w:id="1374"/>
    </w:p>
    <w:p w14:paraId="78E3511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2.2.6.4.1.1 Reconocimiento de la existencia de edificaciones. El reconocimiento de edificaciones es la actuación por medio de la cual el curador urbano o la autoridad municipal o distrital competente para expedir licencias de construcción, declara la existencia de los desarrollos arquitectónicos que se ejecutaron sin obtener tales licencias siempre y cuando cumplan con el uso previsto por las normas urbanísticas vigentes y que la edificación se haya concluido como mínimo cinco (5) años antes de la solicitud de reconocimiento. Este término no aplicará en aquellos casos en que el solicitante deba obtener el reconocimiento por orden judicial o administrativa. </w:t>
      </w:r>
    </w:p>
    <w:p w14:paraId="43AB341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9F9B0D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todo caso, los planes de ordenamiento territorial o los instrumentos que lo desarrollen y complementen podrán definir las zonas del municipio o distrito en las cuales los actos de reconocimiento deban cumplir, además de las condiciones señaladas en el inciso anterior, con las normas urbanísticas que para cada caso se determine en el respectivo plan. </w:t>
      </w:r>
    </w:p>
    <w:p w14:paraId="1B011BB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490200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En los actos de reconocimiento se establecerán, si es del caso, las obligaciones para la adecuación o reforzamiento estructural de la edificación a las normas de </w:t>
      </w:r>
      <w:proofErr w:type="spellStart"/>
      <w:r w:rsidRPr="009342F9">
        <w:rPr>
          <w:rFonts w:ascii="Arial" w:eastAsia="Times New Roman" w:hAnsi="Arial" w:cs="Arial"/>
          <w:color w:val="000000"/>
          <w:lang w:eastAsia="es-CO"/>
        </w:rPr>
        <w:t>sismorresistencia</w:t>
      </w:r>
      <w:proofErr w:type="spellEnd"/>
      <w:r w:rsidRPr="009342F9">
        <w:rPr>
          <w:rFonts w:ascii="Arial" w:eastAsia="Times New Roman" w:hAnsi="Arial" w:cs="Arial"/>
          <w:color w:val="000000"/>
          <w:lang w:eastAsia="es-CO"/>
        </w:rPr>
        <w:t xml:space="preserve"> que les sean aplicables en los términos de la Ley 400 de 1997, sus decretos reglamentarios, o las normas que los adicionen, modifiquen o sustituyan y el Reglamento Colombiano de Construcción Sismorresistente –NSR– 10, y la norma que lo adicione, modifique o sustituya. </w:t>
      </w:r>
    </w:p>
    <w:p w14:paraId="7828A3D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A23963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Igualmente se podrán expedir actos de reconocimiento a los predios que construyeron en contravención de la licencia y están en la obligación de adecuarse al cumplimiento de las normas urbanísticas, según lo determine el acto que imponga la sanción. </w:t>
      </w:r>
    </w:p>
    <w:p w14:paraId="5246FE6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89B366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1°. El reconocimiento se otorgará sin perjuicio de las acciones penales, civiles y administrativas a que haya lugar. </w:t>
      </w:r>
    </w:p>
    <w:p w14:paraId="4583A81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6D593C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Los curadores urbanos deberán informar a las autoridades que ejerzan el control urbanístico de las solicitudes de reconocimiento de construcciones que les sean presentadas, a fin de que ellas adelanten los procedimientos e impongan las sanciones del caso. </w:t>
      </w:r>
    </w:p>
    <w:p w14:paraId="2A928C4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31BB9C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2°. Las construcciones declaradas Monumentos Nacionales y los bienes de interés cultural del ámbito municipal, distrital, departamental o nacional, se entenderán reconocidos con la expedición del acto administrativo que haga su declaratoria. En estos casos, el trámite de las solicitudes de licencias urbanísticas se sujetará a lo dispuesto en el presente decreto. </w:t>
      </w:r>
    </w:p>
    <w:p w14:paraId="69B4216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E713E4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Parágrafo 3°. Los municipios, distritos y el Departamento Archipiélago de San Andrés, Providencia y Santa Catalina establecerán las condiciones para el reconocimiento de las edificaciones públicas con uso dotacional ubicadas en zonas de cesión pública obligatoria, que se destinen a salud, educación, bienestar social, seguridad ciudadana y defensa y justicia de las entidades del nivel central o descentralizado de la Rama Ejecutiva del orden nacional, departamental, municipal y distrital. Estas normas también se aplicarán para el reconocimiento de equipamientos destinados a la práctica de los diferentes cultos y a los equipamientos de congregaciones religiosas. </w:t>
      </w:r>
    </w:p>
    <w:p w14:paraId="196F4B4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DA733E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4°. En los municipios y distritos que cuenten con la figura del curador urbano, las solicitudes de reconocimiento también podrán ser tramitadas ante la oficina de planeación o la dependencia que haga sus veces, cuando así lo determine el alcalde mediante acto administrativo. </w:t>
      </w:r>
    </w:p>
    <w:p w14:paraId="4450B8B7" w14:textId="0CFCDAF2"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375" w:name="ver_30074143"/>
      <w:bookmarkEnd w:id="1375"/>
    </w:p>
    <w:p w14:paraId="67CB249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2.2.6.4.1.2 Situaciones en las que no procede el reconocimiento de edificaciones. No procederá el reconocimiento de edificaciones o la parte de ellas que se encuentren localizados en: </w:t>
      </w:r>
    </w:p>
    <w:p w14:paraId="7748769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1FAA41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Las áreas o zonas de protección ambiental y el suelo clasificado como de protección en el Plan de Ordenamiento Territorial o en los instrumentos que lo desarrollen y complementen, salvo que se trate de zonas sometidas a medidas de manejo especial ambiental para la armonización y/o normalización de las edificaciones preexistentes a su interior. </w:t>
      </w:r>
    </w:p>
    <w:p w14:paraId="7775344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664988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Las zonas declaradas como de alto riesgo no mitigable identificadas en el Plan de Ordenamiento Territorial o los instrumentos que lo desarrollen y complementen. </w:t>
      </w:r>
    </w:p>
    <w:p w14:paraId="3C3B9CF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600FB6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Los inmuebles de propiedad privada afectados en los términos del Artículo 37 de la Ley 9ª de 1989 o la norma que lo adicione, modifique o sustituya, o que ocupen total o parcialmente el espacio público. </w:t>
      </w:r>
    </w:p>
    <w:p w14:paraId="67013C8C" w14:textId="4B2680D8" w:rsidR="00D4095E"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376" w:name="ver_30074144"/>
      <w:bookmarkEnd w:id="1376"/>
    </w:p>
    <w:p w14:paraId="0286AACF" w14:textId="26B6756A" w:rsidR="00FC79C1" w:rsidRPr="009342F9" w:rsidRDefault="00FC79C1" w:rsidP="00D4095E">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SECCIÓN 2</w:t>
      </w:r>
    </w:p>
    <w:p w14:paraId="035371EA" w14:textId="77777777" w:rsidR="00FC79C1" w:rsidRPr="009342F9" w:rsidRDefault="00FC79C1" w:rsidP="00D4095E">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PROCEDIMIENTO PARA EL RECONOCIMIENTO</w:t>
      </w:r>
    </w:p>
    <w:p w14:paraId="3345BFA7"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377" w:name="ver_30074146"/>
      <w:bookmarkEnd w:id="1377"/>
    </w:p>
    <w:p w14:paraId="15D6498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2.2.6.4.2.1 Titulares del acto de reconocimiento. Podrán ser titulares del acto de reconocimiento las mismas personas que pueden ser titulares de las licencias de construcción, según lo dispuesto en el artículo 2.2.6.1.2.1.5 del presente Decreto. </w:t>
      </w:r>
    </w:p>
    <w:p w14:paraId="6F37347E" w14:textId="26FF5425"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378" w:name="ver_30074148"/>
      <w:bookmarkEnd w:id="1378"/>
    </w:p>
    <w:p w14:paraId="33E5AAD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2.2.6.4.2.2 Requisitos para el reconocimiento. Además de los documentos señalados en el artículo 2.2.6.1.2.1.7 del presente Decreto, la solicitud de reconocimiento se acompañará de los siguientes documentos: </w:t>
      </w:r>
    </w:p>
    <w:p w14:paraId="0CD85F5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3CD4C0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El formulario único nacional para la solicitud de licencias adoptado mediante la Resolución 0931 de 2012 del Ministerio de Vivienda, Ciudad y Territorio o la norma que la adicione, modifique o sustituya, debidamente diligenciado por el solicitante. </w:t>
      </w:r>
    </w:p>
    <w:p w14:paraId="55EAFC8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2E6287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Levantamiento arquitectónico de la construcción, debidamente firmado por un arquitecto quien se hará responsable legalmente de la veracidad de la información contenida en este. </w:t>
      </w:r>
    </w:p>
    <w:p w14:paraId="42AB7F9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84B020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3. Copia de un peritaje técnico que sirva para determinar la estabilidad de la construcción y las intervenciones y obras a realizar que lleven progresiva o definitivamente a disminuir la vulnerabilidad sísmica de la edificación, cuando a ello hubiere lugar. El peritaje técnico estará </w:t>
      </w:r>
      <w:r w:rsidRPr="009342F9">
        <w:rPr>
          <w:rFonts w:ascii="Arial" w:eastAsia="Times New Roman" w:hAnsi="Arial" w:cs="Arial"/>
          <w:color w:val="000000"/>
          <w:lang w:eastAsia="es-CO"/>
        </w:rPr>
        <w:lastRenderedPageBreak/>
        <w:t>debidamente firmado por un profesional matriculado y facultado para este fin, quien se hará responsable legalmente de los resultados del estudio técnico. </w:t>
      </w:r>
    </w:p>
    <w:p w14:paraId="00997A2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AF0A33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La declaración de la antigüedad de la construcción. Esta declaración se hará bajo la gravedad de juramento que se entenderá prestada por la presentación de la solicitud. </w:t>
      </w:r>
    </w:p>
    <w:p w14:paraId="27D3DAAB" w14:textId="18AC22FC"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379" w:name="ver_30125200"/>
      <w:bookmarkStart w:id="1380" w:name="ver_30125199"/>
      <w:bookmarkEnd w:id="1379"/>
    </w:p>
    <w:p w14:paraId="05789BAB" w14:textId="1C486ADF"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2.2.6.4.2.3.</w:t>
      </w:r>
      <w:r w:rsidR="00DE4105">
        <w:rPr>
          <w:rFonts w:ascii="Arial" w:eastAsia="Times New Roman" w:hAnsi="Arial" w:cs="Arial"/>
          <w:color w:val="000000"/>
          <w:lang w:eastAsia="es-CO"/>
        </w:rPr>
        <w:t xml:space="preserve"> </w:t>
      </w:r>
      <w:r w:rsidRPr="009342F9">
        <w:rPr>
          <w:rFonts w:ascii="Arial" w:eastAsia="Times New Roman" w:hAnsi="Arial" w:cs="Arial"/>
          <w:color w:val="000000"/>
          <w:lang w:eastAsia="es-CO"/>
        </w:rPr>
        <w:t>Alcance del peritaje técnico. El peritaje técnico de que trata el numeral 3 del artículo anterior deberá realizarse siguiendo los lineamientos previstos en el Reglamento Colombiano de Construcción Sismorresistente NSR-10 o la norma que lo adicione, modifique o sustituya.  </w:t>
      </w:r>
    </w:p>
    <w:p w14:paraId="17D12C8B"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381" w:name="ver_30125208"/>
      <w:bookmarkStart w:id="1382" w:name="ver_30125207"/>
      <w:bookmarkEnd w:id="1380"/>
      <w:bookmarkEnd w:id="1381"/>
    </w:p>
    <w:p w14:paraId="4EA699C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2.2.6.4.2.4. Peritaje técnico para el reconocimiento de la existencia de la edificación en proyectos de mejoramiento de vivienda de interés social. En los proyectos de vivienda de interés social en la modalidad de mejoramiento, el peritaje técnico de que trata numeral 3 del artículo 2.2.6.4.2.2 del presente decreto, cuando se trate de viviendas unifamiliares de un solo piso con deficiencias en la estructura principal, cimientos, muros o cubiertas de conformidad con lo establecido en el presente decreto en materia de subsidio familiar de vivienda se sujetará a la verificación del Capítulo A-10 del Reglamento Colombiano de Construcción Sismorresistente NSR-10 o la norma que lo adicione, modifique o sustituya. </w:t>
      </w:r>
    </w:p>
    <w:p w14:paraId="6866337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3D25E9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1°. El profesional calificado que realice el peritaje técnico deberá reunir las calidades que se indican en el Título VI de la Ley 400 de 1997 y sus decretos reglamentarios, o las normas que los adicionen, modifiquen o sustituyan. Dicho profesional dejará constancia en el formulario, del cumplimiento de los requisitos que permitan determinar que la edificación es segura o habitable dentro del alcance definido en el presente artículo, así como sobre los elementos existentes de resistencia sísmica y su ponderación relativa correspondiente, para compararla con el mínimo requerido según la zona sísmica aplicable, de conformidad con la normatividad vigente sobre la materia. </w:t>
      </w:r>
    </w:p>
    <w:p w14:paraId="2882827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1D40C5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dicho formulario se señalarán las obras de mejoramiento que se deben realizar en el inmueble para llevar la edificación al nivel mínimo de seguridad y estabilidad indicada. </w:t>
      </w:r>
    </w:p>
    <w:p w14:paraId="2EEB0C4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A43A88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2º. El peritaje técnico para el reconocimiento de la existencia de edificaciones de proyectos de mejoramiento para viviendas de dos pisos o más y de un solo piso que no cumplan con las condiciones de que trata este artículo, no se sujetará a lo dispuesto en el mismo. </w:t>
      </w:r>
    </w:p>
    <w:p w14:paraId="4E150B9A" w14:textId="79FF2C49"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2F2BB1C"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383" w:name="ver_30074155"/>
      <w:bookmarkEnd w:id="1382"/>
      <w:bookmarkEnd w:id="1383"/>
      <w:r w:rsidRPr="009342F9">
        <w:rPr>
          <w:rFonts w:ascii="Arial" w:eastAsia="Times New Roman" w:hAnsi="Arial" w:cs="Arial"/>
          <w:color w:val="000000"/>
          <w:lang w:eastAsia="es-CO"/>
        </w:rPr>
        <w:t xml:space="preserve">Artículo 2.2.6.4.2.5 Términos para resolver las solicitudes de reconocimiento. El término para resolver las solicitudes de </w:t>
      </w:r>
      <w:proofErr w:type="gramStart"/>
      <w:r w:rsidRPr="009342F9">
        <w:rPr>
          <w:rFonts w:ascii="Arial" w:eastAsia="Times New Roman" w:hAnsi="Arial" w:cs="Arial"/>
          <w:color w:val="000000"/>
          <w:lang w:eastAsia="es-CO"/>
        </w:rPr>
        <w:t>reconocimiento,</w:t>
      </w:r>
      <w:proofErr w:type="gramEnd"/>
      <w:r w:rsidRPr="009342F9">
        <w:rPr>
          <w:rFonts w:ascii="Arial" w:eastAsia="Times New Roman" w:hAnsi="Arial" w:cs="Arial"/>
          <w:color w:val="000000"/>
          <w:lang w:eastAsia="es-CO"/>
        </w:rPr>
        <w:t xml:space="preserve"> será el previsto en este decreto para la expedición de las licencias urbanísticas. </w:t>
      </w:r>
    </w:p>
    <w:p w14:paraId="4501156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59E463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El procedimiento para resolver las solicitudes de reconocimiento, en lo que fuere aplicable, será el previsto en este decreto para la expedición de las licencias urbanísticas. </w:t>
      </w:r>
    </w:p>
    <w:p w14:paraId="22279309" w14:textId="594B95D3"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384" w:name="ver_30074157"/>
      <w:bookmarkEnd w:id="1384"/>
    </w:p>
    <w:p w14:paraId="634089D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2.2.6.4.2.6. Acto de reconocimiento de la edificación. La expedición del acto de reconocimiento de la existencia de la edificación causará los mismos gravámenes existentes para la licencia de construcción y tendrá los mismos efectos legales de una licencia de construcción. </w:t>
      </w:r>
    </w:p>
    <w:p w14:paraId="3DF531E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288769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1°. Para efectos de la declaratoria de elegibilidad de los planes de vivienda de interés social en la modalidad de mejoramiento, de que trata el presente decreto en materia de subsidio familiar de vivienda, el acto de reconocimiento hará las veces de licencia de construcción. </w:t>
      </w:r>
    </w:p>
    <w:p w14:paraId="483A222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93CD47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xml:space="preserve">Parágrafo 2°. Cuando fuere necesario adecuar la edificación al cumplimiento de las normas de </w:t>
      </w:r>
      <w:proofErr w:type="spellStart"/>
      <w:r w:rsidRPr="009342F9">
        <w:rPr>
          <w:rFonts w:ascii="Arial" w:eastAsia="Times New Roman" w:hAnsi="Arial" w:cs="Arial"/>
          <w:color w:val="000000"/>
          <w:lang w:eastAsia="es-CO"/>
        </w:rPr>
        <w:t>sismorresistencia</w:t>
      </w:r>
      <w:proofErr w:type="spellEnd"/>
      <w:r w:rsidRPr="009342F9">
        <w:rPr>
          <w:rFonts w:ascii="Arial" w:eastAsia="Times New Roman" w:hAnsi="Arial" w:cs="Arial"/>
          <w:color w:val="000000"/>
          <w:lang w:eastAsia="es-CO"/>
        </w:rPr>
        <w:t>, el acto de reconocimiento otorgará un plazo máximo de veinticuatro (24) meses improrrogables, contados a partir de la fecha de su ejecutoria, para que el interesado ejecute las obras de reforzamiento. Este mismo término se aplicará al acto que resuelva conjuntamente las solicitudes de reconocimiento y de licencia de construcción. </w:t>
      </w:r>
    </w:p>
    <w:p w14:paraId="2DB0913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9C06BC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Tratándose de programas de legalización y regularización urbanística de asentamientos de vivienda de interés social debidamente aprobados, o de programas de vivienda, los municipios y distritos podrán ampliar el plazo de que trata el inciso anterior hasta un máximo de seis (6) años, siempre y cuando se asista técnicamente al interesado en el proceso de adecuación de la edificación al cumplimiento de las normas de </w:t>
      </w:r>
      <w:proofErr w:type="spellStart"/>
      <w:r w:rsidRPr="009342F9">
        <w:rPr>
          <w:rFonts w:ascii="Arial" w:eastAsia="Times New Roman" w:hAnsi="Arial" w:cs="Arial"/>
          <w:color w:val="000000"/>
          <w:lang w:eastAsia="es-CO"/>
        </w:rPr>
        <w:t>sismorresistencia</w:t>
      </w:r>
      <w:proofErr w:type="spellEnd"/>
      <w:r w:rsidRPr="009342F9">
        <w:rPr>
          <w:rFonts w:ascii="Arial" w:eastAsia="Times New Roman" w:hAnsi="Arial" w:cs="Arial"/>
          <w:color w:val="000000"/>
          <w:lang w:eastAsia="es-CO"/>
        </w:rPr>
        <w:t xml:space="preserve"> que les sean aplicables. </w:t>
      </w:r>
    </w:p>
    <w:p w14:paraId="7DF02776" w14:textId="012C7BDC"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385" w:name="ver_30074164"/>
      <w:bookmarkEnd w:id="1385"/>
    </w:p>
    <w:p w14:paraId="0126DE4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2.2.6.4.2.7. Compensaciones. En el evento en que las normas municipales o distritales exigieran compensaciones por concepto de espacio público y estacionamientos debido al incumplimiento de las cargas urbanísticas asociadas al proceso de edificación, corresponderá a los municipios, distritos y al Departamento Archipiélago de San Andrés, Providencia y Santa Catalina establecer las condiciones para hacer efectiva la compensación, que deberá asumir el titular del acto de reconocimiento. </w:t>
      </w:r>
    </w:p>
    <w:p w14:paraId="0CEAF9A3" w14:textId="7F62617A" w:rsidR="00D4095E"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386" w:name="ver_30074169"/>
      <w:bookmarkEnd w:id="1386"/>
    </w:p>
    <w:p w14:paraId="721B8EA9" w14:textId="357CB9A7" w:rsidR="00FC79C1" w:rsidRPr="009342F9" w:rsidRDefault="00FC79C1" w:rsidP="00D4095E">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CAPÍTULO 5</w:t>
      </w:r>
    </w:p>
    <w:p w14:paraId="263CCE7A" w14:textId="77777777" w:rsidR="00FC79C1" w:rsidRPr="009342F9" w:rsidRDefault="00FC79C1" w:rsidP="00D4095E">
      <w:pPr>
        <w:spacing w:after="0" w:line="240" w:lineRule="auto"/>
        <w:jc w:val="center"/>
        <w:rPr>
          <w:rFonts w:ascii="Arial" w:eastAsia="Times New Roman" w:hAnsi="Arial" w:cs="Arial"/>
          <w:b/>
          <w:bCs/>
          <w:color w:val="000000"/>
          <w:lang w:eastAsia="es-CO"/>
        </w:rPr>
      </w:pPr>
      <w:r w:rsidRPr="231E957E">
        <w:rPr>
          <w:rFonts w:ascii="Arial" w:eastAsia="Times New Roman" w:hAnsi="Arial" w:cs="Arial"/>
          <w:b/>
          <w:color w:val="000000" w:themeColor="text1"/>
          <w:lang w:eastAsia="es-CO"/>
        </w:rPr>
        <w:t>LEGALIZACIÓN URBANÍSTICA DE ASENTAMIENTOS HUMANOS</w:t>
      </w:r>
    </w:p>
    <w:p w14:paraId="2AB60E74"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387" w:name="ver_30210392"/>
      <w:bookmarkStart w:id="1388" w:name="ver_30125263"/>
      <w:bookmarkStart w:id="1389" w:name="ver_30125270"/>
      <w:bookmarkEnd w:id="1387"/>
    </w:p>
    <w:p w14:paraId="2555541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2.2.6.5.1. Legalización urbanística. La legalización urbanística es el proceso mediante el cual la administración municipal, distrital o del Departamento Archipiélago de San Andrés, Providencia y Santa Catalina reconoce, si a ello hubiere lugar, la existencia de un asentamiento humano con condiciones de precariedad y de origen informal, conformado por viviendas de interés social y usos complementarios que la soportan, que se ha constituido sin licencia de urbanización previo a su desarrollo o que aun cuando la obtuvo, esta no se ejecutó.  </w:t>
      </w:r>
    </w:p>
    <w:p w14:paraId="5587583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450CEE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Mediante la legalización urbanística y de acuerdo con ¡as condiciones que establezca cada entidad territorial, se aprueban los planos urbanísticos y se expide la reglamentación urbanística, sin perjuicio de la responsabilidad penal, civil y administrativa de los comprometidos.  </w:t>
      </w:r>
    </w:p>
    <w:p w14:paraId="6B1DB32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D6FC7F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 legalización urbanística implica la incorporación al perímetro urbano cuando a ello hubiere lugar, sujeta a la disponibilidad técnica de servicios o a la implementación de un esquema diferencial en áreas de difícil gestión; y la regularización urbanística del asentamiento humano, entendida como la norma urbanística aplicable y las acciones de mejoramiento definidas por el municipio o distrito en la resolución de legalización.  </w:t>
      </w:r>
    </w:p>
    <w:p w14:paraId="74567FD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572DE0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 legalización urbanística no contempla el reconocimiento de los derechos de propiedad en favor de eventuales poseedores, ni la titulación de los predios ocupados por el asentamiento humano.  </w:t>
      </w:r>
    </w:p>
    <w:p w14:paraId="12BC8FA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6E0D79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El acto administrativo mediante el cual se aprueba la legalización hará las veces de licencia de urbanización, con base en el cual se tramitarán las licencias de construcción de los predios incluidos en la legalización o el reconocimiento de las edificaciones existentes. </w:t>
      </w:r>
    </w:p>
    <w:p w14:paraId="60C7649C"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390" w:name="ver_30210393"/>
      <w:bookmarkStart w:id="1391" w:name="ver_30074172"/>
      <w:bookmarkEnd w:id="1388"/>
      <w:bookmarkEnd w:id="1389"/>
      <w:bookmarkEnd w:id="1390"/>
    </w:p>
    <w:p w14:paraId="5C6BA82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2.2.6.5.2. Independencia de la legalización urbanística frente a los procesos de titulación. Los procesos de titulación previstos en el artículo 277 de la Ley 1955 de 2019 y el presente decreto, podrán adelantarse de manera independiente del proceso de legalización urbanística de asentamientos humanos de que trata este capítulo.  </w:t>
      </w:r>
    </w:p>
    <w:p w14:paraId="291E1D0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34C9F5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Parágrafo. En todo caso, para adelantar el proceso de titulación, los municipios y distritos, deberán respetar los espacios públicos, vías públicas, obras de infraestructura de servicios públicos domiciliarios y equipamientos existentes en el asentamiento humano, de acuerdo con lo previsto en el numeral 1 del artículo 2.1.2.2.2.2 del presente decreto. </w:t>
      </w:r>
    </w:p>
    <w:p w14:paraId="619F4B49"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392" w:name="ver_30210394"/>
      <w:bookmarkStart w:id="1393" w:name="ver_30074174"/>
      <w:bookmarkEnd w:id="1391"/>
      <w:bookmarkEnd w:id="1392"/>
    </w:p>
    <w:p w14:paraId="371819F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2.2.6.5.3. Improcedencia de la legalización urbanística. No procederá la legalización de asentamientos que se encuentren ubicados en suelo de protección en los términos del artículo 35 de la Ley 388 de 1997 o la norma que lo adicione, modifique o sustituya, de conformidad con el Plan de Ordenamiento Territorial o de los instrumentos que lo complementen y desarrollen. </w:t>
      </w:r>
    </w:p>
    <w:p w14:paraId="60F58A9E" w14:textId="77777777" w:rsidR="00D4095E" w:rsidRPr="009342F9" w:rsidRDefault="00D4095E" w:rsidP="00FC79C1">
      <w:pPr>
        <w:spacing w:after="0" w:line="240" w:lineRule="auto"/>
        <w:jc w:val="both"/>
        <w:rPr>
          <w:rFonts w:ascii="Arial" w:eastAsia="Times New Roman" w:hAnsi="Arial" w:cs="Arial"/>
          <w:color w:val="000000"/>
          <w:lang w:eastAsia="es-CO"/>
        </w:rPr>
      </w:pPr>
      <w:bookmarkStart w:id="1394" w:name="ver_30074175"/>
      <w:bookmarkEnd w:id="1393"/>
      <w:bookmarkEnd w:id="1394"/>
    </w:p>
    <w:p w14:paraId="06B23469" w14:textId="10151AB6" w:rsidR="00FC79C1" w:rsidRPr="00ED3B66" w:rsidRDefault="00FC79C1" w:rsidP="00ED3B66">
      <w:pPr>
        <w:spacing w:after="0" w:line="240" w:lineRule="auto"/>
        <w:jc w:val="center"/>
        <w:rPr>
          <w:rFonts w:ascii="Arial" w:eastAsia="Times New Roman" w:hAnsi="Arial" w:cs="Arial"/>
          <w:b/>
          <w:bCs/>
          <w:color w:val="000000"/>
          <w:lang w:eastAsia="es-CO"/>
        </w:rPr>
      </w:pPr>
      <w:r w:rsidRPr="00ED3B66">
        <w:rPr>
          <w:rFonts w:ascii="Arial" w:eastAsia="Times New Roman" w:hAnsi="Arial" w:cs="Arial"/>
          <w:b/>
          <w:bCs/>
          <w:color w:val="000000"/>
          <w:lang w:eastAsia="es-CO"/>
        </w:rPr>
        <w:t>SECCIÓN 1</w:t>
      </w:r>
    </w:p>
    <w:p w14:paraId="7D915484" w14:textId="77777777" w:rsidR="00FC79C1" w:rsidRPr="00ED3B66" w:rsidRDefault="00FC79C1" w:rsidP="00ED3B66">
      <w:pPr>
        <w:spacing w:after="0" w:line="240" w:lineRule="auto"/>
        <w:jc w:val="center"/>
        <w:rPr>
          <w:rFonts w:ascii="Arial" w:eastAsia="Times New Roman" w:hAnsi="Arial" w:cs="Arial"/>
          <w:b/>
          <w:bCs/>
          <w:color w:val="000000"/>
          <w:lang w:eastAsia="es-CO"/>
        </w:rPr>
      </w:pPr>
      <w:r w:rsidRPr="00ED3B66">
        <w:rPr>
          <w:rFonts w:ascii="Arial" w:eastAsia="Times New Roman" w:hAnsi="Arial" w:cs="Arial"/>
          <w:b/>
          <w:bCs/>
          <w:color w:val="000000"/>
          <w:lang w:eastAsia="es-CO"/>
        </w:rPr>
        <w:t>PROCESO DE LEGALIZACIÓN</w:t>
      </w:r>
    </w:p>
    <w:p w14:paraId="7E9D1EB9" w14:textId="47D2EE27" w:rsidR="00ED3B66" w:rsidRPr="009342F9" w:rsidRDefault="00ED3B66" w:rsidP="00FC79C1">
      <w:pPr>
        <w:spacing w:after="0" w:line="240" w:lineRule="auto"/>
        <w:jc w:val="both"/>
        <w:rPr>
          <w:rFonts w:ascii="Arial" w:eastAsia="Times New Roman" w:hAnsi="Arial" w:cs="Arial"/>
          <w:color w:val="000000"/>
          <w:lang w:eastAsia="es-CO"/>
        </w:rPr>
      </w:pPr>
      <w:bookmarkStart w:id="1395" w:name="ver_30210395"/>
      <w:bookmarkStart w:id="1396" w:name="ver_30074177"/>
      <w:bookmarkEnd w:id="1395"/>
    </w:p>
    <w:p w14:paraId="5AFE97E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2.2.6.5.1.1. Iniciativa del proceso de legalización urbanística. Sin perjuicio de lo establecido en el artículo 48 de la Ley 9ª de 1989 o la norma que lo adicione, modifique o sustituya, el proceso de legalización se podrá iniciar de oficio por la autoridad municipal o distrital facultada para el efecto o por solicitud de la parte interesada.  </w:t>
      </w:r>
    </w:p>
    <w:p w14:paraId="741578B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6C4E67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Corresponderá a la parte interesada asumir las obligaciones del proceso de legalización urbanística.  </w:t>
      </w:r>
    </w:p>
    <w:p w14:paraId="7ACB135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BB2BB6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Entiéndase por parte interesada, al urbanizador, el enajenante, la comunidad interesada o los propietarios de los terrenos.  </w:t>
      </w:r>
    </w:p>
    <w:p w14:paraId="72CCA93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085CAA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1°. Cuando la Iniciativa de la solicitud sea de oficio, la autoridad competente solicitará a los interesados en el proceso el aporte de la información y documentación de que tratan los artículos del presente capítulo.  </w:t>
      </w:r>
    </w:p>
    <w:p w14:paraId="17BB35F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412166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2°. Cuando las partes interesadas no tengan la capacidad para asumir los costos del proceso de legalización urbanística, el municipio o distrito, conforme a las metas de sus planes de desarrollo, podrán proveer los recursos requeridos para dicho trámite teniendo en cuenta su disponibilidad presupuestal. </w:t>
      </w:r>
    </w:p>
    <w:p w14:paraId="7646FD5D"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397" w:name="ver_30210396"/>
      <w:bookmarkStart w:id="1398" w:name="ver_30074181"/>
      <w:bookmarkEnd w:id="1396"/>
      <w:bookmarkEnd w:id="1397"/>
    </w:p>
    <w:p w14:paraId="1C72D3A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2.2.6.5.1.2. De la solicitud de legalización urbanística. Los interesados en que se adelante el proceso de legalización </w:t>
      </w:r>
      <w:proofErr w:type="gramStart"/>
      <w:r w:rsidRPr="009342F9">
        <w:rPr>
          <w:rFonts w:ascii="Arial" w:eastAsia="Times New Roman" w:hAnsi="Arial" w:cs="Arial"/>
          <w:color w:val="000000"/>
          <w:lang w:eastAsia="es-CO"/>
        </w:rPr>
        <w:t>urbanística,</w:t>
      </w:r>
      <w:proofErr w:type="gramEnd"/>
      <w:r w:rsidRPr="009342F9">
        <w:rPr>
          <w:rFonts w:ascii="Arial" w:eastAsia="Times New Roman" w:hAnsi="Arial" w:cs="Arial"/>
          <w:color w:val="000000"/>
          <w:lang w:eastAsia="es-CO"/>
        </w:rPr>
        <w:t xml:space="preserve"> presentarán ante la autoridad competente del municipio o distrito, una solicitud que contendrá como mínimo lo siguiente:  </w:t>
      </w:r>
    </w:p>
    <w:p w14:paraId="7C2F1CC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66F564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Nombre completo e identificación del peticionario y dirección donde recibirá noti</w:t>
      </w:r>
      <w:r w:rsidRPr="009342F9">
        <w:rPr>
          <w:rFonts w:ascii="Arial" w:eastAsia="Times New Roman" w:hAnsi="Arial" w:cs="Arial"/>
          <w:color w:val="000000"/>
          <w:lang w:eastAsia="es-CO"/>
        </w:rPr>
        <w:softHyphen/>
        <w:t>ficaciones.  </w:t>
      </w:r>
    </w:p>
    <w:p w14:paraId="684DE24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EEF44C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Nombre completo, identificación y dirección, si se conoce, del urbanizador, propie</w:t>
      </w:r>
      <w:r w:rsidRPr="009342F9">
        <w:rPr>
          <w:rFonts w:ascii="Arial" w:eastAsia="Times New Roman" w:hAnsi="Arial" w:cs="Arial"/>
          <w:color w:val="000000"/>
          <w:lang w:eastAsia="es-CO"/>
        </w:rPr>
        <w:softHyphen/>
        <w:t>tario y poseedores de los predios que conforman el asentamiento humano. </w:t>
      </w:r>
    </w:p>
    <w:p w14:paraId="2CDE2AA3"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399" w:name="ver_30210397"/>
      <w:bookmarkStart w:id="1400" w:name="ver_30074185"/>
      <w:bookmarkEnd w:id="1398"/>
      <w:bookmarkEnd w:id="1399"/>
    </w:p>
    <w:p w14:paraId="621685E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2.2.6.5.1.3. Anexos a la solicitud de legalización urbanística. A la solicitud de legalización se deberán adjuntar aquellos documentos que permitan identificar jurídica y físicamente el asentamiento, así como las condiciones de ocupación </w:t>
      </w:r>
      <w:proofErr w:type="gramStart"/>
      <w:r w:rsidRPr="009342F9">
        <w:rPr>
          <w:rFonts w:ascii="Arial" w:eastAsia="Times New Roman" w:hAnsi="Arial" w:cs="Arial"/>
          <w:color w:val="000000"/>
          <w:lang w:eastAsia="es-CO"/>
        </w:rPr>
        <w:t>del mismo</w:t>
      </w:r>
      <w:proofErr w:type="gramEnd"/>
      <w:r w:rsidRPr="009342F9">
        <w:rPr>
          <w:rFonts w:ascii="Arial" w:eastAsia="Times New Roman" w:hAnsi="Arial" w:cs="Arial"/>
          <w:color w:val="000000"/>
          <w:lang w:eastAsia="es-CO"/>
        </w:rPr>
        <w:t>. Los planos que se anexen deben estar rotulados y contener la firma, nombre, identificación y matrícula profesional vigente del arquitecto o ingeniero responsable y la parte interesada o responsable del trámite.  </w:t>
      </w:r>
    </w:p>
    <w:p w14:paraId="151BF53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C9A1F7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todo caso, a la solicitud se deberán anexar como mínimo los siguientes documentos:  </w:t>
      </w:r>
    </w:p>
    <w:p w14:paraId="6FB5B05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83B7FC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1. Certificado de tradición y libertad del predio o predios objeto de legalización, expe</w:t>
      </w:r>
      <w:r w:rsidRPr="009342F9">
        <w:rPr>
          <w:rFonts w:ascii="Arial" w:eastAsia="Times New Roman" w:hAnsi="Arial" w:cs="Arial"/>
          <w:color w:val="000000"/>
          <w:lang w:eastAsia="es-CO"/>
        </w:rPr>
        <w:softHyphen/>
        <w:t>dido por la Oficina de Registro de Instrumentos Públicos correspondiente.  </w:t>
      </w:r>
    </w:p>
    <w:p w14:paraId="0DA1E4B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6CFF7C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Copias simples de las escrituras, fotocopias de pagos de recibos del impuesto pre</w:t>
      </w:r>
      <w:r w:rsidRPr="009342F9">
        <w:rPr>
          <w:rFonts w:ascii="Arial" w:eastAsia="Times New Roman" w:hAnsi="Arial" w:cs="Arial"/>
          <w:color w:val="000000"/>
          <w:lang w:eastAsia="es-CO"/>
        </w:rPr>
        <w:softHyphen/>
        <w:t>dial y/o de recibos de servicios públicos domiciliarios, promesas de compraventa u otro medio probatorio que acredite la ocupación de los predios que hacen parte del proceso de legalización.  </w:t>
      </w:r>
    </w:p>
    <w:p w14:paraId="4361691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B0911A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Acta de conocimiento y aceptación del plano de loteo y del proceso de legaliza</w:t>
      </w:r>
      <w:r w:rsidRPr="009342F9">
        <w:rPr>
          <w:rFonts w:ascii="Arial" w:eastAsia="Times New Roman" w:hAnsi="Arial" w:cs="Arial"/>
          <w:color w:val="000000"/>
          <w:lang w:eastAsia="es-CO"/>
        </w:rPr>
        <w:softHyphen/>
        <w:t xml:space="preserve">ción firmada al menos por el cincuenta y uno por ciento (51%) de los propietarios, poseedores u ocupantes de los predios o inmuebles incluidos en la legalización, así como la indicación de los propietarios de los predios que conforman el </w:t>
      </w:r>
      <w:proofErr w:type="spellStart"/>
      <w:r w:rsidRPr="009342F9">
        <w:rPr>
          <w:rFonts w:ascii="Arial" w:eastAsia="Times New Roman" w:hAnsi="Arial" w:cs="Arial"/>
          <w:color w:val="000000"/>
          <w:lang w:eastAsia="es-CO"/>
        </w:rPr>
        <w:t>asenta</w:t>
      </w:r>
      <w:proofErr w:type="spellEnd"/>
      <w:r w:rsidRPr="009342F9">
        <w:rPr>
          <w:rFonts w:ascii="Arial" w:eastAsia="Times New Roman" w:hAnsi="Arial" w:cs="Arial"/>
          <w:color w:val="000000"/>
          <w:lang w:eastAsia="es-CO"/>
        </w:rPr>
        <w:softHyphen/>
        <w:t xml:space="preserve"> miento humano objeto de legalización y, de ser posible, la matrícula inmobiliaria de los mismos.  </w:t>
      </w:r>
    </w:p>
    <w:p w14:paraId="75F761B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E6CF48A" w14:textId="607B488E" w:rsidR="00FC79C1" w:rsidRDefault="00FC79C1" w:rsidP="00FC79C1">
      <w:pPr>
        <w:spacing w:after="0" w:line="240" w:lineRule="auto"/>
        <w:jc w:val="both"/>
        <w:rPr>
          <w:rFonts w:ascii="Arial" w:eastAsia="Times New Roman" w:hAnsi="Arial" w:cs="Arial"/>
          <w:color w:val="000000"/>
          <w:lang w:eastAsia="es-CO"/>
        </w:rPr>
      </w:pPr>
      <w:r w:rsidRPr="231E957E">
        <w:rPr>
          <w:rFonts w:ascii="Arial" w:eastAsia="Times New Roman" w:hAnsi="Arial" w:cs="Arial"/>
          <w:color w:val="000000" w:themeColor="text1"/>
          <w:lang w:eastAsia="es-CO"/>
        </w:rPr>
        <w:t>4. Plano de levantamiento del loteo actual, junto con las carteras de campo y hojas de cálculo, en la escala que determine la Oficina de Planeación Municipal o Distrital. Estos planos deberán incluir, entre otros aspectos, la delimitación de los espacios públicos, vías públicas, obras de infraestructura de servicios públicos domiciliarios y equipamientos que se constituirán a favor del respectivo municipio o distrito y la regularización urbanística propuesta, que establezca las obligaciones y compromisos de las partes. </w:t>
      </w:r>
    </w:p>
    <w:p w14:paraId="4D342E34" w14:textId="77777777" w:rsidR="005C5EEB" w:rsidRPr="009342F9" w:rsidRDefault="005C5EEB" w:rsidP="00FC79C1">
      <w:pPr>
        <w:spacing w:after="0" w:line="240" w:lineRule="auto"/>
        <w:jc w:val="both"/>
        <w:rPr>
          <w:rFonts w:ascii="Arial" w:eastAsia="Times New Roman" w:hAnsi="Arial" w:cs="Arial"/>
          <w:color w:val="000000"/>
          <w:lang w:eastAsia="es-CO"/>
        </w:rPr>
      </w:pPr>
    </w:p>
    <w:p w14:paraId="7CD45649" w14:textId="002DAA50" w:rsidR="00FC79C1" w:rsidRPr="009342F9" w:rsidRDefault="00FC79C1" w:rsidP="00D4095E">
      <w:pPr>
        <w:spacing w:after="0" w:line="240" w:lineRule="auto"/>
        <w:jc w:val="center"/>
        <w:rPr>
          <w:rFonts w:ascii="Arial" w:eastAsia="Times New Roman" w:hAnsi="Arial" w:cs="Arial"/>
          <w:b/>
          <w:bCs/>
          <w:color w:val="000000"/>
          <w:lang w:eastAsia="es-CO"/>
        </w:rPr>
      </w:pPr>
      <w:bookmarkStart w:id="1401" w:name="ver_30074186"/>
      <w:bookmarkEnd w:id="1400"/>
      <w:bookmarkEnd w:id="1401"/>
      <w:r w:rsidRPr="009342F9">
        <w:rPr>
          <w:rFonts w:ascii="Arial" w:eastAsia="Times New Roman" w:hAnsi="Arial" w:cs="Arial"/>
          <w:b/>
          <w:bCs/>
          <w:color w:val="000000"/>
          <w:lang w:eastAsia="es-CO"/>
        </w:rPr>
        <w:t>SECCIÓN 2</w:t>
      </w:r>
    </w:p>
    <w:p w14:paraId="78FF2A73" w14:textId="77777777" w:rsidR="00FC79C1" w:rsidRPr="009342F9" w:rsidRDefault="00FC79C1" w:rsidP="00D4095E">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TRÁMITE DE LA SOLICITUD DE LEGALIZACIÓN</w:t>
      </w:r>
    </w:p>
    <w:p w14:paraId="270DFD2E" w14:textId="77777777" w:rsidR="00FC79C1" w:rsidRPr="009342F9" w:rsidRDefault="00FC79C1" w:rsidP="00D4095E">
      <w:pPr>
        <w:spacing w:after="0" w:line="240" w:lineRule="auto"/>
        <w:jc w:val="center"/>
        <w:rPr>
          <w:rFonts w:ascii="Arial" w:eastAsia="Times New Roman" w:hAnsi="Arial" w:cs="Arial"/>
          <w:b/>
          <w:bCs/>
          <w:color w:val="000000"/>
          <w:lang w:eastAsia="es-CO"/>
        </w:rPr>
      </w:pPr>
      <w:bookmarkStart w:id="1402" w:name="ver_30210398"/>
      <w:bookmarkStart w:id="1403" w:name="ver_30074187"/>
      <w:bookmarkEnd w:id="1402"/>
    </w:p>
    <w:p w14:paraId="5EB6856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2.2.6.5.2.1. Evaluación de la documentación. La Oficina de Planeación Municipal o Distrital, o la entidad que haga sus veces, evaluará la procedencia de la legalización del asentamiento humano y hará el estudio técnico y jurídico de la documentación a que se refiere el artículo anterior, para lo cual dispondrá de un término de cuarenta y cinco (45) días hábiles.  </w:t>
      </w:r>
    </w:p>
    <w:p w14:paraId="1B27D8D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2B7957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Dicha entidad realizará una visita ocular al asentamiento humano y levantará un acta en que se consigne el resultado de la visita, al menos con los siguientes datos:  </w:t>
      </w:r>
    </w:p>
    <w:p w14:paraId="37ECCCE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27D338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Existencia del asentamiento humano y de los espacios públicos y privados, vías pú</w:t>
      </w:r>
      <w:r w:rsidRPr="009342F9">
        <w:rPr>
          <w:rFonts w:ascii="Arial" w:eastAsia="Times New Roman" w:hAnsi="Arial" w:cs="Arial"/>
          <w:color w:val="000000"/>
          <w:lang w:eastAsia="es-CO"/>
        </w:rPr>
        <w:softHyphen/>
        <w:t>blicas, obras de infraestructura de servicios públicos domiciliarios y equipamientos presentados en el plano de loteo aportado con la solicitud de legalización urbanística.  </w:t>
      </w:r>
    </w:p>
    <w:p w14:paraId="682F713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F16AE9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Grado de consolidación del asentamiento humano, el cual será señalado en una copia del plano de levantamiento de loteo actual.  </w:t>
      </w:r>
    </w:p>
    <w:p w14:paraId="24346A0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9D4C84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Si no coincidieren los documentos aportados con lo verificado en la visita a la zona, la solicitud junto con sus anexos se devolverá a los interesados a través de comunicación escrita en la que se señalen las inconsistencias, con el fin de que se realicen las correcciones a que haya lugar, para lo cual dispondrán de dos (2) meses contados a partir de la recepción de la comunicación.  </w:t>
      </w:r>
    </w:p>
    <w:p w14:paraId="4314A3B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9DA4FD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caso de no efectuarse las correcciones solicitadas en el término fijado se entenderá desistida la petición y se ordenará el archivo de la solicitud.  </w:t>
      </w:r>
    </w:p>
    <w:p w14:paraId="1736D90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E31CD0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Una vez entregados los planos y los documentos corregidos en debida forma, la Oficina de Planeación Municipal o Distrital, o la entidad que haga sus veces, dará inicio al proceso de legalización mediante la expedición del acto administrativo que defina la procedencia del trámite de legalización.  </w:t>
      </w:r>
    </w:p>
    <w:p w14:paraId="479317F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10B9F8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En los casos en que no sea procedente el proceso de legalización se comunicará a los interesados mediante acto administrativo motivado, contra el cual procederán los recursos previstos en el Código de Procedimiento Administrativo y de lo Contencioso Administrativo. </w:t>
      </w:r>
    </w:p>
    <w:p w14:paraId="5C61A5B1"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404" w:name="ver_30210399"/>
      <w:bookmarkStart w:id="1405" w:name="ver_30074188"/>
      <w:bookmarkEnd w:id="1403"/>
      <w:bookmarkEnd w:id="1404"/>
    </w:p>
    <w:p w14:paraId="291E629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2.2.6.5.2.2. Vinculación del urbanizador, el propietario y terceros interesados. Cuando el trámite de legalización sea Iniciado por personas diferentes al urbanizador o el propietario del predio o predios de mayor extensión, una vez se expida el acto administrativo que define la procedencia del trámite de legalización previsto en el artículo anterior, la autoridad competente, mediante correo certificado, comunicará al urbanizador o propietario inscrito de acuerdo con lo indicado por el interesado, sobre la iniciación del proceso y lo citará para que comparezca y se haga parte dentro del trámite administrativo para hacer valer sus derechos y determinar la forma en que se hará la entrega de las áreas que conforman el espacio público, vías públicas, obras de infraestructura de servicios públicos domiciliarios y equipamientos.  </w:t>
      </w:r>
    </w:p>
    <w:p w14:paraId="0DB9659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C7C36A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Igualmente, conforme a lo previsto en el Capítulo V del Título III de la Parte Primera del Código de Procedimiento Administrativo y de lo Contencioso Administrativo, la autoridad competente hará una publicación en un diario de amplia circulación, en la que comunique a todos los terceros que puedan estar interesados o puedan resultar afectados con las decisiones que se tomen en el proceso de legalización, sobre la iniciación del mismo, indicando el número de radicación, los horarios y dependencias en que pueden consultar el expediente. Copia de esta comunicación y de la publicación se anexarán al expediente, al igual que el acta de la visita al terreno de que trata el artículo anterior.  </w:t>
      </w:r>
    </w:p>
    <w:p w14:paraId="6449F08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39E0E1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los eventos en que el urbanizador o propietario de los terrenos no concurra o no preste su consentimiento para el cumplimiento de las obligaciones, el proceso de legalización podrá continuar siempre y cuando el responsable del trámite o la comunidad afectada se comprometan de manera independiente a entregar las áreas que conforman el espacio público, vías públicas, obras de infraestructura de servicios públicos domiciliarios y equipamientos. Para tal efecto, se suscribirá un acta de compromiso entre el responsable del trámite o la comunidad afectada y la Oficina de Planeación Municipal o Distrital, o la entidad que haga sus veces, en la cual se detallará la ubicación de dichas áreas y el término para su entrega al respectivo municipio o distrito. </w:t>
      </w:r>
    </w:p>
    <w:p w14:paraId="40B26E06"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406" w:name="ver_30210400"/>
      <w:bookmarkStart w:id="1407" w:name="ver_30074189"/>
      <w:bookmarkEnd w:id="1405"/>
      <w:bookmarkEnd w:id="1406"/>
    </w:p>
    <w:p w14:paraId="1833C10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2.2.6.5.2.3. Definición de las </w:t>
      </w:r>
      <w:proofErr w:type="gramStart"/>
      <w:r w:rsidRPr="009342F9">
        <w:rPr>
          <w:rFonts w:ascii="Arial" w:eastAsia="Times New Roman" w:hAnsi="Arial" w:cs="Arial"/>
          <w:color w:val="000000"/>
          <w:lang w:eastAsia="es-CO"/>
        </w:rPr>
        <w:t>condiciones urbanísticas y estudio urbanístico</w:t>
      </w:r>
      <w:proofErr w:type="gramEnd"/>
      <w:r w:rsidRPr="009342F9">
        <w:rPr>
          <w:rFonts w:ascii="Arial" w:eastAsia="Times New Roman" w:hAnsi="Arial" w:cs="Arial"/>
          <w:color w:val="000000"/>
          <w:lang w:eastAsia="es-CO"/>
        </w:rPr>
        <w:t xml:space="preserve"> final. De conformidad con las directrices establecidas en el Plan de Ordenamiento Territorial y la estructura urbana existente en el asentamiento humano, la autoridad municipal o distrital competente para adelantar el proceso de legalización, en coordinación con las demás entidades Involucradas en el trámite, en el término de sesenta (60) días contados a partir de la expedición del acto administrativo que determina la procedencia del trámite de legalización previsto en el artículo 2.2.6.5.2.1, definirá las condiciones urbanísticas a las que se sujetará el asentamiento objeto de legalización.  </w:t>
      </w:r>
    </w:p>
    <w:p w14:paraId="14813C7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CF9F5B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Al efecto, se elaborará un estudio urbanístico que contenga:  </w:t>
      </w:r>
    </w:p>
    <w:p w14:paraId="5C54BF8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A43970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La delimitación del área objeto del trámite de legalización.  </w:t>
      </w:r>
    </w:p>
    <w:p w14:paraId="4E058EE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647357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Certificado o concepto de disponibilidad para la prestación de servicios públicos domiciliarios emitido por la respectiva empresa prestadora o acceso a un esquema diferencial en áreas de difícil gestión.  </w:t>
      </w:r>
    </w:p>
    <w:p w14:paraId="34D9F28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83969D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Las zonas de reserva para el desarrollo de los sistemas generales de infraestructura vial y servicios públicos domiciliarios, entre otros, que inciden en el área.  </w:t>
      </w:r>
    </w:p>
    <w:p w14:paraId="3D9E970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w:t>
      </w:r>
    </w:p>
    <w:p w14:paraId="0813CDC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Las determinantes de la zona en relación con lo establecido en el Plan de Ordena</w:t>
      </w:r>
      <w:r w:rsidRPr="009342F9">
        <w:rPr>
          <w:rFonts w:ascii="Arial" w:eastAsia="Times New Roman" w:hAnsi="Arial" w:cs="Arial"/>
          <w:color w:val="000000"/>
          <w:lang w:eastAsia="es-CO"/>
        </w:rPr>
        <w:softHyphen/>
        <w:t>miento Territorial con respecto a:  </w:t>
      </w:r>
    </w:p>
    <w:p w14:paraId="7ACAA2B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AD1024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4.1. Elementos de las zonas de </w:t>
      </w:r>
      <w:proofErr w:type="gramStart"/>
      <w:r w:rsidRPr="009342F9">
        <w:rPr>
          <w:rFonts w:ascii="Arial" w:eastAsia="Times New Roman" w:hAnsi="Arial" w:cs="Arial"/>
          <w:color w:val="000000"/>
          <w:lang w:eastAsia="es-CO"/>
        </w:rPr>
        <w:t>protección ambiental y lineamientos ambientales</w:t>
      </w:r>
      <w:proofErr w:type="gramEnd"/>
      <w:r w:rsidRPr="009342F9">
        <w:rPr>
          <w:rFonts w:ascii="Arial" w:eastAsia="Times New Roman" w:hAnsi="Arial" w:cs="Arial"/>
          <w:color w:val="000000"/>
          <w:lang w:eastAsia="es-CO"/>
        </w:rPr>
        <w:t>.  </w:t>
      </w:r>
    </w:p>
    <w:p w14:paraId="4F510F7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3CB58D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4.2. Zonas de amenaza y riesgo. El estudio de amenaza, riesgo y/o vulnerabilidad por inundación y remoción en masa del asentamiento, Incluidos los riesgos tecnológi</w:t>
      </w:r>
      <w:r w:rsidRPr="009342F9">
        <w:rPr>
          <w:rFonts w:ascii="Arial" w:eastAsia="Times New Roman" w:hAnsi="Arial" w:cs="Arial"/>
          <w:color w:val="000000"/>
          <w:lang w:eastAsia="es-CO"/>
        </w:rPr>
        <w:softHyphen/>
        <w:t>cos, adelantado de manera puntual sobre el asentamiento a intervenir, esto es, con el nivel de detalle requerido para categorizar el riesgo y determinar las medidas de mitigación.  </w:t>
      </w:r>
    </w:p>
    <w:p w14:paraId="5B1C1FA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0F7F52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4.3. Clasificación del suelo.  </w:t>
      </w:r>
    </w:p>
    <w:p w14:paraId="2384DA0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AADC20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4.4. Definición de usos del suelo.  </w:t>
      </w:r>
    </w:p>
    <w:p w14:paraId="36F9147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C93844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4.5. Programas, operaciones y proyectos estructurantes.  </w:t>
      </w:r>
    </w:p>
    <w:p w14:paraId="1246909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825501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4.6. Acciones de mejoramiento previstas.  </w:t>
      </w:r>
    </w:p>
    <w:p w14:paraId="0A7F33E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CF7678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4.7. Obligaciones resultantes del proceso de legalización.  </w:t>
      </w:r>
    </w:p>
    <w:p w14:paraId="4A4AB55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F1C105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 Plano definitivo de loteo en el que se identifiquen los espacios públicos a entregar, vías públicas, obras de infraestructura de servicios públicos domiciliarios y equipa</w:t>
      </w:r>
      <w:r w:rsidRPr="009342F9">
        <w:rPr>
          <w:rFonts w:ascii="Arial" w:eastAsia="Times New Roman" w:hAnsi="Arial" w:cs="Arial"/>
          <w:color w:val="000000"/>
          <w:lang w:eastAsia="es-CO"/>
        </w:rPr>
        <w:softHyphen/>
        <w:t>mientos y la regularización urbanística, así como las obligaciones y compromisos de las partes. El plano debe contener la firma, nombre, identificación y/o matrícula profesional del arquitecto o ingeniero responsable y la parte interesada o responsa</w:t>
      </w:r>
      <w:r w:rsidRPr="009342F9">
        <w:rPr>
          <w:rFonts w:ascii="Arial" w:eastAsia="Times New Roman" w:hAnsi="Arial" w:cs="Arial"/>
          <w:color w:val="000000"/>
          <w:lang w:eastAsia="es-CO"/>
        </w:rPr>
        <w:softHyphen/>
        <w:t>ble del trámite. </w:t>
      </w:r>
    </w:p>
    <w:p w14:paraId="416F3691" w14:textId="77777777" w:rsidR="00D4095E" w:rsidRPr="009342F9" w:rsidRDefault="00D4095E" w:rsidP="00FC79C1">
      <w:pPr>
        <w:spacing w:after="0" w:line="240" w:lineRule="auto"/>
        <w:jc w:val="both"/>
        <w:rPr>
          <w:rFonts w:ascii="Arial" w:eastAsia="Times New Roman" w:hAnsi="Arial" w:cs="Arial"/>
          <w:color w:val="000000"/>
          <w:lang w:eastAsia="es-CO"/>
        </w:rPr>
      </w:pPr>
      <w:bookmarkStart w:id="1408" w:name="ver_30210401"/>
      <w:bookmarkStart w:id="1409" w:name="ver_30074190"/>
      <w:bookmarkEnd w:id="1407"/>
      <w:bookmarkEnd w:id="1408"/>
    </w:p>
    <w:p w14:paraId="571595F2" w14:textId="46D3ABB6"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2.2.6.5.2.4. Publicidad del estudio urbanístico final. La Oficina de Planeación Municipal o Distrital, o la entidad que haga sus veces, someterá a consideración de la comunidad y del propietario del terreno o urbanizador, cuando se haga parte dentro del proceso, por el término de diez (10) días, el estudio urbanístico final, con el fin de dar a conocer los derechos y obligaciones derivados del mismo. Para el efecto, se fijará en la cartelera de dicha dependencia y en su página Web, si cuenta con esta, un aviso informando el lugar, fechas y horarios de consulta del estudio, advirtiendo que las objeciones o recomendaciones que se hagan frente al mismo se deberán presentar por escrito a más tardar el último día de consulta del estudio. En el aviso se dejará constancia de la fecha y hora de fijación y de </w:t>
      </w:r>
      <w:proofErr w:type="spellStart"/>
      <w:r w:rsidRPr="009342F9">
        <w:rPr>
          <w:rFonts w:ascii="Arial" w:eastAsia="Times New Roman" w:hAnsi="Arial" w:cs="Arial"/>
          <w:color w:val="000000"/>
          <w:lang w:eastAsia="es-CO"/>
        </w:rPr>
        <w:t>desfijación</w:t>
      </w:r>
      <w:proofErr w:type="spellEnd"/>
      <w:r w:rsidRPr="009342F9">
        <w:rPr>
          <w:rFonts w:ascii="Arial" w:eastAsia="Times New Roman" w:hAnsi="Arial" w:cs="Arial"/>
          <w:color w:val="000000"/>
          <w:lang w:eastAsia="es-CO"/>
        </w:rPr>
        <w:t xml:space="preserve"> del mismo.  </w:t>
      </w:r>
    </w:p>
    <w:p w14:paraId="722649C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1E8D0C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Las entidades territoriales adelantarán talleres informativos y de socialización sobre el proceso de legalización y los resultados del estudio urbanístico final, como mecanismo complementario de publicidad. </w:t>
      </w:r>
    </w:p>
    <w:p w14:paraId="7E5C272A"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410" w:name="ver_30210402"/>
      <w:bookmarkStart w:id="1411" w:name="ver_30074191"/>
      <w:bookmarkEnd w:id="1409"/>
      <w:bookmarkEnd w:id="1410"/>
    </w:p>
    <w:p w14:paraId="305770D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2.2.6.5.2.5. Resolución de la legalización urbanística. El proceso de legalización culminará con la expedición de la resolución por parte de la autoridad competente, en la cual se determine si se legaliza o no el asentamiento humano. En este acto se resolverán las objeciones o recomendaciones que hagan los interesados y terceros que se hicieron parte en el procedimiento administrativo y estará sujeto a los recursos en el Código de Procedimiento Administrativo y de lo Contencioso Administrativo.  </w:t>
      </w:r>
    </w:p>
    <w:p w14:paraId="2590C83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E5EA7B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La resolución de legalización contendrá, como mínimo, el reconocimiento oficial del asentamiento, la aprobación de los planos de loteo correspondientes, la reglamentación urbanística, las acciones de mejoramiento barrial, la identificación de áreas potenciales para la </w:t>
      </w:r>
      <w:r w:rsidRPr="009342F9">
        <w:rPr>
          <w:rFonts w:ascii="Arial" w:eastAsia="Times New Roman" w:hAnsi="Arial" w:cs="Arial"/>
          <w:color w:val="000000"/>
          <w:lang w:eastAsia="es-CO"/>
        </w:rPr>
        <w:lastRenderedPageBreak/>
        <w:t>reubicación de viviendas y la información sobre el trámite posterior para el reconocimiento de la existencia de edificaciones, así como el estudio urbanístico final que hará parte integral de la resolución.  </w:t>
      </w:r>
    </w:p>
    <w:p w14:paraId="50553CB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106665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Igualmente, en la resolución de legalización se contemplarán de manera expresa las obligaciones de la parte interesada o el responsable del trámite.  </w:t>
      </w:r>
    </w:p>
    <w:p w14:paraId="1D91AE4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8D72E4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El acto administrativo de legalización urbanística del asentamiento deberá incorporar las directrices y modalidades de intervención previstas en los tratamientos urbanísticos definidos por el plan de ordenamiento territorial del respectivo municipio o distrito.  </w:t>
      </w:r>
    </w:p>
    <w:p w14:paraId="721685B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514EBD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1°. En ningún caso la legalización urbanística constituirá título o modo de tradición de la propiedad.  </w:t>
      </w:r>
    </w:p>
    <w:p w14:paraId="6EA864A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D2A5AC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2°. La autoridad competente publicará en el medio oficial establecido para el efecto la resolución por la cual se resuelve la solicitud de legalización.  </w:t>
      </w:r>
    </w:p>
    <w:p w14:paraId="6CEA0EF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A4CDED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3°. Para todos los efectos legales, las áreas definidas como espacios públicos, vías públicas, obras de infraestructura de servicios públicos domiciliarios y equipamientos en la resolución de legalización y aprobados en el plano de loteo que se adopte, quedarán afectas a esta destinación y uso específico, aun cuando permanezcan dentro de predios privados.  </w:t>
      </w:r>
    </w:p>
    <w:p w14:paraId="220CBDB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DD5C08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4°. El plano de loteo aprobado mediante la resolución de legalización deberá remitirse al gestor catastral, según corresponda, para su incorporación o actualización. </w:t>
      </w:r>
    </w:p>
    <w:p w14:paraId="3A9D9AFE"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412" w:name="ver_30210403"/>
      <w:bookmarkEnd w:id="1411"/>
      <w:bookmarkEnd w:id="1412"/>
    </w:p>
    <w:p w14:paraId="4B4FD71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2.2.6.5.2.6. Régimen de transición. Las solicitudes de legalización urbanística de asentamientos humanos presentadas antes de la </w:t>
      </w:r>
      <w:proofErr w:type="gramStart"/>
      <w:r w:rsidRPr="009342F9">
        <w:rPr>
          <w:rFonts w:ascii="Arial" w:eastAsia="Times New Roman" w:hAnsi="Arial" w:cs="Arial"/>
          <w:color w:val="000000"/>
          <w:lang w:eastAsia="es-CO"/>
        </w:rPr>
        <w:t>entrada en vigencia</w:t>
      </w:r>
      <w:proofErr w:type="gramEnd"/>
      <w:r w:rsidRPr="009342F9">
        <w:rPr>
          <w:rFonts w:ascii="Arial" w:eastAsia="Times New Roman" w:hAnsi="Arial" w:cs="Arial"/>
          <w:color w:val="000000"/>
          <w:lang w:eastAsia="es-CO"/>
        </w:rPr>
        <w:t xml:space="preserve"> de la presente modificación al Capítulo 5 del Título 6 de la Parte 2 del Libro 2 del Decreto número 1077 de 2015, continuarán rigiéndose por las disposiciones vigentes al momento de su radicación. </w:t>
      </w:r>
    </w:p>
    <w:p w14:paraId="5AA4887B" w14:textId="77777777" w:rsidR="00D4095E" w:rsidRPr="009342F9" w:rsidRDefault="00D4095E" w:rsidP="00FC79C1">
      <w:pPr>
        <w:spacing w:after="0" w:line="240" w:lineRule="auto"/>
        <w:jc w:val="both"/>
        <w:rPr>
          <w:rFonts w:ascii="Arial" w:eastAsia="Times New Roman" w:hAnsi="Arial" w:cs="Arial"/>
          <w:color w:val="000000"/>
          <w:lang w:eastAsia="es-CO"/>
        </w:rPr>
      </w:pPr>
      <w:bookmarkStart w:id="1413" w:name="ver_30074192"/>
      <w:bookmarkEnd w:id="1413"/>
    </w:p>
    <w:p w14:paraId="50FB7EDF" w14:textId="628D1D29" w:rsidR="00FC79C1" w:rsidRPr="009342F9" w:rsidRDefault="00FC79C1" w:rsidP="00D4095E">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CAPÍTULO 6</w:t>
      </w:r>
    </w:p>
    <w:p w14:paraId="5B3F11F8" w14:textId="77777777" w:rsidR="00FC79C1" w:rsidRDefault="00FC79C1" w:rsidP="00D4095E">
      <w:pPr>
        <w:spacing w:after="0" w:line="240" w:lineRule="auto"/>
        <w:jc w:val="center"/>
        <w:rPr>
          <w:rFonts w:ascii="Arial" w:eastAsia="Times New Roman" w:hAnsi="Arial" w:cs="Arial"/>
          <w:b/>
          <w:bCs/>
          <w:color w:val="000000"/>
          <w:lang w:eastAsia="es-CO"/>
        </w:rPr>
      </w:pPr>
      <w:r w:rsidRPr="231E957E">
        <w:rPr>
          <w:rFonts w:ascii="Arial" w:eastAsia="Times New Roman" w:hAnsi="Arial" w:cs="Arial"/>
          <w:b/>
          <w:color w:val="000000" w:themeColor="text1"/>
          <w:lang w:eastAsia="es-CO"/>
        </w:rPr>
        <w:t>CURADORES URBANOS</w:t>
      </w:r>
    </w:p>
    <w:p w14:paraId="117CC945" w14:textId="77777777" w:rsidR="005C5EEB" w:rsidRPr="009342F9" w:rsidRDefault="005C5EEB" w:rsidP="00D4095E">
      <w:pPr>
        <w:spacing w:after="0" w:line="240" w:lineRule="auto"/>
        <w:jc w:val="center"/>
        <w:rPr>
          <w:rFonts w:ascii="Arial" w:eastAsia="Times New Roman" w:hAnsi="Arial" w:cs="Arial"/>
          <w:b/>
          <w:bCs/>
          <w:color w:val="000000"/>
          <w:lang w:eastAsia="es-CO"/>
        </w:rPr>
      </w:pPr>
    </w:p>
    <w:p w14:paraId="1DA13295" w14:textId="68E59AF3" w:rsidR="00FC79C1" w:rsidRPr="009342F9" w:rsidRDefault="00FC79C1" w:rsidP="00D4095E">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SECCIÓN 1</w:t>
      </w:r>
    </w:p>
    <w:p w14:paraId="4C1E4FA7" w14:textId="77777777" w:rsidR="00FC79C1" w:rsidRPr="009342F9" w:rsidRDefault="00FC79C1" w:rsidP="00D4095E">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DISPOSICIONES GENERALES</w:t>
      </w:r>
    </w:p>
    <w:p w14:paraId="41E2851F" w14:textId="77777777" w:rsidR="00FC79C1" w:rsidRPr="009342F9" w:rsidRDefault="00FC79C1" w:rsidP="00D4095E">
      <w:pPr>
        <w:spacing w:after="0" w:line="240" w:lineRule="auto"/>
        <w:jc w:val="center"/>
        <w:rPr>
          <w:rFonts w:ascii="Arial" w:eastAsia="Times New Roman" w:hAnsi="Arial" w:cs="Arial"/>
          <w:b/>
          <w:bCs/>
          <w:color w:val="000000"/>
          <w:lang w:eastAsia="es-CO"/>
        </w:rPr>
      </w:pPr>
      <w:bookmarkStart w:id="1414" w:name="ver_30074193"/>
      <w:bookmarkEnd w:id="1414"/>
    </w:p>
    <w:p w14:paraId="2A19CCB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2.2.6.6.1.1 Curador urbano. El curador urbano es un particular encargado de estudiar, tramitar y expedir licencias de parcelación, urbanización, construcción y subdivisión de predios, a petición del interesado en adelantar proyectos de esta índole. </w:t>
      </w:r>
    </w:p>
    <w:p w14:paraId="3ACFECF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81BCE5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2.2.6.6.1.2 Naturaleza de la función del curador urbano. El curador urbano ejerce una función pública para la verificación del cumplimiento de las normas urbanísticas y de edificación vigentes, a través del otorgamiento de licencias de parcelación, urbanización, subdivisión y de construcción. </w:t>
      </w:r>
    </w:p>
    <w:p w14:paraId="2711B3C8" w14:textId="11420B0C"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415" w:name="ver_30074195"/>
      <w:bookmarkEnd w:id="1415"/>
    </w:p>
    <w:p w14:paraId="6D2AD05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2.2.6.6.1.3 Autonomía y responsabilidad del curador urbano. El curador urbano es autónomo en el ejercicio de sus funciones y responsable disciplinaria, fiscal, civil y penalmente por los daños y perjuicios que causen a los usuarios, a terceros o a la administración pública en el ejercicio de su función pública. </w:t>
      </w:r>
    </w:p>
    <w:p w14:paraId="173D7A59" w14:textId="782014EC"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416" w:name="ver_30074196"/>
      <w:bookmarkEnd w:id="1416"/>
    </w:p>
    <w:p w14:paraId="2C8B555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Artículo 2.2.6.6.1.4 Interpretación de las normas. En el ejercicio de sus funciones, los curadores urbanos verificarán la concordancia de los proyectos de subdivisión, parcelación, urbanización, construcción y demás sometidos al trámite de licencias con las normas urbanísticas vigentes. Solamente en los casos de ausencia de normas exactamente aplicables a una situación o de contradicciones en la normativa urbanística, la facultad de interpretación corresponderá a las autoridades de planeación del municipio o distrito, las cuales emitirán sus conceptos mediante circulares que tendrán el carácter de doctrina para la interpretación de casos similares, de conformidad con el artículo 102 de la Ley 388 de 1997. </w:t>
      </w:r>
    </w:p>
    <w:p w14:paraId="7856B0F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0D0E2C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Existe vacío normativo cuando no hay una disposición exactamente aplicable y contradicción cuando hay dos o más disposiciones que regulan un mismo tema que son incompatibles entre sí. En todo caso mediante estas circulares no se pueden ajustar o modificar las normas urbanísticas del Plan de Ordenamiento Territorial ni de los instrumentos que lo desarrollen y complementen. </w:t>
      </w:r>
    </w:p>
    <w:p w14:paraId="5899CD4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F6511D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 interpretación que realice la autoridad de planeación, en tanto se utilice para la expedición de licencias urbanísticas, tiene carácter vinculante y será de obligatorio cumplimiento, con el fin de darle seguridad a dicho trámite. </w:t>
      </w:r>
    </w:p>
    <w:p w14:paraId="6090565E" w14:textId="7BEFF721"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417" w:name="ver_30074197"/>
      <w:bookmarkEnd w:id="1417"/>
    </w:p>
    <w:p w14:paraId="1C4E39E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2.2.6.6.1.5. Jurisdicción. Para efectos del presente capítulo se entiende por jurisdicción el ámbito espacial sobre el cual puede actuar el curador urbano. La jurisdicción comprende la totalidad del territorio del municipio o distrito, salvo aquellas áreas que se señalen en las normas urbanísticas y en el Plan de Ordenamiento Territorial como no aptas para la ejecución de actuaciones urbanísticas o que tengan expresamente restricciones especiales. </w:t>
      </w:r>
    </w:p>
    <w:p w14:paraId="05A93623" w14:textId="3CB4CF61" w:rsidR="00FC79C1" w:rsidRPr="009342F9" w:rsidRDefault="00FC79C1" w:rsidP="00377DAA">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78E99C8" w14:textId="7B4225F1" w:rsidR="00FC79C1" w:rsidRPr="009342F9" w:rsidRDefault="00FC79C1" w:rsidP="00D4095E">
      <w:pPr>
        <w:spacing w:after="0" w:line="240" w:lineRule="auto"/>
        <w:jc w:val="center"/>
        <w:rPr>
          <w:rFonts w:ascii="Arial" w:eastAsia="Times New Roman" w:hAnsi="Arial" w:cs="Arial"/>
          <w:b/>
          <w:bCs/>
          <w:color w:val="000000"/>
          <w:lang w:eastAsia="es-CO"/>
        </w:rPr>
      </w:pPr>
      <w:bookmarkStart w:id="1418" w:name="ver_30074198"/>
      <w:bookmarkEnd w:id="1418"/>
      <w:r w:rsidRPr="009342F9">
        <w:rPr>
          <w:rFonts w:ascii="Arial" w:eastAsia="Times New Roman" w:hAnsi="Arial" w:cs="Arial"/>
          <w:b/>
          <w:bCs/>
          <w:color w:val="000000"/>
          <w:lang w:eastAsia="es-CO"/>
        </w:rPr>
        <w:t>SECCIÓN 2</w:t>
      </w:r>
    </w:p>
    <w:p w14:paraId="44AE7693" w14:textId="77777777" w:rsidR="00FC79C1" w:rsidRPr="009342F9" w:rsidRDefault="00FC79C1" w:rsidP="00D4095E">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DESIGNACIÓN DE CURADORES URBANOS</w:t>
      </w:r>
    </w:p>
    <w:p w14:paraId="7407C2C3"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419" w:name="ver_30074201"/>
      <w:bookmarkEnd w:id="1419"/>
    </w:p>
    <w:p w14:paraId="68C7991D" w14:textId="0A705295" w:rsidR="00FC79C1"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2.2.6.6.2.1 Número de curadores urbanos. Los municipios y distritos podrán establecer, previo concepto favorable del Ministerio de Vivienda, Ciudad y Territorio, el número de curadores urbanos en su jurisdicción, teniendo en cuenta la actividad edificadora, el volumen de las solicitudes de licencias urbanísticas, las necesidades del servicio y la sostenibilidad de las curadurías urbanas. </w:t>
      </w:r>
    </w:p>
    <w:p w14:paraId="121CE072" w14:textId="77777777" w:rsidR="00377DAA" w:rsidRPr="009342F9" w:rsidRDefault="00377DAA" w:rsidP="00FC79C1">
      <w:pPr>
        <w:spacing w:after="0" w:line="240" w:lineRule="auto"/>
        <w:jc w:val="both"/>
        <w:rPr>
          <w:rFonts w:ascii="Arial" w:eastAsia="Times New Roman" w:hAnsi="Arial" w:cs="Arial"/>
          <w:color w:val="000000"/>
          <w:lang w:eastAsia="es-CO"/>
        </w:rPr>
      </w:pPr>
    </w:p>
    <w:p w14:paraId="4C49EB7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todo caso, cuando el municipio o distrito opte por la figura del curador urbano, garantizará que este servicio sea prestado, al menos, por dos de ellos. </w:t>
      </w:r>
    </w:p>
    <w:p w14:paraId="01302236" w14:textId="484573DA"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420" w:name="ver_30074202"/>
      <w:bookmarkEnd w:id="1420"/>
    </w:p>
    <w:p w14:paraId="2E9D341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2.2.6.6.2.2 Estudios técnicos. Los municipios o distritos que por primera vez designen curadores urbanos, deberán elaborar de manera previa a la convocatoria del concurso de méritos de que trata la siguiente sección, un estudio técnico que sustente la necesidad del servicio y la capacidad de sostenibilidad económica de las curadurías urbanas con base en la metodología que para tal fin disponga el Ministerio de Vivienda, Ciudad y Territorio. </w:t>
      </w:r>
    </w:p>
    <w:p w14:paraId="5FE3C18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F842A5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Para la emisión del concepto previo de que trata el inciso anterior, los municipios y distritos deberán remitir copia del estudio técnico al Ministerio de Vivienda, Ciudad y Territorio. La aprobación del estudio técnico y la asignación del factor municipal para la liquidación de las expensas por parte del Ministerio de Vivienda, Ciudad y Territorio, mediante resolución, será </w:t>
      </w:r>
      <w:proofErr w:type="gramStart"/>
      <w:r w:rsidRPr="009342F9">
        <w:rPr>
          <w:rFonts w:ascii="Arial" w:eastAsia="Times New Roman" w:hAnsi="Arial" w:cs="Arial"/>
          <w:color w:val="000000"/>
          <w:lang w:eastAsia="es-CO"/>
        </w:rPr>
        <w:t>requisito imprescindible</w:t>
      </w:r>
      <w:proofErr w:type="gramEnd"/>
      <w:r w:rsidRPr="009342F9">
        <w:rPr>
          <w:rFonts w:ascii="Arial" w:eastAsia="Times New Roman" w:hAnsi="Arial" w:cs="Arial"/>
          <w:color w:val="000000"/>
          <w:lang w:eastAsia="es-CO"/>
        </w:rPr>
        <w:t xml:space="preserve"> para la convocatoria al concurso. </w:t>
      </w:r>
    </w:p>
    <w:p w14:paraId="4C5999C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46E6F3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Los municipios o distritos que decidan designar curadores adicionales a los ya </w:t>
      </w:r>
      <w:proofErr w:type="gramStart"/>
      <w:r w:rsidRPr="009342F9">
        <w:rPr>
          <w:rFonts w:ascii="Arial" w:eastAsia="Times New Roman" w:hAnsi="Arial" w:cs="Arial"/>
          <w:color w:val="000000"/>
          <w:lang w:eastAsia="es-CO"/>
        </w:rPr>
        <w:t>existentes,</w:t>
      </w:r>
      <w:proofErr w:type="gramEnd"/>
      <w:r w:rsidRPr="009342F9">
        <w:rPr>
          <w:rFonts w:ascii="Arial" w:eastAsia="Times New Roman" w:hAnsi="Arial" w:cs="Arial"/>
          <w:color w:val="000000"/>
          <w:lang w:eastAsia="es-CO"/>
        </w:rPr>
        <w:t xml:space="preserve"> también deberán elaborar y remitir al Ministerio de Vivienda, Ciudad y Territorio copia del estudio técnico que justifique la nueva designación. La aprobación de ese estudio por parte del Ministro de </w:t>
      </w:r>
      <w:r w:rsidRPr="009342F9">
        <w:rPr>
          <w:rFonts w:ascii="Arial" w:eastAsia="Times New Roman" w:hAnsi="Arial" w:cs="Arial"/>
          <w:color w:val="000000"/>
          <w:lang w:eastAsia="es-CO"/>
        </w:rPr>
        <w:lastRenderedPageBreak/>
        <w:t>Vivienda, Ciudad y Territorio, mediante resolución, será condición para la convocatoria al concurso. </w:t>
      </w:r>
    </w:p>
    <w:p w14:paraId="202742D2" w14:textId="12A57B98"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421" w:name="ver_30125274"/>
      <w:bookmarkStart w:id="1422" w:name="ver_30125273"/>
      <w:bookmarkEnd w:id="1421"/>
    </w:p>
    <w:p w14:paraId="1D3B3940" w14:textId="580C779C"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2.2.6.6.2.3.</w:t>
      </w:r>
      <w:r w:rsidR="00F87F8B">
        <w:rPr>
          <w:rFonts w:ascii="Arial" w:eastAsia="Times New Roman" w:hAnsi="Arial" w:cs="Arial"/>
          <w:color w:val="000000"/>
          <w:lang w:eastAsia="es-CO"/>
        </w:rPr>
        <w:t xml:space="preserve"> </w:t>
      </w:r>
      <w:r w:rsidRPr="009342F9">
        <w:rPr>
          <w:rFonts w:ascii="Arial" w:eastAsia="Times New Roman" w:hAnsi="Arial" w:cs="Arial"/>
          <w:color w:val="000000"/>
          <w:lang w:eastAsia="es-CO"/>
        </w:rPr>
        <w:t>Periodo. Los curadores urbanos serán designados para el desempeño de esta función pública por el alcalde municipal o distrital, previo concurso de méritos adelantado por el Departamento Administrativo de la Función Pública para períodos individuales de cinco (5) años, en los términos previstos en la Ley 1796 de 2016, o la norma que la adicione, modifique o sustituya.  </w:t>
      </w:r>
    </w:p>
    <w:p w14:paraId="7FAABBA6" w14:textId="77777777" w:rsidR="00FC79C1" w:rsidRPr="009342F9" w:rsidRDefault="00FC79C1" w:rsidP="00FC79C1">
      <w:pPr>
        <w:spacing w:after="0" w:line="240" w:lineRule="auto"/>
        <w:jc w:val="both"/>
        <w:rPr>
          <w:rFonts w:ascii="Arial" w:eastAsia="Times New Roman" w:hAnsi="Arial" w:cs="Arial"/>
          <w:color w:val="000000"/>
          <w:lang w:eastAsia="es-CO"/>
        </w:rPr>
      </w:pPr>
    </w:p>
    <w:p w14:paraId="53EDCF22" w14:textId="33B69280" w:rsidR="00FC79C1" w:rsidRPr="009342F9" w:rsidRDefault="00FC79C1" w:rsidP="00D4095E">
      <w:pPr>
        <w:spacing w:after="0" w:line="240" w:lineRule="auto"/>
        <w:jc w:val="center"/>
        <w:rPr>
          <w:rFonts w:ascii="Arial" w:eastAsia="Times New Roman" w:hAnsi="Arial" w:cs="Arial"/>
          <w:b/>
          <w:bCs/>
          <w:color w:val="000000"/>
          <w:lang w:eastAsia="es-CO"/>
        </w:rPr>
      </w:pPr>
      <w:bookmarkStart w:id="1423" w:name="ver_30074204"/>
      <w:bookmarkEnd w:id="1422"/>
      <w:bookmarkEnd w:id="1423"/>
      <w:r w:rsidRPr="009342F9">
        <w:rPr>
          <w:rFonts w:ascii="Arial" w:eastAsia="Times New Roman" w:hAnsi="Arial" w:cs="Arial"/>
          <w:b/>
          <w:bCs/>
          <w:color w:val="000000"/>
          <w:lang w:eastAsia="es-CO"/>
        </w:rPr>
        <w:t>SECCIÓN 3</w:t>
      </w:r>
    </w:p>
    <w:p w14:paraId="653020B1" w14:textId="77777777" w:rsidR="00FC79C1" w:rsidRPr="009342F9" w:rsidRDefault="00FC79C1" w:rsidP="00D4095E">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CONCURSO DE MÉRITOS</w:t>
      </w:r>
    </w:p>
    <w:p w14:paraId="0263223C"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424" w:name="ver_30125296"/>
      <w:bookmarkStart w:id="1425" w:name="ver_30125295"/>
      <w:bookmarkEnd w:id="1424"/>
    </w:p>
    <w:p w14:paraId="30251BE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2.2.6.6.3.1. Concurso de méritos para la designación de curadores urbanos. A partir del 13 de julio de 2017, fecha de </w:t>
      </w:r>
      <w:proofErr w:type="gramStart"/>
      <w:r w:rsidRPr="009342F9">
        <w:rPr>
          <w:rFonts w:ascii="Arial" w:eastAsia="Times New Roman" w:hAnsi="Arial" w:cs="Arial"/>
          <w:color w:val="000000"/>
          <w:lang w:eastAsia="es-CO"/>
        </w:rPr>
        <w:t>entrada en vigencia</w:t>
      </w:r>
      <w:proofErr w:type="gramEnd"/>
      <w:r w:rsidRPr="009342F9">
        <w:rPr>
          <w:rFonts w:ascii="Arial" w:eastAsia="Times New Roman" w:hAnsi="Arial" w:cs="Arial"/>
          <w:color w:val="000000"/>
          <w:lang w:eastAsia="es-CO"/>
        </w:rPr>
        <w:t xml:space="preserve"> del Título IV de la Ley 1796 de 2016, el concurso de méritos para la designación del curador urbano se regirá por las siguientes reglas:  </w:t>
      </w:r>
    </w:p>
    <w:p w14:paraId="1AAC716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486FF9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Corresponderá al alcalde municipal o distrital designar a los curadores urbanos de conformidad con el resultado del concurso que se adelante para la designación de </w:t>
      </w:r>
      <w:proofErr w:type="gramStart"/>
      <w:r w:rsidRPr="009342F9">
        <w:rPr>
          <w:rFonts w:ascii="Arial" w:eastAsia="Times New Roman" w:hAnsi="Arial" w:cs="Arial"/>
          <w:color w:val="000000"/>
          <w:lang w:eastAsia="es-CO"/>
        </w:rPr>
        <w:t>los mismos</w:t>
      </w:r>
      <w:proofErr w:type="gramEnd"/>
      <w:r w:rsidRPr="009342F9">
        <w:rPr>
          <w:rFonts w:ascii="Arial" w:eastAsia="Times New Roman" w:hAnsi="Arial" w:cs="Arial"/>
          <w:color w:val="000000"/>
          <w:lang w:eastAsia="es-CO"/>
        </w:rPr>
        <w:t xml:space="preserve"> dentro de su jurisdicción. Este concurso de méritos será adelantado por el Departamento Administrativo de la Función Pública y en lo que corresponde a la elaboración de las pruebas de conocimiento técnico y específico escritas para ser aplicadas a los aspirantes al concurso de méritos, el Departamento Administrativo de la Función Pública recibirá el apoyo de la Superintendencia de Notariado y Registro.  </w:t>
      </w:r>
    </w:p>
    <w:p w14:paraId="2A07294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FC76D3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el concurso para la designación de curadores urbanos se garantizará el análisis y evaluación de experiencia y capacidad demostrada en relación con la función del curador urbano, así como de los estudios de pregrado y posgrado. Los concursos incluirán las siguientes pruebas, de cuyos resultados deberá quedar archivo:  </w:t>
      </w:r>
    </w:p>
    <w:p w14:paraId="50B5004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AD8EAB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1. Examen sobre normas nacionales, municipales y distritales en materia de desarrollo y planificación urbana y territorial y marco general de </w:t>
      </w:r>
      <w:proofErr w:type="spellStart"/>
      <w:r w:rsidRPr="009342F9">
        <w:rPr>
          <w:rFonts w:ascii="Arial" w:eastAsia="Times New Roman" w:hAnsi="Arial" w:cs="Arial"/>
          <w:color w:val="000000"/>
          <w:lang w:eastAsia="es-CO"/>
        </w:rPr>
        <w:t>sismorresistencia</w:t>
      </w:r>
      <w:proofErr w:type="spellEnd"/>
      <w:r w:rsidRPr="009342F9">
        <w:rPr>
          <w:rFonts w:ascii="Arial" w:eastAsia="Times New Roman" w:hAnsi="Arial" w:cs="Arial"/>
          <w:color w:val="000000"/>
          <w:lang w:eastAsia="es-CO"/>
        </w:rPr>
        <w:t>.  </w:t>
      </w:r>
    </w:p>
    <w:p w14:paraId="7EB1C53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4E80BE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Examen sobre normas urbanísticas del Plan de Ordenamiento Territorial o los instrumentos que lo desarrollen y complemente.  </w:t>
      </w:r>
    </w:p>
    <w:p w14:paraId="551C671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DAAD71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Entrevista colegiada conformada por el alcalde municipal o distrital respectivo, y un (1) representante de la Superintendencia Delegada de Curadores Urbanos de la Superintendencia de Notariado y Registro.  </w:t>
      </w:r>
    </w:p>
    <w:p w14:paraId="5E0A2DA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7861E2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1°. Los gastos que demande el concurso para la designación de curadores urbanos se harán con cargo al presupuesto de la Superintendencia de Notariado y Registro y al Fondo Cuenta de Curadores.  </w:t>
      </w:r>
    </w:p>
    <w:p w14:paraId="7F3FD11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E45B3D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2°. Corresponderá a la Superintendencia de Notariado y Registro, fijar las directrices del concurso para la designación de curadores urbanos, en cuanto a, entre otros, la forma de acreditar los requisitos, la fecha y lugar de realización del concurso y el cronograma respectivo.  </w:t>
      </w:r>
    </w:p>
    <w:p w14:paraId="6311912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3F97E2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3°. El concurso será abierto mediante convocatoria pública y quienes aspiren a ser designados como curadores urbanos deberán inscribirse en la oportunidad y lugar que señale la misma.  </w:t>
      </w:r>
    </w:p>
    <w:p w14:paraId="0569458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29C4D9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Parágrafo 4°. El alcalde, para la designación del curador, deberá verificar que este cuenta con un grupo interdisciplinario especializado que apoyará su labor, el cual deberá estar conformado como mínimo por profesionales en materia jurídica, arquitectónica, y de ingeniería civil especializados en estructuras o temas relacionados, los cuales deberán acreditar una experiencia mínima de cinco (5) años contados a partir de la expedición de la tarjeta profesional.  </w:t>
      </w:r>
    </w:p>
    <w:p w14:paraId="3158762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9B8FAF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Si el curador requiriere realizar modificaciones al grupo interdisciplinario, el nuevo profesional asignado deberá cumplir con las mismas o superiores calidades del profesional que se está reemplazando. En este evento, quien fuere designado curador, informará del reemplazo a la Superintendencia de Notariado y Registro.  </w:t>
      </w:r>
    </w:p>
    <w:p w14:paraId="24C4C53A"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426" w:name="ver_30125298"/>
      <w:bookmarkStart w:id="1427" w:name="ver_30125297"/>
      <w:bookmarkEnd w:id="1425"/>
      <w:bookmarkEnd w:id="1426"/>
    </w:p>
    <w:p w14:paraId="2BCF138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2.2.6.6.3.2. Convocatoria pública. Corresponderá a la Superintendencia de Notariado y Registro establecer los términos de la convocatoria pública al concurso de méritos antes del vencimiento del período individual de los curadores urbanos.  </w:t>
      </w:r>
    </w:p>
    <w:p w14:paraId="422C99C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415281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1º. Los curadores urbanos que se encuentren ejerciendo el cargo a la fecha de la apertura de la convocatoria del concurso de méritos podrán inscribirse y participar en el mismo, así como aspirar a una curaduría diferente de aquella en la que ejercen sus funciones.  </w:t>
      </w:r>
    </w:p>
    <w:p w14:paraId="7AAEB87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BE69D9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Parágrafo transitorio. En los procesos de selección de los Curadores Urbanos en los que se haya publicado la convocatoria del concurso antes de </w:t>
      </w:r>
      <w:proofErr w:type="gramStart"/>
      <w:r w:rsidRPr="009342F9">
        <w:rPr>
          <w:rFonts w:ascii="Arial" w:eastAsia="Times New Roman" w:hAnsi="Arial" w:cs="Arial"/>
          <w:color w:val="000000"/>
          <w:lang w:eastAsia="es-CO"/>
        </w:rPr>
        <w:t>entrar en vigencia</w:t>
      </w:r>
      <w:proofErr w:type="gramEnd"/>
      <w:r w:rsidRPr="009342F9">
        <w:rPr>
          <w:rFonts w:ascii="Arial" w:eastAsia="Times New Roman" w:hAnsi="Arial" w:cs="Arial"/>
          <w:color w:val="000000"/>
          <w:lang w:eastAsia="es-CO"/>
        </w:rPr>
        <w:t xml:space="preserve"> el Título IV de la Ley 1796 de 2016, se continuará el proceso de selección hasta su culminación aplicando las normas vigentes al momento de su publicación. Los procesos de selección en los cuales no se haya publicado la convocatoria deberán acogerse a lo dispuesto en la Ley 1796 de 2016.  </w:t>
      </w:r>
    </w:p>
    <w:p w14:paraId="35F3DB07"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428" w:name="ver_30125300"/>
      <w:bookmarkStart w:id="1429" w:name="ver_30125299"/>
      <w:bookmarkEnd w:id="1427"/>
      <w:bookmarkEnd w:id="1428"/>
    </w:p>
    <w:p w14:paraId="67267DD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2.2.6.6.3.3. Requisitos para concursar. Los aspirantes, en el término de inscripción, deberán acreditar el cumplimiento de los siguientes requisitos:  </w:t>
      </w:r>
    </w:p>
    <w:p w14:paraId="4AB6D3A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2E2CE7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 Ser ciudadano colombiano en ejercicio, o extranjero residente legalmente en el país, no mayor de 70 años y estar en pleno goce de los derechos civiles de acuerdo con la Constitución Nacional y las leyes civiles;  </w:t>
      </w:r>
    </w:p>
    <w:p w14:paraId="32177D6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A33A26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b) Poseer título profesional de arquitecto, ingeniero civil, abogado o en áreas de las ciencias sociales, económicas o de la administración y posgrado en derecho urbano, urbanismo, políticas de suelo, planificación territorial, regional o urbana, y la correspondiente matrícula, tarjeta o licencia profesional, en los casos de las profesiones reglamentadas;  </w:t>
      </w:r>
    </w:p>
    <w:p w14:paraId="39EA212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606F04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 Acreditar una experiencia laboral mínima de diez (10) años en el ejercicio de actividades de desarrollo o la planificación urbana;  </w:t>
      </w:r>
    </w:p>
    <w:p w14:paraId="333C60C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E58B63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d) No estar incurso en alguna de las causales de inhabilidad determinadas en la ley;  </w:t>
      </w:r>
    </w:p>
    <w:p w14:paraId="1C53174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AAFBFB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 Acreditar la colaboración del grupo interdisciplinario especializado que apoyará la labor del curador urbano;  </w:t>
      </w:r>
    </w:p>
    <w:p w14:paraId="035B155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84F85F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f) Inscribirse y aprobar el concurso de designación de curadores urbanos de que trata la ley.  </w:t>
      </w:r>
    </w:p>
    <w:p w14:paraId="3A850AA7" w14:textId="765DE45F"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430" w:name="ver_30125302"/>
      <w:bookmarkStart w:id="1431" w:name="ver_30125301"/>
      <w:bookmarkEnd w:id="1429"/>
      <w:bookmarkEnd w:id="1430"/>
    </w:p>
    <w:p w14:paraId="1CF68834" w14:textId="715585FE"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2.2.6.6.3.4.</w:t>
      </w:r>
      <w:r w:rsidR="00F87F8B">
        <w:rPr>
          <w:rFonts w:ascii="Arial" w:eastAsia="Times New Roman" w:hAnsi="Arial" w:cs="Arial"/>
          <w:color w:val="000000"/>
          <w:lang w:eastAsia="es-CO"/>
        </w:rPr>
        <w:t xml:space="preserve"> </w:t>
      </w:r>
      <w:r w:rsidRPr="009342F9">
        <w:rPr>
          <w:rFonts w:ascii="Arial" w:eastAsia="Times New Roman" w:hAnsi="Arial" w:cs="Arial"/>
          <w:color w:val="000000"/>
          <w:lang w:eastAsia="es-CO"/>
        </w:rPr>
        <w:t xml:space="preserve">Calificación de los participantes en el concurso de méritos. La calificación de los aspirantes admitidos al concurso de méritos se realizará de acuerdo con los requisitos, factores de evaluación y criterios de calificación que se establezcan conjuntamente entre la </w:t>
      </w:r>
      <w:r w:rsidRPr="009342F9">
        <w:rPr>
          <w:rFonts w:ascii="Arial" w:eastAsia="Times New Roman" w:hAnsi="Arial" w:cs="Arial"/>
          <w:color w:val="000000"/>
          <w:lang w:eastAsia="es-CO"/>
        </w:rPr>
        <w:lastRenderedPageBreak/>
        <w:t>Superintendencia de Notariado y Registro, el Departamento Administrativo de la Función Pública y el Ministerio de Vivienda, Ciudad y Territorio.  </w:t>
      </w:r>
    </w:p>
    <w:p w14:paraId="6A221C3E"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432" w:name="ver_30125304"/>
      <w:bookmarkStart w:id="1433" w:name="ver_30125303"/>
      <w:bookmarkEnd w:id="1431"/>
      <w:bookmarkEnd w:id="1432"/>
    </w:p>
    <w:p w14:paraId="39A272A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2.2.6.6.3.5. Conformación de la lista de elegibles. En firme el acto administrativo que contiene los resultados totales del concurso de méritos, el Departamento Administrativo de la Función Pública procederá a elaborar la lista de elegibles, en estricto orden descendente, de conformidad con los puntajes obtenidos por los participantes en el concurso.  </w:t>
      </w:r>
    </w:p>
    <w:p w14:paraId="2816563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BF6C0D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 lista será publicada en un lugar visible al público en las alcaldías municipales o distritales, en las Oficinas de la Superintendencia de Notariado y Registro, y en la página web de las entidades mencionadas, por un término de cinco (5) días hábiles. En todo caso, los curadores serán designados en estricto orden descendente de calificación.  </w:t>
      </w:r>
    </w:p>
    <w:p w14:paraId="444FF24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A0EA4C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La lista de elegibles tendrá una vigencia de tres (3) años contados a partir del momento en que quede en firme, y servirá para proveer el reemplazo de los curadores urbanos en el caso de presentarse faltas temporales y absolutas de conformidad con lo dispuesto en el parágrafo 3° del artículo 21 de la Ley 1796 de 2016.  </w:t>
      </w:r>
    </w:p>
    <w:p w14:paraId="2ED419F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9F60BD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Vencido el término de vigencia de la lista de elegibles o agotada la lista de elegibles, si se presenta una falta absoluta o temporal del curador, el </w:t>
      </w:r>
      <w:proofErr w:type="gramStart"/>
      <w:r w:rsidRPr="009342F9">
        <w:rPr>
          <w:rFonts w:ascii="Arial" w:eastAsia="Times New Roman" w:hAnsi="Arial" w:cs="Arial"/>
          <w:color w:val="000000"/>
          <w:lang w:eastAsia="es-CO"/>
        </w:rPr>
        <w:t>Alcalde</w:t>
      </w:r>
      <w:proofErr w:type="gramEnd"/>
      <w:r w:rsidRPr="009342F9">
        <w:rPr>
          <w:rFonts w:ascii="Arial" w:eastAsia="Times New Roman" w:hAnsi="Arial" w:cs="Arial"/>
          <w:color w:val="000000"/>
          <w:lang w:eastAsia="es-CO"/>
        </w:rPr>
        <w:t xml:space="preserve"> seleccionará su reemplazo entre las personas que hacen parte del grupo interdisciplinario, siempre y cuando cumpla con los requisitos legales establecidos para ser designado como curador urbano, caso en el cual la persona se desempeñará hasta agotarse el periodo por el que fue designado el curador y se realice un nuevo concurso.  </w:t>
      </w:r>
    </w:p>
    <w:p w14:paraId="7759831D" w14:textId="5AFA9B18"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434" w:name="ver_30125306"/>
      <w:bookmarkStart w:id="1435" w:name="ver_30125305"/>
      <w:bookmarkEnd w:id="1433"/>
      <w:bookmarkEnd w:id="1434"/>
    </w:p>
    <w:p w14:paraId="4007F608" w14:textId="790257CF"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2.2.6.6.3.6.</w:t>
      </w:r>
      <w:r w:rsidR="00F87F8B">
        <w:rPr>
          <w:rFonts w:ascii="Arial" w:eastAsia="Times New Roman" w:hAnsi="Arial" w:cs="Arial"/>
          <w:color w:val="000000"/>
          <w:lang w:eastAsia="es-CO"/>
        </w:rPr>
        <w:t xml:space="preserve"> </w:t>
      </w:r>
      <w:r w:rsidRPr="009342F9">
        <w:rPr>
          <w:rFonts w:ascii="Arial" w:eastAsia="Times New Roman" w:hAnsi="Arial" w:cs="Arial"/>
          <w:color w:val="000000"/>
          <w:lang w:eastAsia="es-CO"/>
        </w:rPr>
        <w:t xml:space="preserve">Designación. El Departamento Administrativo de la Función Pública informará al </w:t>
      </w:r>
      <w:proofErr w:type="gramStart"/>
      <w:r w:rsidRPr="009342F9">
        <w:rPr>
          <w:rFonts w:ascii="Arial" w:eastAsia="Times New Roman" w:hAnsi="Arial" w:cs="Arial"/>
          <w:color w:val="000000"/>
          <w:lang w:eastAsia="es-CO"/>
        </w:rPr>
        <w:t>Alcalde</w:t>
      </w:r>
      <w:proofErr w:type="gramEnd"/>
      <w:r w:rsidRPr="009342F9">
        <w:rPr>
          <w:rFonts w:ascii="Arial" w:eastAsia="Times New Roman" w:hAnsi="Arial" w:cs="Arial"/>
          <w:color w:val="000000"/>
          <w:lang w:eastAsia="es-CO"/>
        </w:rPr>
        <w:t xml:space="preserve"> del municipio o distrito los resultados del concurso de tal forma que, en el marco de sus competencias, realice la designación de los curadores urbanos. Para estos efectos, se notificará personalmente a quien resulte elegible en el primer puesto, según los resultados del concurso, para que manifieste por escrito la aceptación de la designación como curador urbano, de acuerdo con los términos y condiciones señalados en la normativa relativa a la función pública.  </w:t>
      </w:r>
    </w:p>
    <w:p w14:paraId="79069EF2" w14:textId="77777777" w:rsidR="00D4095E" w:rsidRPr="009342F9" w:rsidRDefault="00D4095E" w:rsidP="00FC79C1">
      <w:pPr>
        <w:spacing w:after="0" w:line="240" w:lineRule="auto"/>
        <w:jc w:val="both"/>
        <w:rPr>
          <w:rFonts w:ascii="Arial" w:eastAsia="Times New Roman" w:hAnsi="Arial" w:cs="Arial"/>
          <w:color w:val="000000"/>
          <w:lang w:eastAsia="es-CO"/>
        </w:rPr>
      </w:pPr>
      <w:bookmarkStart w:id="1436" w:name="ver_30125308"/>
      <w:bookmarkStart w:id="1437" w:name="ver_30125307"/>
      <w:bookmarkEnd w:id="1435"/>
      <w:bookmarkEnd w:id="1436"/>
    </w:p>
    <w:p w14:paraId="33C95196" w14:textId="69EF87D3"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2.2.6.6.3.7.</w:t>
      </w:r>
      <w:r w:rsidR="00F87F8B">
        <w:rPr>
          <w:rFonts w:ascii="Arial" w:eastAsia="Times New Roman" w:hAnsi="Arial" w:cs="Arial"/>
          <w:color w:val="000000"/>
          <w:lang w:eastAsia="es-CO"/>
        </w:rPr>
        <w:t xml:space="preserve"> </w:t>
      </w:r>
      <w:r w:rsidRPr="009342F9">
        <w:rPr>
          <w:rFonts w:ascii="Arial" w:eastAsia="Times New Roman" w:hAnsi="Arial" w:cs="Arial"/>
          <w:color w:val="000000"/>
          <w:lang w:eastAsia="es-CO"/>
        </w:rPr>
        <w:t>Continuidad. Con el fin de garantizar la continuidad del servicio, los curadores urbanos que fueren designados nuevamente en la misma curaduría, para continuar desempeñando la función pública de estudio, trámite y expedición de licencias, conservarán el número con el cual se identificaron desde la primera o anterior designación y proseguirán con el trámite de las solicitudes de licencias en curso que se adelantaban ante el mismo. En el acto de designación se dejará constancia del número correspondiente a cada curador urbano.  </w:t>
      </w:r>
    </w:p>
    <w:p w14:paraId="77C0B852"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438" w:name="ver_30125376"/>
      <w:bookmarkStart w:id="1439" w:name="ver_30125372"/>
      <w:bookmarkEnd w:id="1437"/>
      <w:bookmarkEnd w:id="1438"/>
    </w:p>
    <w:p w14:paraId="376C1D9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2.2.6.6.3.8 Suprimido  </w:t>
      </w:r>
    </w:p>
    <w:p w14:paraId="49B74693" w14:textId="77777777" w:rsidR="00FC79C1" w:rsidRPr="009342F9" w:rsidRDefault="00FC79C1" w:rsidP="00FC79C1">
      <w:pPr>
        <w:spacing w:after="0" w:line="240" w:lineRule="auto"/>
        <w:jc w:val="both"/>
        <w:rPr>
          <w:rFonts w:ascii="Arial" w:eastAsia="Times New Roman" w:hAnsi="Arial" w:cs="Arial"/>
          <w:color w:val="000000"/>
          <w:lang w:eastAsia="es-CO"/>
        </w:rPr>
      </w:pPr>
    </w:p>
    <w:p w14:paraId="242E70F0"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440" w:name="ver_30125379"/>
      <w:bookmarkStart w:id="1441" w:name="ver_30125378"/>
      <w:bookmarkEnd w:id="1439"/>
      <w:bookmarkEnd w:id="1440"/>
      <w:r w:rsidRPr="009342F9">
        <w:rPr>
          <w:rFonts w:ascii="Arial" w:eastAsia="Times New Roman" w:hAnsi="Arial" w:cs="Arial"/>
          <w:color w:val="000000"/>
          <w:lang w:eastAsia="es-CO"/>
        </w:rPr>
        <w:t>Artículo 2.2.6.6.3.9 Suprimido </w:t>
      </w:r>
    </w:p>
    <w:p w14:paraId="4351C7F4"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442" w:name="ver_30125415"/>
      <w:bookmarkStart w:id="1443" w:name="ver_30125413"/>
      <w:bookmarkEnd w:id="1441"/>
      <w:bookmarkEnd w:id="1442"/>
    </w:p>
    <w:p w14:paraId="3370A4F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2.2.6.6.3.10 Suprimido  </w:t>
      </w:r>
    </w:p>
    <w:p w14:paraId="03769DD0" w14:textId="77777777" w:rsidR="00FC79C1" w:rsidRPr="009342F9" w:rsidRDefault="00FC79C1" w:rsidP="00FC79C1">
      <w:pPr>
        <w:spacing w:after="0" w:line="240" w:lineRule="auto"/>
        <w:jc w:val="both"/>
        <w:rPr>
          <w:rFonts w:ascii="Arial" w:eastAsia="Times New Roman" w:hAnsi="Arial" w:cs="Arial"/>
          <w:color w:val="000000"/>
          <w:lang w:eastAsia="es-CO"/>
        </w:rPr>
      </w:pPr>
    </w:p>
    <w:p w14:paraId="4C5A8F47"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444" w:name="ver_30125436"/>
      <w:bookmarkStart w:id="1445" w:name="ver_30125433"/>
      <w:bookmarkEnd w:id="1443"/>
      <w:bookmarkEnd w:id="1444"/>
      <w:r w:rsidRPr="009342F9">
        <w:rPr>
          <w:rFonts w:ascii="Arial" w:eastAsia="Times New Roman" w:hAnsi="Arial" w:cs="Arial"/>
          <w:color w:val="000000"/>
          <w:lang w:eastAsia="es-CO"/>
        </w:rPr>
        <w:t>Artículo 2.2.6.6.3.11 Suprimido  </w:t>
      </w:r>
    </w:p>
    <w:p w14:paraId="167417D2" w14:textId="77777777" w:rsidR="00D4095E" w:rsidRPr="009342F9" w:rsidRDefault="00D4095E" w:rsidP="00FC79C1">
      <w:pPr>
        <w:spacing w:after="0" w:line="240" w:lineRule="auto"/>
        <w:jc w:val="both"/>
        <w:rPr>
          <w:rFonts w:ascii="Arial" w:eastAsia="Times New Roman" w:hAnsi="Arial" w:cs="Arial"/>
          <w:color w:val="000000"/>
          <w:lang w:eastAsia="es-CO"/>
        </w:rPr>
      </w:pPr>
      <w:bookmarkStart w:id="1446" w:name="ver_30125447"/>
      <w:bookmarkStart w:id="1447" w:name="ver_30125439"/>
      <w:bookmarkEnd w:id="1445"/>
      <w:bookmarkEnd w:id="1446"/>
    </w:p>
    <w:p w14:paraId="6FE755AD" w14:textId="0E0CA71F"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2.2.6.6.3.12 Suprimido  </w:t>
      </w:r>
    </w:p>
    <w:p w14:paraId="2A58E7D7"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448" w:name="ver_30125463"/>
      <w:bookmarkStart w:id="1449" w:name="ver_30125456"/>
      <w:bookmarkEnd w:id="1447"/>
      <w:bookmarkEnd w:id="1448"/>
    </w:p>
    <w:p w14:paraId="2FC2DE1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2.2.6.6.3.13Suprimido  </w:t>
      </w:r>
    </w:p>
    <w:p w14:paraId="208A2B98"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450" w:name="ver_30125469"/>
      <w:bookmarkStart w:id="1451" w:name="ver_30125467"/>
      <w:bookmarkEnd w:id="1449"/>
      <w:bookmarkEnd w:id="1450"/>
    </w:p>
    <w:p w14:paraId="6FB71C3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2.2.6.6.3.14 Suprimido  </w:t>
      </w:r>
    </w:p>
    <w:p w14:paraId="0A67DFF8" w14:textId="77777777" w:rsidR="00D4095E" w:rsidRPr="009342F9" w:rsidRDefault="00D4095E" w:rsidP="00FC79C1">
      <w:pPr>
        <w:spacing w:after="0" w:line="240" w:lineRule="auto"/>
        <w:jc w:val="both"/>
        <w:rPr>
          <w:rFonts w:ascii="Arial" w:eastAsia="Times New Roman" w:hAnsi="Arial" w:cs="Arial"/>
          <w:color w:val="000000"/>
          <w:lang w:eastAsia="es-CO"/>
        </w:rPr>
      </w:pPr>
      <w:bookmarkStart w:id="1452" w:name="ver_30187314"/>
      <w:bookmarkEnd w:id="1451"/>
      <w:bookmarkEnd w:id="1452"/>
    </w:p>
    <w:p w14:paraId="074E599E" w14:textId="7E1F0D64" w:rsidR="00FC79C1" w:rsidRPr="009342F9" w:rsidRDefault="00FC79C1" w:rsidP="00D4095E">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SECCIÓN 4</w:t>
      </w:r>
    </w:p>
    <w:p w14:paraId="63D0AFE1" w14:textId="77777777" w:rsidR="00FC79C1" w:rsidRPr="009342F9" w:rsidRDefault="00FC79C1" w:rsidP="00D4095E">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REDESIGNACIÓN DE CURADORES URBANOS</w:t>
      </w:r>
    </w:p>
    <w:p w14:paraId="6718A27E"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453" w:name="ver_30187315"/>
      <w:bookmarkStart w:id="1454" w:name="ver_30074737"/>
      <w:bookmarkEnd w:id="1453"/>
    </w:p>
    <w:p w14:paraId="371EB8C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2.2.6.6.4.1 Derogado </w:t>
      </w:r>
    </w:p>
    <w:p w14:paraId="3AF43D05" w14:textId="0A676F4E"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455" w:name="ver_30187316"/>
      <w:bookmarkStart w:id="1456" w:name="ver_30074738"/>
      <w:bookmarkEnd w:id="1454"/>
      <w:bookmarkEnd w:id="1455"/>
    </w:p>
    <w:p w14:paraId="46D5B33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2.2.6.6.4.2 Derogado </w:t>
      </w:r>
    </w:p>
    <w:p w14:paraId="201AB3D0"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457" w:name="ver_30187317"/>
      <w:bookmarkStart w:id="1458" w:name="ver_30074739"/>
      <w:bookmarkEnd w:id="1456"/>
      <w:bookmarkEnd w:id="1457"/>
    </w:p>
    <w:p w14:paraId="3B70EAD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2.2.6.6.4.3 Derogado </w:t>
      </w:r>
    </w:p>
    <w:p w14:paraId="3A73682A"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459" w:name="ver_30187318"/>
      <w:bookmarkStart w:id="1460" w:name="ver_30074748"/>
      <w:bookmarkEnd w:id="1458"/>
      <w:bookmarkEnd w:id="1459"/>
    </w:p>
    <w:p w14:paraId="786FF96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2.2.6.6.4.4 Derogado  </w:t>
      </w:r>
    </w:p>
    <w:p w14:paraId="6578B81A"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461" w:name="ver_30187319"/>
      <w:bookmarkStart w:id="1462" w:name="ver_30074755"/>
      <w:bookmarkEnd w:id="1460"/>
      <w:bookmarkEnd w:id="1461"/>
    </w:p>
    <w:p w14:paraId="633B97F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2.2.6.6.4.5 Derogado  </w:t>
      </w:r>
    </w:p>
    <w:p w14:paraId="00417C08" w14:textId="77777777" w:rsidR="00FC79C1" w:rsidRPr="009342F9" w:rsidRDefault="00FC79C1" w:rsidP="00D4095E">
      <w:pPr>
        <w:spacing w:after="0" w:line="240" w:lineRule="auto"/>
        <w:jc w:val="center"/>
        <w:rPr>
          <w:rFonts w:ascii="Arial" w:eastAsia="Times New Roman" w:hAnsi="Arial" w:cs="Arial"/>
          <w:b/>
          <w:bCs/>
          <w:color w:val="000000"/>
          <w:lang w:eastAsia="es-CO"/>
        </w:rPr>
      </w:pPr>
    </w:p>
    <w:p w14:paraId="6901C0C8" w14:textId="0851ADD1" w:rsidR="00FC79C1" w:rsidRPr="009342F9" w:rsidRDefault="00FC79C1" w:rsidP="00D4095E">
      <w:pPr>
        <w:spacing w:after="0" w:line="240" w:lineRule="auto"/>
        <w:jc w:val="center"/>
        <w:rPr>
          <w:rFonts w:ascii="Arial" w:eastAsia="Times New Roman" w:hAnsi="Arial" w:cs="Arial"/>
          <w:b/>
          <w:bCs/>
          <w:color w:val="000000"/>
          <w:lang w:eastAsia="es-CO"/>
        </w:rPr>
      </w:pPr>
      <w:bookmarkStart w:id="1463" w:name="ver_30074768"/>
      <w:bookmarkEnd w:id="1462"/>
      <w:bookmarkEnd w:id="1463"/>
      <w:r w:rsidRPr="009342F9">
        <w:rPr>
          <w:rFonts w:ascii="Arial" w:eastAsia="Times New Roman" w:hAnsi="Arial" w:cs="Arial"/>
          <w:b/>
          <w:bCs/>
          <w:color w:val="000000"/>
          <w:lang w:eastAsia="es-CO"/>
        </w:rPr>
        <w:t>SECCIÓN 5</w:t>
      </w:r>
    </w:p>
    <w:p w14:paraId="034DB4AB" w14:textId="77777777" w:rsidR="00FC79C1" w:rsidRPr="009342F9" w:rsidRDefault="00FC79C1" w:rsidP="00D4095E">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SITUACIONES ADMINISTRATIVAS</w:t>
      </w:r>
    </w:p>
    <w:p w14:paraId="5718A8D6"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464" w:name="ver_30074771"/>
      <w:bookmarkEnd w:id="1464"/>
    </w:p>
    <w:p w14:paraId="6811F3B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2.2.6.6.5.1 Faltas temporales. Se consideran faltas temporales de los curadores urbanos, las siguientes: </w:t>
      </w:r>
    </w:p>
    <w:p w14:paraId="13C0438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1EC19F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La licencia temporal en los términos previstos en el Estatuto del Notariado. </w:t>
      </w:r>
    </w:p>
    <w:p w14:paraId="69AC025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6E2FB5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La suspensión provisional ordenada por autoridad competente. </w:t>
      </w:r>
    </w:p>
    <w:p w14:paraId="4515ECE5" w14:textId="7F017811"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465" w:name="ver_30074774"/>
      <w:bookmarkEnd w:id="1465"/>
    </w:p>
    <w:p w14:paraId="752DD83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2.2.6.6.5.2 Designación provisional. En el caso de que trata el numeral 1 del artículo anterior, corresponderá al alcalde municipal o distrital designar al curador provisional, quien deberá reunir los mismos requisitos para ser curador urbano y podrá pertenecer al grupo interdisciplinario especializado adscrito a la curaduría. </w:t>
      </w:r>
    </w:p>
    <w:p w14:paraId="7ACBC92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6F1F3C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Tratándose de suspensión provisional ordenada por la autoridad competente, corresponderá al alcalde municipal o distrital designar como curador provisional al siguiente candidato de la lista de elegibles vigente mientras permanezca la medida. Si no hubiere candidatos disponibles en la lista de elegibles o si esta hubiese perdido su vigencia, el alcalde designará como curador provisional durante el término de suspensión, a uno de los demás curadores del municipio o distrito o a alguno de los miembros del grupo interdisciplinario del curador suspendido quien deberá reunir las mismas calidades exigidas para ser curador urbano. </w:t>
      </w:r>
    </w:p>
    <w:p w14:paraId="3B22F6A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75E711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El curador provisional estará sujeto al mismo régimen de inhabilidades, incompatibilidades, impedimentos y faltas disciplinarias de los curadores urbanos. </w:t>
      </w:r>
    </w:p>
    <w:p w14:paraId="68CD01DB" w14:textId="101D9D84"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466" w:name="ver_30074775"/>
      <w:bookmarkEnd w:id="1466"/>
    </w:p>
    <w:p w14:paraId="1BCD2EC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2.2.6.6.5.3 Faltas absolutas. Se consideran faltas absolutas de los curadores urbanos, las siguientes: </w:t>
      </w:r>
    </w:p>
    <w:p w14:paraId="2987C08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7F13AF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La renuncia aceptada en debida forma por el alcalde municipal o distrital. </w:t>
      </w:r>
    </w:p>
    <w:p w14:paraId="5C707D6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287F0E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La destitución del cargo. </w:t>
      </w:r>
    </w:p>
    <w:p w14:paraId="1431738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82A094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La incapacidad médica por más de 180 días calendario. </w:t>
      </w:r>
    </w:p>
    <w:p w14:paraId="0FB3306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854B50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4. La muerte del curador urbano. </w:t>
      </w:r>
    </w:p>
    <w:p w14:paraId="14B2F1E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FF691D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 La inhabilidad sobreviniente. </w:t>
      </w:r>
    </w:p>
    <w:p w14:paraId="2144DE8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A19FEE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6. La declaratoria de abandono injustificado del cargo por más de tres (3) días hábiles consecutivos, sin perjuicio de las sanciones que procedan. </w:t>
      </w:r>
    </w:p>
    <w:p w14:paraId="02554C5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D5EB70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7. La terminación del período individual para el cual fue designado. </w:t>
      </w:r>
    </w:p>
    <w:p w14:paraId="55A0EA2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942C94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8. La orden o decisión judicial. </w:t>
      </w:r>
    </w:p>
    <w:p w14:paraId="51D5C45F" w14:textId="5CBE4C3D"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467" w:name="ver_30074776"/>
      <w:bookmarkEnd w:id="1467"/>
    </w:p>
    <w:p w14:paraId="10DB535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2.2.6.6.5.4 Designación del reemplazo en caso de falta absoluta. En caso de falta absoluta del curador urbano, el alcalde municipal o distrital designará en su reemplazo, y por un nuevo período individual, al siguiente candidato de la lista de elegibles vigente. </w:t>
      </w:r>
    </w:p>
    <w:p w14:paraId="491920D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40E026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Si no hubiere candidatos disponibles en la lista de elegibles o cuando dicha lista hubiese perdido vigencia, el alcalde deberá convocar a un nuevo concurso dentro de los treinta (30) días hábiles siguientes a la fecha de presentarse la causal y mientras se surte el concurso, designará provisionalmente hasta que tome posesión el nuevo curador a alguno de los integrantes del grupo interdisciplinario especializado que haya apoyado la labor del curador saliente que reúna las mismas calidades exigidas para ser curador urbano o, en su defecto a uno de los demás curadores del municipio o distrito. </w:t>
      </w:r>
    </w:p>
    <w:p w14:paraId="087F97B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1EB2C7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Mientras se designa el reemplazo provisional del curador urbano, se entenderán suspendidos los términos para resolver sobre las solicitudes de licencia y demás actuaciones que se </w:t>
      </w:r>
      <w:proofErr w:type="gramStart"/>
      <w:r w:rsidRPr="009342F9">
        <w:rPr>
          <w:rFonts w:ascii="Arial" w:eastAsia="Times New Roman" w:hAnsi="Arial" w:cs="Arial"/>
          <w:color w:val="000000"/>
          <w:lang w:eastAsia="es-CO"/>
        </w:rPr>
        <w:t>encontraran</w:t>
      </w:r>
      <w:proofErr w:type="gramEnd"/>
      <w:r w:rsidRPr="009342F9">
        <w:rPr>
          <w:rFonts w:ascii="Arial" w:eastAsia="Times New Roman" w:hAnsi="Arial" w:cs="Arial"/>
          <w:color w:val="000000"/>
          <w:lang w:eastAsia="es-CO"/>
        </w:rPr>
        <w:t xml:space="preserve"> en trámite. </w:t>
      </w:r>
    </w:p>
    <w:p w14:paraId="56153F1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8227D9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Lo anterior, sin perjuicio de la responsabilidad disciplinaria que se derive para los funcionarios que incumplan con la obligación de designar el reemplazo provisional de manera inmediata y convocar el concurso dentro del término establecido para el efecto en el presente decreto. </w:t>
      </w:r>
    </w:p>
    <w:p w14:paraId="2E381B9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9862EC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Ante la falta absoluta de todos los curadores urbanos de un municipio o distrito, y cuando no fuere posible cumplir con lo previsto en este artículo para la designación provisional de los mismos, la administración municipal o distrital asumirá de manera inmediata la prestación del servicio hasta tanto se designen los curadores urbanos en propiedad. En estos casos, la administración municipal o distrital no podrá cobrar expensas por el estudio, trámite y expedición de las licencias y otras actuaciones. </w:t>
      </w:r>
    </w:p>
    <w:p w14:paraId="177BBE82" w14:textId="71D5A92E"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468" w:name="ver_30074777"/>
      <w:bookmarkEnd w:id="1468"/>
    </w:p>
    <w:p w14:paraId="0148459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2.2.6.6.5.5 Entrega de archivos. Sin perjuicio de lo dispuesto en la Ley 594 de 2000 y su reglamento, el curador urbano saliente deberá entregar a quien se haya posesionado en su reemplazo, definitiva o provisionalmente, los expedientes que estuvieran cursando trámite. En caso de faltas absolutas y cuando no se hubiere designado el reemplazo del curador urbano saliente, este último deberá remitir los expedientes que estuvieren en curso, de manera inmediata, a la autoridad municipal o distrital de planeación, o la entidad que haga sus veces, la cual podrá asignar el asunto o distribuirlo por reparto entre los curadores urbanos que continúen prestando esta función. </w:t>
      </w:r>
    </w:p>
    <w:p w14:paraId="4CA171F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89DE39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Parágrafo. El pago de las expensas correspondientes a los expedientes en trámite de que trata este </w:t>
      </w:r>
      <w:proofErr w:type="gramStart"/>
      <w:r w:rsidRPr="009342F9">
        <w:rPr>
          <w:rFonts w:ascii="Arial" w:eastAsia="Times New Roman" w:hAnsi="Arial" w:cs="Arial"/>
          <w:color w:val="000000"/>
          <w:lang w:eastAsia="es-CO"/>
        </w:rPr>
        <w:t>artículo,</w:t>
      </w:r>
      <w:proofErr w:type="gramEnd"/>
      <w:r w:rsidRPr="009342F9">
        <w:rPr>
          <w:rFonts w:ascii="Arial" w:eastAsia="Times New Roman" w:hAnsi="Arial" w:cs="Arial"/>
          <w:color w:val="000000"/>
          <w:lang w:eastAsia="es-CO"/>
        </w:rPr>
        <w:t xml:space="preserve"> se realizará de acuerdo con lo previsto en este decreto. </w:t>
      </w:r>
    </w:p>
    <w:p w14:paraId="243706DE" w14:textId="613B9849"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469" w:name="ver_30074778"/>
      <w:bookmarkEnd w:id="1469"/>
    </w:p>
    <w:p w14:paraId="6E0F3F9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Artículo 2.2.6.6.5.6 Obligación del curador saliente. Tratándose de renuncia, permiso y terminación del período deberá el curador facilitar, permitir y procurar la continuidad de la prestación del servicio hasta tanto asuma la responsabilidad quien habrá de reemplazarlo. </w:t>
      </w:r>
    </w:p>
    <w:p w14:paraId="20023EE9" w14:textId="7A99D3F8"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470" w:name="ver_30074780"/>
      <w:bookmarkEnd w:id="1470"/>
    </w:p>
    <w:p w14:paraId="11342C3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2.2.6.6.5.7 Régimen de inhabilidades, incompatibilidades e impedimentos. En ejercicio de sus funciones, a los curadores urbanos se les aplicará, en lo pertinente, el régimen de inhabilidades, incompatibilidades e impedimentos previsto para los particulares que desempeñan funciones públicas en la ley. </w:t>
      </w:r>
    </w:p>
    <w:p w14:paraId="73FC108F" w14:textId="77777777" w:rsidR="00377DAA" w:rsidRDefault="00FC79C1" w:rsidP="00377DAA">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471" w:name="ver_30074781"/>
      <w:bookmarkEnd w:id="1471"/>
    </w:p>
    <w:p w14:paraId="0628FE1C" w14:textId="4085E166" w:rsidR="00FC79C1" w:rsidRPr="009342F9" w:rsidRDefault="00FC79C1" w:rsidP="00377DAA">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SECCIÓN 6</w:t>
      </w:r>
    </w:p>
    <w:p w14:paraId="6DA920DB" w14:textId="77777777" w:rsidR="00FC79C1" w:rsidRPr="009342F9" w:rsidRDefault="00FC79C1" w:rsidP="00D4095E">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PRESTACIÓN DEL SERVICIO</w:t>
      </w:r>
    </w:p>
    <w:p w14:paraId="0C5E639A"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472" w:name="ver_30074782"/>
      <w:bookmarkEnd w:id="1472"/>
    </w:p>
    <w:p w14:paraId="1C1FD01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2.2.6.6.6.1 Reparto de las solicitudes de licencia o de actos de reconocimiento de proyectos de las entidades estatales y de vivienda de interés social individual. Las solicitudes de licencias o de actos de reconocimiento que presenten las entidades estatales o los particulares para proyectos de vivienda de interés social individual, deberán someterse a reparto entre los distintos curadores urbanos del municipio o distrito, en estricto orden de radicación de la solicitud ante el curador urbano responsable del reparto en los términos previstos en este artículo. </w:t>
      </w:r>
    </w:p>
    <w:p w14:paraId="0B7F686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1D469D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 entidad interesada o el particular solamente presentarán el Formulario Único Nacional de Solicitud de Licencia diligenciado ante el curador urbano encargado del reparto, quien de manera inmediata hará el mismo, indicando el curador urbano ante quien debe radicar la solicitud. Al curador al que se asigne el proyecto le corresponde revisar que el mismo cumpla con las condiciones de legal y debida forma previstas en este decreto. </w:t>
      </w:r>
    </w:p>
    <w:p w14:paraId="3CEE439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BA2C3F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El curador urbano responsable del reparto llevará dos consecutivos uno para el reparto de las solicitudes que presenten las entidades estatales y otro para el reparto de los proyectos de vivienda de interés social individual. En cada uno se consignará el número </w:t>
      </w:r>
      <w:proofErr w:type="spellStart"/>
      <w:r w:rsidRPr="009342F9">
        <w:rPr>
          <w:rFonts w:ascii="Arial" w:eastAsia="Times New Roman" w:hAnsi="Arial" w:cs="Arial"/>
          <w:color w:val="000000"/>
          <w:lang w:eastAsia="es-CO"/>
        </w:rPr>
        <w:t>del</w:t>
      </w:r>
      <w:proofErr w:type="spellEnd"/>
      <w:r w:rsidRPr="009342F9">
        <w:rPr>
          <w:rFonts w:ascii="Arial" w:eastAsia="Times New Roman" w:hAnsi="Arial" w:cs="Arial"/>
          <w:color w:val="000000"/>
          <w:lang w:eastAsia="es-CO"/>
        </w:rPr>
        <w:t xml:space="preserve"> folio de matrícula inmobiliaria del predio, la fecha y hora de recibo de la solicitud y la designación del curador urbano en razón al orden numérico que los identifica. Si por cualquier causa se desiste del proyecto, la nueva o nuevas solicitudes sobre el mismo predio no requerirán reparto y se tramitarán ante el mismo curador. Las prórrogas, modificaciones y revalidaciones de licencias correspondientes a esta clase de proyectos se tramitarán ante el Curador Urbano que expidió la licencia o quien haya sido designado provisional o definitivamente mediante acto administrativo. </w:t>
      </w:r>
    </w:p>
    <w:p w14:paraId="4E443CE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AE1853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todo caso, el pago del cargo fijo “CF” de que trata el presente decreto deberá cancelarse ante el curador urbano que adelante el trámite. </w:t>
      </w:r>
    </w:p>
    <w:p w14:paraId="28C18A1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3DC7EA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1°. Corresponderá a los curadores urbanos del municipio o distrito ejercer la función de reparto comenzando con el curador primero de cada municipio o distrito. Esta función se ejercerá por períodos anuales de enero a diciembre. Culminado el primer año se seguirá en orden consecutivo atendiendo a la numeración de los curadores urbanos. </w:t>
      </w:r>
    </w:p>
    <w:p w14:paraId="5CF2EF9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EDEF69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 partir del 3 de mayo de 2010, el curador urbano que actualmente está ejerciendo la función de reparto en cada municipio o distrito continuará con la misma hasta el 31 de diciembre de 2010, fecha a partir de la cual se aplicará el sistema de rotación de que trata este parágrafo. </w:t>
      </w:r>
    </w:p>
    <w:p w14:paraId="7AA693D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3824D2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 falta de reparto o la inobservancia de las reglas que lo rigen harán incurrir al curador urbano responsable del mismo o al funcionario público de la entidad solicitante de la licencia responsable del proyecto en causal de mala conducta, de conformidad con las disposiciones del Código Único Disciplinario. </w:t>
      </w:r>
    </w:p>
    <w:p w14:paraId="18D7F93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w:t>
      </w:r>
    </w:p>
    <w:p w14:paraId="307F7C9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2°. Las solicitudes de reconocimiento de cada una de las viviendas que hagan parte de los proyectos de mejoramiento de que trata el presente decreto, o que hagan parte de proyectos que sean objeto del subsidio de mejoramiento otorgado por los municipios y distritos, podrán ser radicadas de manera colectiva por parte del oferente, sin sujeción a las normas que regulan el reparto de que trata el presente artículo ante cualquier curador urbano. </w:t>
      </w:r>
    </w:p>
    <w:p w14:paraId="25DC1BC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8236AF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todo caso, el acto de reconocimiento se otorgará para cada una de las viviendas que hacen parte del proyecto en los términos de este decreto y demás normas que los modifiquen, adicionen o sustituyan. </w:t>
      </w:r>
    </w:p>
    <w:p w14:paraId="41490C52" w14:textId="4DD745EE"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473" w:name="ver_30074783"/>
      <w:bookmarkEnd w:id="1473"/>
    </w:p>
    <w:p w14:paraId="2A6A779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2.2.6.6.6.2 Despacho al público del curador urbano. Sin perjuicio de lo dispuesto en el artículo 9º de la Ley 962 de 2005, los curadores urbanos tendrán las horas de despacho público que sean necesarias para un buen servicio, sin que su jornada pueda ser inferior a ocho (8) horas diarias en jornada laboral diurna. </w:t>
      </w:r>
    </w:p>
    <w:p w14:paraId="517B82F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A5D5CF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Salvo lo dispuesto en el parágrafo siguiente, las diferentes dependencias del despacho del curador funcionarán conservando una unidad locativa única y no podrán establecer sedes alternas o puntos descentralizados de la curaduría. </w:t>
      </w:r>
    </w:p>
    <w:p w14:paraId="3AC4FC0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20643A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Los alcaldes de los municipios y distritos cuya población en la cabecera urbana supere el millón de habitantes, podrán autorizar a cada curador urbano para que establezca un punto alterno de servicio, con el fin de ampliar la cobertura del servicio y, en especial, apoyar la ejecución de las políticas habitacionales locales en materia de vivienda de interés social, mejoramiento integral de barrios y reconocimiento de edificaciones. En cualquier caso, los puntos alternos sólo tendrán por objeto facilitar a los ciudadanos la consulta ágil de información relacionada con los diferentes trámites ante los curadores urbanos y la radicación de las solicitudes de licencias. </w:t>
      </w:r>
    </w:p>
    <w:p w14:paraId="6C020DD7" w14:textId="54096796"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474" w:name="ver_30074784"/>
      <w:bookmarkEnd w:id="1474"/>
    </w:p>
    <w:p w14:paraId="25D9D45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2.2.6.6.6.3 Recurso humano del curador urbano. Los curadores urbanos deberán contar con el grupo interdisciplinario especializado que apoyará su labor, como mínimo en materia jurídica, arquitectónica y de la ingeniería civil especializada en estructuras. Al menos uno de los miembros del grupo interdisciplinario deberá reunir las mismas calidades del curador para suplirlo en los casos de faltas temporales, en los términos de que trata la Sección 5 del presente Capítulo. </w:t>
      </w:r>
    </w:p>
    <w:p w14:paraId="4A101ED6" w14:textId="3267077A"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475" w:name="ver_30074785"/>
      <w:bookmarkEnd w:id="1475"/>
    </w:p>
    <w:p w14:paraId="677BC49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2.2.6.6.6.4 Conexión electrónica con las oficinas de planeación. Los municipios y distritos, al momento de convocar el concurso de que trata la Sección 3 del presente Capítulo, establecerán las exigencias mínimas que deben cumplir los curadores urbanos durante su período individual en cuanto a tecnología de transmisión electrónica de datos y equipos de cómputo para garantizar la conexión electrónica con las oficinas de planeación municipales o distritales, o las que hagan sus veces, de manera que puedan acceder a la información que requieran para la expedición de las licencias. En todo caso, los municipios y distritos deberán garantizar la disponibilidad de medios tecnológicos o electrónicos para hacer efectiva dicha conexión. </w:t>
      </w:r>
    </w:p>
    <w:p w14:paraId="1691886F" w14:textId="36354446"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476" w:name="ver_30074786"/>
      <w:bookmarkEnd w:id="1476"/>
    </w:p>
    <w:p w14:paraId="682BD18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2.2.6.6.6.5 Utilización de sistemas electrónicos de archivos y transmisión de datos. De conformidad con lo previsto en el artículo 6º de la Ley 962 de 2005, los curadores urbanos deberán habilitar sistemas de transmisión electrónica de datos para que los usuarios envíen o reciban la información requerida en sus actuaciones frente a las materias objeto de la curaduría. </w:t>
      </w:r>
    </w:p>
    <w:p w14:paraId="7AAD7DEE" w14:textId="31432485"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477" w:name="ver_30074788"/>
      <w:bookmarkEnd w:id="1477"/>
    </w:p>
    <w:p w14:paraId="6CC5001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Artículo 2.2.6.6.6.6 Actuación coordinada. Los curadores urbanos deberán actuar en completa coordinación entre ellos mismos y con las entidades que intervienen en el desarrollo municipal o distrital. </w:t>
      </w:r>
    </w:p>
    <w:p w14:paraId="5CA1F45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C2749B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Sin perjuicio de lo dispuesto en el presente decreto y en la Resolución 0984 de 2005 del Ministerio de Ambiente, Vivienda y Desarrollo Territorial o la norma que la adicione, modifique o sustituya, los curadores urbanos que ejerzan su función en un determinado municipio o distrito unificarán criterios para la aplicación de la normatividad urbanística y homologarán los mecanismos y demás formularios y procedimientos que sean necesarios para asegurar el acceso al servicio, en las mismas condiciones en cada una de las curadurías del respectivo municipio o distrito. </w:t>
      </w:r>
    </w:p>
    <w:p w14:paraId="1A435CA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546397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Sin perjuicio de lo dispuesto en el presente decreto, los curadores urbanos deberán verificar, en todos los casos, si los proyectos objeto de una solicitud de licencia han cursado trámite con anterioridad ante los demás curadores del municipio o distrito, con el fin de considerar tales antecedentes en la decisión que se pretenda adoptar. </w:t>
      </w:r>
    </w:p>
    <w:p w14:paraId="35A388B7" w14:textId="148184E4" w:rsidR="00FC79C1" w:rsidRPr="009342F9" w:rsidRDefault="00FC79C1" w:rsidP="00377DAA">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DC0B6A3" w14:textId="6B24E1EA" w:rsidR="00FC79C1" w:rsidRPr="009342F9" w:rsidRDefault="00FC79C1" w:rsidP="00D4095E">
      <w:pPr>
        <w:spacing w:after="0" w:line="240" w:lineRule="auto"/>
        <w:jc w:val="center"/>
        <w:rPr>
          <w:rFonts w:ascii="Arial" w:eastAsia="Times New Roman" w:hAnsi="Arial" w:cs="Arial"/>
          <w:b/>
          <w:bCs/>
          <w:color w:val="000000"/>
          <w:lang w:eastAsia="es-CO"/>
        </w:rPr>
      </w:pPr>
      <w:bookmarkStart w:id="1478" w:name="ver_30074789"/>
      <w:bookmarkEnd w:id="1478"/>
      <w:r w:rsidRPr="009342F9">
        <w:rPr>
          <w:rFonts w:ascii="Arial" w:eastAsia="Times New Roman" w:hAnsi="Arial" w:cs="Arial"/>
          <w:b/>
          <w:bCs/>
          <w:color w:val="000000"/>
          <w:lang w:eastAsia="es-CO"/>
        </w:rPr>
        <w:t>SECCIÓN 7</w:t>
      </w:r>
    </w:p>
    <w:p w14:paraId="452B631B" w14:textId="77777777" w:rsidR="00FC79C1" w:rsidRPr="009342F9" w:rsidRDefault="00FC79C1" w:rsidP="00D4095E">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VIGILANCIA Y CONTROL</w:t>
      </w:r>
    </w:p>
    <w:p w14:paraId="2C85DF1F"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479" w:name="ver_30125276"/>
      <w:bookmarkStart w:id="1480" w:name="ver_30125275"/>
      <w:bookmarkEnd w:id="1479"/>
    </w:p>
    <w:p w14:paraId="26CD79B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2.2.6.6.7.1 Vigilancia y control. El alcalde municipal o distrital, o su delegado permanente, será el encargado de vigilar y controlar el cumplimiento de las normas urbanísticas por parte de los curadores urbanos. </w:t>
      </w:r>
    </w:p>
    <w:p w14:paraId="33C2FF9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374FD6B" w14:textId="5A907CFE" w:rsidR="00FC79C1" w:rsidRPr="009342F9" w:rsidRDefault="00FC79C1" w:rsidP="00FC79C1">
      <w:pPr>
        <w:spacing w:after="0" w:line="240" w:lineRule="auto"/>
        <w:jc w:val="both"/>
        <w:rPr>
          <w:rFonts w:ascii="Arial" w:eastAsia="Times New Roman" w:hAnsi="Arial" w:cs="Arial"/>
          <w:color w:val="000000"/>
          <w:lang w:eastAsia="es-CO"/>
        </w:rPr>
      </w:pPr>
      <w:bookmarkStart w:id="1481" w:name="ver_30074793"/>
      <w:bookmarkEnd w:id="1480"/>
      <w:bookmarkEnd w:id="1481"/>
      <w:r w:rsidRPr="009342F9">
        <w:rPr>
          <w:rFonts w:ascii="Arial" w:eastAsia="Times New Roman" w:hAnsi="Arial" w:cs="Arial"/>
          <w:color w:val="000000"/>
          <w:lang w:eastAsia="es-CO"/>
        </w:rPr>
        <w:t>Artículo 2.2.6.6.7.2.</w:t>
      </w:r>
      <w:r w:rsidR="00F87F8B">
        <w:rPr>
          <w:rFonts w:ascii="Arial" w:eastAsia="Times New Roman" w:hAnsi="Arial" w:cs="Arial"/>
          <w:color w:val="000000"/>
          <w:lang w:eastAsia="es-CO"/>
        </w:rPr>
        <w:t xml:space="preserve"> </w:t>
      </w:r>
      <w:r w:rsidRPr="009342F9">
        <w:rPr>
          <w:rFonts w:ascii="Arial" w:eastAsia="Times New Roman" w:hAnsi="Arial" w:cs="Arial"/>
          <w:color w:val="000000"/>
          <w:lang w:eastAsia="es-CO"/>
        </w:rPr>
        <w:t>Régimen disciplinario de los curadores urbanos. A los curadores urbanos se les aplica en el ejercicio de sus funciones públicas y en lo pertinente, el régimen disciplinario de la Ley 734 de 2002 o la norma que la adicione, modifique o sustituya. </w:t>
      </w:r>
    </w:p>
    <w:p w14:paraId="4581B579" w14:textId="77777777" w:rsidR="00377DAA" w:rsidRDefault="00377DAA" w:rsidP="00FC79C1">
      <w:pPr>
        <w:spacing w:after="0" w:line="240" w:lineRule="auto"/>
        <w:jc w:val="both"/>
        <w:rPr>
          <w:rFonts w:ascii="Arial" w:eastAsia="Times New Roman" w:hAnsi="Arial" w:cs="Arial"/>
          <w:color w:val="000000"/>
          <w:lang w:eastAsia="es-CO"/>
        </w:rPr>
      </w:pPr>
      <w:bookmarkStart w:id="1482" w:name="ver_30074795"/>
      <w:bookmarkEnd w:id="1482"/>
    </w:p>
    <w:p w14:paraId="6E27C61E" w14:textId="04D048B3"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2.2.6.6.7.3 Coordinación y seguimiento del curador urbano. Al Ministerio Vivienda, Ciudad y Territorio le corresponde coordinar y hacer seguimiento de los curadores urbanos, con el objetivo de orientar y apoyar su adecuado funcionamiento al interior de las administraciones locales. </w:t>
      </w:r>
    </w:p>
    <w:p w14:paraId="06E868F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D10373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desarrollo de las funciones de coordinación y seguimiento, el Ministerio Vivienda, Ciudad y Territorio podrá recomendar a los alcaldes municipales o distritales la creación y designación de nuevas curadurías urbanas y deberá informar a los alcaldes y demás entidades competentes de control sobre la ocurrencia de hechos que ameriten investigaciones a los curadores por las presuntas faltas cometidas en el desempeño de sus funciones. </w:t>
      </w:r>
    </w:p>
    <w:p w14:paraId="69846B03" w14:textId="6D1B1B19" w:rsidR="00D4095E" w:rsidRPr="009342F9" w:rsidRDefault="00FC79C1" w:rsidP="00377DAA">
      <w:pPr>
        <w:spacing w:after="0" w:line="240" w:lineRule="auto"/>
        <w:jc w:val="both"/>
        <w:rPr>
          <w:rFonts w:ascii="Arial" w:eastAsia="Times New Roman" w:hAnsi="Arial" w:cs="Arial"/>
          <w:b/>
          <w:bCs/>
          <w:color w:val="000000"/>
          <w:lang w:eastAsia="es-CO"/>
        </w:rPr>
      </w:pPr>
      <w:r w:rsidRPr="009342F9">
        <w:rPr>
          <w:rFonts w:ascii="Arial" w:eastAsia="Times New Roman" w:hAnsi="Arial" w:cs="Arial"/>
          <w:color w:val="000000"/>
          <w:lang w:eastAsia="es-CO"/>
        </w:rPr>
        <w:t>  </w:t>
      </w:r>
      <w:bookmarkStart w:id="1483" w:name="ver_30074797"/>
      <w:bookmarkEnd w:id="1483"/>
    </w:p>
    <w:p w14:paraId="7BAC91A0" w14:textId="00FBC260" w:rsidR="00FC79C1" w:rsidRPr="009342F9" w:rsidRDefault="00FC79C1" w:rsidP="00D4095E">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SECCIÓN 8</w:t>
      </w:r>
    </w:p>
    <w:p w14:paraId="265BAE39" w14:textId="77777777" w:rsidR="00FC79C1" w:rsidRPr="009342F9" w:rsidRDefault="00FC79C1" w:rsidP="00D4095E">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EXPENSAS POR TRÁMITES ANTE LOS CURADORES URBANOS</w:t>
      </w:r>
    </w:p>
    <w:p w14:paraId="2637875E"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484" w:name="ver_30125284"/>
      <w:bookmarkStart w:id="1485" w:name="ver_30125283"/>
      <w:bookmarkEnd w:id="1484"/>
    </w:p>
    <w:p w14:paraId="3B50DFA4" w14:textId="741812F5"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2.2.6.6.8.1.</w:t>
      </w:r>
      <w:r w:rsidR="00F87F8B">
        <w:rPr>
          <w:rFonts w:ascii="Arial" w:eastAsia="Times New Roman" w:hAnsi="Arial" w:cs="Arial"/>
          <w:color w:val="000000"/>
          <w:lang w:eastAsia="es-CO"/>
        </w:rPr>
        <w:t xml:space="preserve"> </w:t>
      </w:r>
      <w:r w:rsidRPr="009342F9">
        <w:rPr>
          <w:rFonts w:ascii="Arial" w:eastAsia="Times New Roman" w:hAnsi="Arial" w:cs="Arial"/>
          <w:color w:val="000000"/>
          <w:lang w:eastAsia="es-CO"/>
        </w:rPr>
        <w:t>Expensas por los trámites ante los curadores urbanos. Las expensas percibidas por los curadores urbanos se destinarán a cubrir los gastos que demande la prestación del servicio, incluyendo el pago de su grupo interdisciplinario de apoyo y la remuneración del curador urbano.  </w:t>
      </w:r>
    </w:p>
    <w:p w14:paraId="28A05CC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B146C6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todo caso, a partir del 3 de mayo de 2010, el curador urbano deberá reflejar en su contabilidad qué porcentaje de los ingresos provenientes de la liquidación del Cargo Variable “CV” de que trata el numeral 2 del artículo 2.2.6.6.8.3 del presente decreto, corresponde a:  </w:t>
      </w:r>
    </w:p>
    <w:p w14:paraId="4990708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539F09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Los gastos que demanda la prestación del servicio, y  </w:t>
      </w:r>
    </w:p>
    <w:p w14:paraId="5ACEB86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w:t>
      </w:r>
    </w:p>
    <w:p w14:paraId="4784229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La remuneración del curador.  </w:t>
      </w:r>
    </w:p>
    <w:p w14:paraId="332F4A3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83F715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De igual manera se procederá tratándose de la liquidación de expensas por la expedición de licencias de subdivisión, licencias de construcción individual de vivienda de interés social, el reconocimiento de edificaciones, prórroga y la autorización de las actuaciones de que tratan los artículos 2.2.6.6.8.11 a 2.2.6.6.8.15 de este decreto.  </w:t>
      </w:r>
    </w:p>
    <w:p w14:paraId="74EB90A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C1A7C5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1°. El pago al curador urbano del cargo fijo “Cf establecido en el numeral 1 del artículo 2.2.6.6.8.3 del presente decreto, siempre se destinará a cubrir los gastos que demande la prestación del servicio.  </w:t>
      </w:r>
    </w:p>
    <w:p w14:paraId="6F21E01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19F9AB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2°. Las expensas reguladas en el presente decreto son únicas y serán liquidadas por el curador urbano y pagadas a este por el solicitante del trámite o la licencia, de conformidad con los términos que se establecen en los artículos siguientes.  </w:t>
      </w:r>
    </w:p>
    <w:p w14:paraId="62FE505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15D03D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3°. En ningún caso los curadores urbanos podrán incluir dentro de los gastos para la prestación del servicio, el pago de honorarios a su favor distintos de lo que les corresponde a título de remuneración según lo señalado en el presente artículo; salvo cuando el curador urbano actué como revisor independiente de diseños estructurales, caso en el cual pactará con el solicitante la remuneración correspondiente a dicha labor de acuerdo con lo reglamentado por la Comisión Asesora Permanente para el Régimen de Construcción Sismorresistente.  </w:t>
      </w:r>
    </w:p>
    <w:p w14:paraId="7869BD3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B8D3DA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4°. En ningún caso las autoridades municipales o distritales encargadas del estudio, trámite y expedición de las licencias están autorizadas para hacer cobros de expensas.  </w:t>
      </w:r>
    </w:p>
    <w:p w14:paraId="59CE14ED" w14:textId="77777777" w:rsidR="00D4095E" w:rsidRPr="009342F9" w:rsidRDefault="00D4095E" w:rsidP="00FC79C1">
      <w:pPr>
        <w:spacing w:after="0" w:line="240" w:lineRule="auto"/>
        <w:jc w:val="both"/>
        <w:rPr>
          <w:rFonts w:ascii="Arial" w:eastAsia="Times New Roman" w:hAnsi="Arial" w:cs="Arial"/>
          <w:color w:val="000000"/>
          <w:lang w:eastAsia="es-CO"/>
        </w:rPr>
      </w:pPr>
      <w:bookmarkStart w:id="1486" w:name="ver_30109508"/>
      <w:bookmarkStart w:id="1487" w:name="ver_30109507"/>
      <w:bookmarkEnd w:id="1485"/>
      <w:bookmarkEnd w:id="1486"/>
    </w:p>
    <w:p w14:paraId="416136F4" w14:textId="180A2F8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2.2.6.6.8.2. Pago de los impuestos, gravámenes, tasas, participaciones y contribuciones asociadas a la expedición de licencias. El pago de los impuestos, gravámenes, tasas, participaciones y contribuciones asociados a la expedición de </w:t>
      </w:r>
      <w:proofErr w:type="gramStart"/>
      <w:r w:rsidRPr="009342F9">
        <w:rPr>
          <w:rFonts w:ascii="Arial" w:eastAsia="Times New Roman" w:hAnsi="Arial" w:cs="Arial"/>
          <w:color w:val="000000"/>
          <w:lang w:eastAsia="es-CO"/>
        </w:rPr>
        <w:t>licencias,</w:t>
      </w:r>
      <w:proofErr w:type="gramEnd"/>
      <w:r w:rsidRPr="009342F9">
        <w:rPr>
          <w:rFonts w:ascii="Arial" w:eastAsia="Times New Roman" w:hAnsi="Arial" w:cs="Arial"/>
          <w:color w:val="000000"/>
          <w:lang w:eastAsia="es-CO"/>
        </w:rPr>
        <w:t xml:space="preserve"> será independiente del pago de las expensas por los trámites ante el curador urbano.  </w:t>
      </w:r>
    </w:p>
    <w:p w14:paraId="498617D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84D6DD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Cuando los trámites ante los curadores urbanos causen impuestos, gravámenes, tasas, participaciones o contribuciones, los curadores sólo podrán expedir la licencia cuando el interesado demuestre la cancelación de las correspondientes obligaciones, para lo cual contará con un término de treinta (30) días hábiles, contados a partir del requerimiento de aportar los comprobantes de pago por tales conceptos. Dentro de este mismo término se deberán cancelar al curador urbano las expensas correspondientes al cargo variable.  </w:t>
      </w:r>
    </w:p>
    <w:p w14:paraId="0D7BD00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1E8B79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1°. Sin perjuicio de la responsabilidad disciplinaria a que haya lugar por el incumplimiento de lo dispuesto en el presente artículo, el curador urbano solamente debe verificar que el contribuyente acredite el pago de las obligaciones tributarias que se causen con ocasión de la expedición de la licencia.  </w:t>
      </w:r>
    </w:p>
    <w:p w14:paraId="37D72EC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529B6B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2°. Sin perjuicio de lo dispuesto en normas especiales, los ++murnc1p1os y distritos establecerán los procedimientos para que los curadores urbanos suministren a la autoridad municipal o distrital competente, la información necesaria para facilitar el control oportuno de la declaración, liquidación y pago de las obligaciones tributarias asociadas a la expedición de licencias urbanísticas , sin que lo anterior comporte la presentación de nuevos requisitos, trámites o documentos por parte de quienes soliciten la respectiva licencia.  </w:t>
      </w:r>
    </w:p>
    <w:p w14:paraId="3C52ABE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A9A4DB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Parágrafo 3°. El pago de la participación en plusvalía sólo será exigible cuando la liquidación esté inscrita en el folio de matrícula inmobiliaria del predio objeto de licencia teniendo en cuenta lo siguiente:  </w:t>
      </w:r>
    </w:p>
    <w:p w14:paraId="1CA4E65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D253E3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En trámites de licencia urbanísticas, el pago del tributo solo es exigible cuando la respectiva licencia se expida aplicando las normas urbanísticas generadoras de la participación en plusvalía. En consecuencia, cuando se trate de licencias de construcción en las modalidades de modificación, restauración, reforzamiento estructural, reconstrucción, cerramiento y demolición no es exigible el tributo, toda vez que se conserva el uso y edificabilidad del inmueble en las condiciones con que fue aprobado.  </w:t>
      </w:r>
    </w:p>
    <w:p w14:paraId="18CFCC8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6E6DC5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En trámites de modificación de licencia vigente no es exigible el pago del tributo, toda vez que no se trata de una nueva licencia y que las modificaciones deben resolverse aplicando las normas urbanísticas y demás reglamentaciones que sirvieron de base para su expedición.  </w:t>
      </w:r>
    </w:p>
    <w:p w14:paraId="119EF7E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A982E4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En tratándose de edificaciones sometidas al régimen de propiedad horizontal, cuando se presente el hecho generador contenido en el numeral 3 del artículo 74 de la Ley 388 de 1997, la liquidación se debe efectuar teniendo en cuenta el área del predio de mayor extensión sobre el cual se levanta la propiedad horizontal e inscribirse únicamente en el certificado de tradición y libertad del predio matriz que lo identifica, ya que las unidades privadas resultantes de la propiedad horizontal no pueden de manera individual hacer uso del mayor potencial de construcción. </w:t>
      </w:r>
    </w:p>
    <w:p w14:paraId="3C2B10FB" w14:textId="77777777" w:rsidR="00D4095E" w:rsidRPr="009342F9" w:rsidRDefault="00D4095E" w:rsidP="00FC79C1">
      <w:pPr>
        <w:spacing w:after="0" w:line="240" w:lineRule="auto"/>
        <w:jc w:val="both"/>
        <w:rPr>
          <w:rFonts w:ascii="Arial" w:eastAsia="Times New Roman" w:hAnsi="Arial" w:cs="Arial"/>
          <w:color w:val="000000"/>
          <w:lang w:eastAsia="es-CO"/>
        </w:rPr>
      </w:pPr>
      <w:bookmarkStart w:id="1488" w:name="ver_30074807"/>
      <w:bookmarkEnd w:id="1487"/>
      <w:bookmarkEnd w:id="1488"/>
    </w:p>
    <w:p w14:paraId="7F0F844B" w14:textId="52059B7E"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2.2.6.6.8.3 Fórmula para el cobro de las expensas por licencias y modalidades de las licencias. Los curadores urbanos cobrarán el valor de las expensas por las licencias y modalidades de las licencias urbanísticas de acuerdo con la siguiente ecuación: </w:t>
      </w:r>
    </w:p>
    <w:p w14:paraId="2E70E8E1" w14:textId="570CB9E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CA2B90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Donde E expresa el valor total de la expensa; Cf corresponde al cargo fijo; </w:t>
      </w:r>
      <w:proofErr w:type="spellStart"/>
      <w:r w:rsidRPr="009342F9">
        <w:rPr>
          <w:rFonts w:ascii="Arial" w:eastAsia="Times New Roman" w:hAnsi="Arial" w:cs="Arial"/>
          <w:color w:val="000000"/>
          <w:lang w:eastAsia="es-CO"/>
        </w:rPr>
        <w:t>Cv</w:t>
      </w:r>
      <w:proofErr w:type="spellEnd"/>
      <w:r w:rsidRPr="009342F9">
        <w:rPr>
          <w:rFonts w:ascii="Arial" w:eastAsia="Times New Roman" w:hAnsi="Arial" w:cs="Arial"/>
          <w:color w:val="000000"/>
          <w:lang w:eastAsia="es-CO"/>
        </w:rPr>
        <w:t xml:space="preserve"> corresponde al cargo variable; i expresa el uso y estrato o categoría en cualquier clase de suelo, m expresa el factor de municipio en función del tamaño del mercado y la categorización presupuestal de los municipios y distritos, y j es el factor que regula la relación entre el valor de las expensas y la cantidad de metros cuadrados objeto de la solicitud, de acuerdo con los índices que a continuación se expresan: </w:t>
      </w:r>
    </w:p>
    <w:p w14:paraId="49A24C9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260218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La tarifa única nacional para licencias de parcelación, urbanización y construcción y sus modalidades, correspondiente al cargo fijo (Cf) será igual al cuarenta por ciento (40%) de un salario mínimo legal mensual vigente. </w:t>
      </w:r>
    </w:p>
    <w:p w14:paraId="6CF3237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6A55E8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La tarifa única nacional para licencias de parcelación, urbanización y construcción y sus modalidades, correspondiente al cargo variable (</w:t>
      </w:r>
      <w:proofErr w:type="spellStart"/>
      <w:r w:rsidRPr="009342F9">
        <w:rPr>
          <w:rFonts w:ascii="Arial" w:eastAsia="Times New Roman" w:hAnsi="Arial" w:cs="Arial"/>
          <w:color w:val="000000"/>
          <w:lang w:eastAsia="es-CO"/>
        </w:rPr>
        <w:t>Cv</w:t>
      </w:r>
      <w:proofErr w:type="spellEnd"/>
      <w:r w:rsidRPr="009342F9">
        <w:rPr>
          <w:rFonts w:ascii="Arial" w:eastAsia="Times New Roman" w:hAnsi="Arial" w:cs="Arial"/>
          <w:color w:val="000000"/>
          <w:lang w:eastAsia="es-CO"/>
        </w:rPr>
        <w:t>) será igual al ochenta por ciento (80%) de un salario mínimo legal mensual vigente. </w:t>
      </w:r>
    </w:p>
    <w:p w14:paraId="5128657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5C8785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Factor i por estrato de vivienda y categoría de usos: </w:t>
      </w:r>
    </w:p>
    <w:p w14:paraId="46BC9437" w14:textId="27FB0186" w:rsidR="00FC79C1" w:rsidRPr="009342F9" w:rsidRDefault="48ABE02E" w:rsidP="00FC79C1">
      <w:pPr>
        <w:spacing w:after="0" w:line="240" w:lineRule="auto"/>
        <w:jc w:val="both"/>
        <w:rPr>
          <w:rFonts w:ascii="Arial" w:eastAsia="Times New Roman" w:hAnsi="Arial" w:cs="Arial"/>
          <w:color w:val="000000"/>
          <w:lang w:eastAsia="es-CO"/>
        </w:rPr>
      </w:pPr>
      <w:r>
        <w:rPr>
          <w:noProof/>
        </w:rPr>
        <w:lastRenderedPageBreak/>
        <w:drawing>
          <wp:inline distT="0" distB="0" distL="0" distR="0" wp14:anchorId="4ABADE25" wp14:editId="32066F0A">
            <wp:extent cx="5400040" cy="240665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20">
                      <a:extLst>
                        <a:ext uri="{28A0092B-C50C-407E-A947-70E740481C1C}">
                          <a14:useLocalDpi xmlns:a14="http://schemas.microsoft.com/office/drawing/2010/main" val="0"/>
                        </a:ext>
                      </a:extLst>
                    </a:blip>
                    <a:stretch>
                      <a:fillRect/>
                    </a:stretch>
                  </pic:blipFill>
                  <pic:spPr>
                    <a:xfrm>
                      <a:off x="0" y="0"/>
                      <a:ext cx="5400040" cy="2406650"/>
                    </a:xfrm>
                    <a:prstGeom prst="rect">
                      <a:avLst/>
                    </a:prstGeom>
                  </pic:spPr>
                </pic:pic>
              </a:graphicData>
            </a:graphic>
          </wp:inline>
        </w:drawing>
      </w:r>
      <w:r w:rsidR="00FC79C1" w:rsidRPr="3DD719FF">
        <w:rPr>
          <w:rFonts w:ascii="Arial" w:eastAsia="Times New Roman" w:hAnsi="Arial" w:cs="Arial"/>
          <w:color w:val="000000" w:themeColor="text1"/>
          <w:lang w:eastAsia="es-CO"/>
        </w:rPr>
        <w:t> </w:t>
      </w:r>
    </w:p>
    <w:p w14:paraId="4B8EE52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3FB28C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Factor j para licencias de parcelación, urbanización y construcción y sus modalidades: </w:t>
      </w:r>
    </w:p>
    <w:p w14:paraId="1558E31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E0CC00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4.1 j de construcción para proyectos iguales o menores a 100 m2: j= 0,45 </w:t>
      </w:r>
    </w:p>
    <w:p w14:paraId="1A306C4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EB659B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4.2 j de construcción para proyectos superiores a 100 m2 e inferiores a 11.000 m2: </w:t>
      </w:r>
    </w:p>
    <w:p w14:paraId="449CF31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4257305" w14:textId="5D606D5A" w:rsidR="00FC79C1" w:rsidRPr="009342F9" w:rsidRDefault="48ABE02E" w:rsidP="00FC79C1">
      <w:pPr>
        <w:spacing w:after="0" w:line="240" w:lineRule="auto"/>
        <w:jc w:val="both"/>
        <w:rPr>
          <w:rFonts w:ascii="Arial" w:eastAsia="Times New Roman" w:hAnsi="Arial" w:cs="Arial"/>
          <w:color w:val="000000"/>
          <w:lang w:eastAsia="es-CO"/>
        </w:rPr>
      </w:pPr>
      <w:r>
        <w:rPr>
          <w:noProof/>
        </w:rPr>
        <w:drawing>
          <wp:inline distT="0" distB="0" distL="0" distR="0" wp14:anchorId="7DE91EB9" wp14:editId="367C1B30">
            <wp:extent cx="5400040" cy="2777490"/>
            <wp:effectExtent l="0" t="0" r="0" b="381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21">
                      <a:extLst>
                        <a:ext uri="{28A0092B-C50C-407E-A947-70E740481C1C}">
                          <a14:useLocalDpi xmlns:a14="http://schemas.microsoft.com/office/drawing/2010/main" val="0"/>
                        </a:ext>
                      </a:extLst>
                    </a:blip>
                    <a:stretch>
                      <a:fillRect/>
                    </a:stretch>
                  </pic:blipFill>
                  <pic:spPr>
                    <a:xfrm>
                      <a:off x="0" y="0"/>
                      <a:ext cx="5400040" cy="2777490"/>
                    </a:xfrm>
                    <a:prstGeom prst="rect">
                      <a:avLst/>
                    </a:prstGeom>
                  </pic:spPr>
                </pic:pic>
              </a:graphicData>
            </a:graphic>
          </wp:inline>
        </w:drawing>
      </w:r>
      <w:r w:rsidR="00FC79C1" w:rsidRPr="3DD719FF">
        <w:rPr>
          <w:rFonts w:ascii="Arial" w:eastAsia="Times New Roman" w:hAnsi="Arial" w:cs="Arial"/>
          <w:color w:val="000000" w:themeColor="text1"/>
          <w:lang w:eastAsia="es-CO"/>
        </w:rPr>
        <w:t> </w:t>
      </w:r>
    </w:p>
    <w:p w14:paraId="3BBA683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93D31A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1°. De conformidad con el artículo 11 de la Ley 810 de 2003, las expensas de que trata este artículo serán liquidadas al cincuenta por ciento (50%) cuando se trate de solicitudes de licencia de vivienda de interés social. </w:t>
      </w:r>
    </w:p>
    <w:p w14:paraId="3BA63FB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3E8038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Para todas las modalidades de licencia de construcción y actos de reconocimiento de dotacionales públicos destinados a salud, educación y bienestar social en el caso de proyectos cuya titularidad sea de las entidades del nivel central o descentralizado de la rama ejecutiva del orden nacional, departamental, municipal y distrital, las expensas de que trata este artículo serán liquidadas al cincuenta por ciento (50%) de los valores aprobados en el presente decreto. </w:t>
      </w:r>
    </w:p>
    <w:p w14:paraId="26DB87D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EF80A0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Parágrafo 2°. Los curadores deberán tener en lugar visible a disposición de los interesados, sin que ello implique el pago de expensas o remuneraciones, el cargo fijo “Cf” y el cargo variable “</w:t>
      </w:r>
      <w:proofErr w:type="spellStart"/>
      <w:r w:rsidRPr="009342F9">
        <w:rPr>
          <w:rFonts w:ascii="Arial" w:eastAsia="Times New Roman" w:hAnsi="Arial" w:cs="Arial"/>
          <w:color w:val="000000"/>
          <w:lang w:eastAsia="es-CO"/>
        </w:rPr>
        <w:t>Cv</w:t>
      </w:r>
      <w:proofErr w:type="spellEnd"/>
      <w:r w:rsidRPr="009342F9">
        <w:rPr>
          <w:rFonts w:ascii="Arial" w:eastAsia="Times New Roman" w:hAnsi="Arial" w:cs="Arial"/>
          <w:color w:val="000000"/>
          <w:lang w:eastAsia="es-CO"/>
        </w:rPr>
        <w:t>” y las expensas por otras actuaciones, así como la ecuación y las tablas de los factores i y j que se establecen en el presente decreto, para efectos de la liquidación de expensas. </w:t>
      </w:r>
    </w:p>
    <w:p w14:paraId="1CA5286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70BAEF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transitorio. Las solicitudes de licencias radicadas en legal y debida forma antes del 3 de mayo de 2010, se liquidarán con arreglo a las tarifas que se encontraren vigentes al momento de la solicitud. </w:t>
      </w:r>
    </w:p>
    <w:p w14:paraId="5FC26505" w14:textId="1838FD5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489" w:name="ver_30074897"/>
      <w:bookmarkEnd w:id="1489"/>
    </w:p>
    <w:p w14:paraId="06E173F6" w14:textId="7061D898"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2.2.6.6.8.4 Asignación del factor municipal. Adóptense los siguientes valores para el factor m en aquellos municipios y distritos donde actualmente la competencia para expedir licencias es de los curadores urbanos: </w:t>
      </w:r>
    </w:p>
    <w:p w14:paraId="122A50F4" w14:textId="562318D0" w:rsidR="00FC79C1" w:rsidRPr="009342F9" w:rsidRDefault="48ABE02E" w:rsidP="00FC79C1">
      <w:pPr>
        <w:spacing w:after="0" w:line="240" w:lineRule="auto"/>
        <w:jc w:val="both"/>
        <w:rPr>
          <w:rFonts w:ascii="Arial" w:eastAsia="Times New Roman" w:hAnsi="Arial" w:cs="Arial"/>
          <w:color w:val="000000"/>
          <w:lang w:eastAsia="es-CO"/>
        </w:rPr>
      </w:pPr>
      <w:r>
        <w:rPr>
          <w:noProof/>
        </w:rPr>
        <w:drawing>
          <wp:inline distT="0" distB="0" distL="0" distR="0" wp14:anchorId="734C894D" wp14:editId="6FB6DC32">
            <wp:extent cx="3735070" cy="4865248"/>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22">
                      <a:extLst>
                        <a:ext uri="{28A0092B-C50C-407E-A947-70E740481C1C}">
                          <a14:useLocalDpi xmlns:a14="http://schemas.microsoft.com/office/drawing/2010/main" val="0"/>
                        </a:ext>
                      </a:extLst>
                    </a:blip>
                    <a:stretch>
                      <a:fillRect/>
                    </a:stretch>
                  </pic:blipFill>
                  <pic:spPr>
                    <a:xfrm>
                      <a:off x="0" y="0"/>
                      <a:ext cx="3735070" cy="4865248"/>
                    </a:xfrm>
                    <a:prstGeom prst="rect">
                      <a:avLst/>
                    </a:prstGeom>
                  </pic:spPr>
                </pic:pic>
              </a:graphicData>
            </a:graphic>
          </wp:inline>
        </w:drawing>
      </w:r>
      <w:r w:rsidR="00FC79C1" w:rsidRPr="3DD719FF">
        <w:rPr>
          <w:rFonts w:ascii="Arial" w:eastAsia="Times New Roman" w:hAnsi="Arial" w:cs="Arial"/>
          <w:color w:val="000000" w:themeColor="text1"/>
          <w:lang w:eastAsia="es-CO"/>
        </w:rPr>
        <w:t> </w:t>
      </w:r>
    </w:p>
    <w:p w14:paraId="7C70570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CC7EF8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De conformidad con lo establecido en el presente decreto, el Ministerio de Vivienda, Ciudad y Territorio determinará mediante resolución el factor municipal para la liquidación de las expensas de los municipios que decidan designar curadores urbanos por primera vez. </w:t>
      </w:r>
    </w:p>
    <w:p w14:paraId="3D6B2658" w14:textId="21703B9D"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490" w:name="ver_30074920"/>
      <w:bookmarkEnd w:id="1490"/>
    </w:p>
    <w:p w14:paraId="52AAC83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2.2.6.6.8.5 Radicación de las solicitudes de licencias. Además de los requisitos contemplados en la Subsección 1 de la Sección 2 del Capítulo 1 del presente Título, será condición para la radicación ante las curadurías urbanas de toda solicitud de licencia de </w:t>
      </w:r>
      <w:r w:rsidRPr="009342F9">
        <w:rPr>
          <w:rFonts w:ascii="Arial" w:eastAsia="Times New Roman" w:hAnsi="Arial" w:cs="Arial"/>
          <w:color w:val="000000"/>
          <w:lang w:eastAsia="es-CO"/>
        </w:rPr>
        <w:lastRenderedPageBreak/>
        <w:t>urbanización y construcción o sus modalidades, el pago al curador del cargo fijo “Cf” establecido en el presente decreto. </w:t>
      </w:r>
    </w:p>
    <w:p w14:paraId="7CD00CC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486C82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Dicho cargo no se reintegrará al interesado en caso de que la solicitud de licencia sea negada o desistida por el solicitante según lo previsto en el artículo del 2.2.6.1.2.3.4 presente decreto. </w:t>
      </w:r>
    </w:p>
    <w:p w14:paraId="34E3D0FE" w14:textId="386074AB"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491" w:name="ver_30074925"/>
      <w:bookmarkEnd w:id="1491"/>
    </w:p>
    <w:p w14:paraId="22D57B8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2.2.6.6.8.6 Liquidación de las expensas para las licencias de urbanización y parcelación. Para la liquidación de las expensas por las licencias de urbanización y parcelación, el factor j de que trata el presente decreto, se aplicará sobre el área bruta del predio o predios objeto de la solicitud. </w:t>
      </w:r>
    </w:p>
    <w:p w14:paraId="0C503A06" w14:textId="5BCC14CF"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492" w:name="ver_30125292"/>
      <w:bookmarkStart w:id="1493" w:name="ver_30125291"/>
      <w:bookmarkEnd w:id="1492"/>
    </w:p>
    <w:p w14:paraId="7CCEA76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2.2.6.6.8.7. Liquidación de las expensas para las licencias de construcción. Para la liquidación de las expensas por las licencias de construcción, el factor j) de que trata el presente decreto, se aplicará sobre el número de metros cuadrados “factor Q” del área cubierta a construir, ampliar o adecuar de cada unidad estructuralmente independiente, siempre y cuando estas unidades conformen edificaciones arquitectónicamente separadas. Se define como unidad estructuralmente independiente el conjunto de elementos estructurales que ensamblados están en capacidad de soportar las cargas gravitacionales y fuerzas horizontales que se generan en una edificación individual o arquitectónicamente independiente, transmitiéndolas al suelo de fundación.  </w:t>
      </w:r>
    </w:p>
    <w:p w14:paraId="1EF8451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57EC81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El área intervenida debe coincidir con el cuadro de áreas de los planos del respectivo proyecto.  </w:t>
      </w:r>
    </w:p>
    <w:p w14:paraId="5BCEDA3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99580B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Adicionalmente, y en caso de solicitar el cerramiento junto con otra modalidad de licencia, a los metros cuadrados “Factor Q” de esta última se sumarán los metros lineales del mismo.  </w:t>
      </w:r>
    </w:p>
    <w:p w14:paraId="6777AA1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4C45A3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Cuando en una licencia se autorice la ejecución de obras para el desarrollo de varios usos, la liquidación del Cargo Fijo “CF” corresponderá al del uso predominante y la liquidación del Cargo Variable “CV” se hará de manera independiente con base en el área destinada a cada uso.  </w:t>
      </w:r>
    </w:p>
    <w:p w14:paraId="2BC5DC7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0A80EC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Cuando en un solo acto administrativo se autorice la ejecución de obras en varias de las modalidades de la licencia de construcción, no habrá lugar a la liquidación de expensas en favor de los curadores urbanos de manera independiente para cada una de las modalidades contempladas en la respectiva licencia.  </w:t>
      </w:r>
    </w:p>
    <w:p w14:paraId="2A4B0B8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C063F3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Cuando se trate de licencia de construcción en la modalidad de adecuación y ella no incluya la autorización para la ejecución de obras, solamente deberá cancelarse el Cargo Fijo “CF” de la fórmula para la liquidación de expensas de que trata el presente decreto, el cual se liquidará al 50%.  </w:t>
      </w:r>
    </w:p>
    <w:p w14:paraId="36B30C0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DE1182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1°. Sin perjuicio de lo establecido en el artículo 7° de la Ley 675 de 2001, la liquidación de las expensas por la expedición de licencias para desarrollos integrados por etapas de inmuebles sometidos al régimen de propiedad horizontal, corresponderán a la etapa para la cual se solicita la respectiva licencia.  </w:t>
      </w:r>
    </w:p>
    <w:p w14:paraId="0F67443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7B0BB7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2°. La liquidación de expensas por la expedición de licencias de construcción en las modalidades de restauración, reconstrucción, modificación y reforzamiento estructural corresponderán al treinta por ciento (30%) del área a intervenir del inmueble objeto de la solicitud.  </w:t>
      </w:r>
    </w:p>
    <w:p w14:paraId="7E1FEE14" w14:textId="28CE4A88"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494" w:name="ver_30074927"/>
      <w:bookmarkEnd w:id="1493"/>
      <w:bookmarkEnd w:id="1494"/>
    </w:p>
    <w:p w14:paraId="29FD726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Artículo 2.2.6.6.8.8 Liquidación de las expensas para licencias simultáneas de urbanización, parcelación y construcción. La expensa se aplicará individualmente por cada licencia. </w:t>
      </w:r>
    </w:p>
    <w:p w14:paraId="7322428F" w14:textId="15271493"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495" w:name="ver_30074928"/>
      <w:bookmarkEnd w:id="1495"/>
    </w:p>
    <w:p w14:paraId="04605FB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2.2.6.6.8.9 Liquidación de las expensas para licencias de urbanización y construcción por etapas. Las expensas que se generen a favor del curador urbano corresponderán a la etapa para la cual se solicita la respectiva licencia. </w:t>
      </w:r>
    </w:p>
    <w:p w14:paraId="5170293B" w14:textId="427487A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496" w:name="ver_30074929"/>
      <w:bookmarkEnd w:id="1496"/>
    </w:p>
    <w:p w14:paraId="56EAA5A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2.2.6.6.8.10. Liquidación de las expensas para las modificaciones de licencias vigentes. Para la liquidación de las expensas de las modificaciones de licencias vigentes de urbanización, parcelación y construcción que no impliquen incremento del área aprobada, se aplicará el factor j de que trata el artículo 2.2.6.6.8.3 presente decreto sobre el treinta por ciento (30%) del área a intervenir del inmueble objeto de la solicitud. </w:t>
      </w:r>
    </w:p>
    <w:p w14:paraId="35E072A0" w14:textId="77777777" w:rsidR="00F87F8B" w:rsidRDefault="00F87F8B" w:rsidP="00FC79C1">
      <w:pPr>
        <w:spacing w:after="0" w:line="240" w:lineRule="auto"/>
        <w:jc w:val="both"/>
        <w:rPr>
          <w:rFonts w:ascii="Arial" w:eastAsia="Times New Roman" w:hAnsi="Arial" w:cs="Arial"/>
          <w:color w:val="000000"/>
          <w:lang w:eastAsia="es-CO"/>
        </w:rPr>
      </w:pPr>
      <w:bookmarkStart w:id="1497" w:name="ver_30074930"/>
      <w:bookmarkEnd w:id="1497"/>
    </w:p>
    <w:p w14:paraId="42DBB57E" w14:textId="5A9C366A"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2.2.6.6.8.11. Expensas por licencias de subdivisión. Las solicitudes de licencias de subdivisión en las modalidades de subdivisión rural y subdivisión urbana generarán en favor del curador urbano una expensa única equivalente a un (1) salario mínimo mensual legal vigente al momento de la radicación. </w:t>
      </w:r>
    </w:p>
    <w:p w14:paraId="01CE87E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B41712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Las expensas por la expedición de licencias de subdivisión en la modalidad de </w:t>
      </w:r>
      <w:proofErr w:type="spellStart"/>
      <w:r w:rsidRPr="009342F9">
        <w:rPr>
          <w:rFonts w:ascii="Arial" w:eastAsia="Times New Roman" w:hAnsi="Arial" w:cs="Arial"/>
          <w:color w:val="000000"/>
          <w:lang w:eastAsia="es-CO"/>
        </w:rPr>
        <w:t>reloteo</w:t>
      </w:r>
      <w:proofErr w:type="spellEnd"/>
      <w:r w:rsidRPr="009342F9">
        <w:rPr>
          <w:rFonts w:ascii="Arial" w:eastAsia="Times New Roman" w:hAnsi="Arial" w:cs="Arial"/>
          <w:color w:val="000000"/>
          <w:lang w:eastAsia="es-CO"/>
        </w:rPr>
        <w:t>, se liquidarán sobre el área útil urbanizable de la siguiente manera: </w:t>
      </w:r>
    </w:p>
    <w:p w14:paraId="489FC2A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3FAB85D" w14:textId="274C6ECF" w:rsidR="00FC79C1" w:rsidRPr="009342F9" w:rsidRDefault="48ABE02E" w:rsidP="00FC79C1">
      <w:pPr>
        <w:spacing w:after="0" w:line="240" w:lineRule="auto"/>
        <w:jc w:val="both"/>
        <w:rPr>
          <w:rFonts w:ascii="Arial" w:eastAsia="Times New Roman" w:hAnsi="Arial" w:cs="Arial"/>
          <w:color w:val="000000"/>
          <w:lang w:eastAsia="es-CO"/>
        </w:rPr>
      </w:pPr>
      <w:r>
        <w:rPr>
          <w:noProof/>
        </w:rPr>
        <w:drawing>
          <wp:inline distT="0" distB="0" distL="0" distR="0" wp14:anchorId="5A3C56F7" wp14:editId="74025A7B">
            <wp:extent cx="5452110" cy="1311275"/>
            <wp:effectExtent l="0" t="0" r="0" b="31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23">
                      <a:extLst>
                        <a:ext uri="{28A0092B-C50C-407E-A947-70E740481C1C}">
                          <a14:useLocalDpi xmlns:a14="http://schemas.microsoft.com/office/drawing/2010/main" val="0"/>
                        </a:ext>
                      </a:extLst>
                    </a:blip>
                    <a:stretch>
                      <a:fillRect/>
                    </a:stretch>
                  </pic:blipFill>
                  <pic:spPr>
                    <a:xfrm>
                      <a:off x="0" y="0"/>
                      <a:ext cx="5452110" cy="1311275"/>
                    </a:xfrm>
                    <a:prstGeom prst="rect">
                      <a:avLst/>
                    </a:prstGeom>
                  </pic:spPr>
                </pic:pic>
              </a:graphicData>
            </a:graphic>
          </wp:inline>
        </w:drawing>
      </w:r>
      <w:r w:rsidR="00FC79C1" w:rsidRPr="3DD719FF">
        <w:rPr>
          <w:rFonts w:ascii="Arial" w:eastAsia="Times New Roman" w:hAnsi="Arial" w:cs="Arial"/>
          <w:color w:val="000000" w:themeColor="text1"/>
          <w:lang w:eastAsia="es-CO"/>
        </w:rPr>
        <w:t> </w:t>
      </w:r>
    </w:p>
    <w:p w14:paraId="347F96C3"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498" w:name="ver_30074931"/>
      <w:bookmarkEnd w:id="1498"/>
    </w:p>
    <w:p w14:paraId="1DC77B8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2.2.6.6.8.12 Expensas en los casos de expedición de licencias de construcción individual de vivienda de interés social. Las solicitudes de licencia de construcción individual de vivienda de interés social unifamiliar o bifamiliar en los estratos 1, 2 y 3, generarán en favor del curador una expensa única equivalente a diez (10) salarios mínimos diarios legales vigentes al momento de la radicación por cada unidad de vivienda. En estos casos, las expensas se liquidarán al 50%, según lo dispuesto en el artículo 11 de la Ley 810 de 2003. </w:t>
      </w:r>
    </w:p>
    <w:p w14:paraId="1974A5D2" w14:textId="468CFA9A"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499" w:name="ver_30074932"/>
      <w:bookmarkEnd w:id="1499"/>
    </w:p>
    <w:p w14:paraId="2B0A30D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2.2.6.6.8.13 Expensas por prórrogas de licencias y revalidaciones. Las expensas por prórroga de licencias y revalidaciones serán iguales a un (1) salario mínimo legal mensual vigente. Tratándose de solicitudes individuales de vivienda de interés social será igual a dos (2) salarios mínimos legales diarios vigentes. </w:t>
      </w:r>
    </w:p>
    <w:p w14:paraId="6D48E1C4" w14:textId="33DFCC3E"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500" w:name="ver_30074933"/>
      <w:bookmarkEnd w:id="1500"/>
    </w:p>
    <w:p w14:paraId="200A1D9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2.2.6.6.8.14 Expensas por reconocimiento de edificaciones. Las expensas a favor de los curadores urbanos por la expedición del acto de reconocimiento se liquidarán con base en la tarifa vigente para la liquidación de las licencias de construcción. </w:t>
      </w:r>
    </w:p>
    <w:p w14:paraId="3F1E917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2BF20A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Cuando en el mismo acto administrativo se haga el reconocimiento de la edificación y se expida licencia de construcción en cualquiera de sus modalidades salvo las modalidades de ampliación y reconstrucción, solo habrá lugar a la liquidación de expensas por el reconocimiento de la construcción. </w:t>
      </w:r>
    </w:p>
    <w:p w14:paraId="495476C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85D1DB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Parágrafo 1°. Para liquidar estas expensas, se aplicará lo dispuesto en el parágrafo 1 del artículo 2.2.6.6.8.3 del presente decreto. </w:t>
      </w:r>
    </w:p>
    <w:p w14:paraId="3749A72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F9E93C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Parágrafo 2°. Tratándose de solicitudes individuales de reconocimiento de vivienda de interés social unifamiliar o bifamiliar en estratos 1, 2 y 3, se aplicará lo dispuesto en el artículo 2.2.6.6.8.12 del presente decreto y esta expensa también cubrirá la autorización para la ejecución de obras en una o varias de las modalidades de la licencia de construcción que sobre el predio se contemplen en el mismo acto administrativo que declare el reconocimiento. En todo caso, la autorización de las obras de construcción sobre el predio en que se localiza el inmueble objeto del </w:t>
      </w:r>
      <w:proofErr w:type="gramStart"/>
      <w:r w:rsidRPr="009342F9">
        <w:rPr>
          <w:rFonts w:ascii="Arial" w:eastAsia="Times New Roman" w:hAnsi="Arial" w:cs="Arial"/>
          <w:color w:val="000000"/>
          <w:lang w:eastAsia="es-CO"/>
        </w:rPr>
        <w:t>reconocimiento,</w:t>
      </w:r>
      <w:proofErr w:type="gramEnd"/>
      <w:r w:rsidRPr="009342F9">
        <w:rPr>
          <w:rFonts w:ascii="Arial" w:eastAsia="Times New Roman" w:hAnsi="Arial" w:cs="Arial"/>
          <w:color w:val="000000"/>
          <w:lang w:eastAsia="es-CO"/>
        </w:rPr>
        <w:t xml:space="preserve"> se sujetará a las normas urbanísticas que las autoridades municipales y distritales adopten para el efecto. </w:t>
      </w:r>
    </w:p>
    <w:p w14:paraId="587DA0DC" w14:textId="01BDE970"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501" w:name="ver_30074934"/>
      <w:bookmarkEnd w:id="1501"/>
    </w:p>
    <w:p w14:paraId="6691061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2.2.6.6.8.15 Expensas por otras actuaciones. Los curadores urbanos podrán cobrar las siguientes expensas por las otras actuaciones de que trata el artículo 2.2.6.1.3.1 del presente decreto, siempre y cuando estas se ejecuten de manera independiente a la expedición de la licencia: </w:t>
      </w:r>
    </w:p>
    <w:p w14:paraId="64A2947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C266E5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El ajuste de cotas de áreas por proyecto: </w:t>
      </w:r>
    </w:p>
    <w:p w14:paraId="7964335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41320E6" w14:textId="42D017BB" w:rsidR="00FC79C1" w:rsidRPr="009342F9" w:rsidRDefault="48ABE02E" w:rsidP="00FC79C1">
      <w:pPr>
        <w:spacing w:after="0" w:line="240" w:lineRule="auto"/>
        <w:jc w:val="both"/>
        <w:rPr>
          <w:rFonts w:ascii="Arial" w:eastAsia="Times New Roman" w:hAnsi="Arial" w:cs="Arial"/>
          <w:color w:val="000000"/>
          <w:lang w:eastAsia="es-CO"/>
        </w:rPr>
      </w:pPr>
      <w:r>
        <w:rPr>
          <w:noProof/>
        </w:rPr>
        <w:drawing>
          <wp:inline distT="0" distB="0" distL="0" distR="0" wp14:anchorId="57E135A5" wp14:editId="4260683C">
            <wp:extent cx="5555616" cy="741680"/>
            <wp:effectExtent l="0" t="0" r="6985" b="127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24">
                      <a:extLst>
                        <a:ext uri="{28A0092B-C50C-407E-A947-70E740481C1C}">
                          <a14:useLocalDpi xmlns:a14="http://schemas.microsoft.com/office/drawing/2010/main" val="0"/>
                        </a:ext>
                      </a:extLst>
                    </a:blip>
                    <a:stretch>
                      <a:fillRect/>
                    </a:stretch>
                  </pic:blipFill>
                  <pic:spPr>
                    <a:xfrm>
                      <a:off x="0" y="0"/>
                      <a:ext cx="5555616" cy="741680"/>
                    </a:xfrm>
                    <a:prstGeom prst="rect">
                      <a:avLst/>
                    </a:prstGeom>
                  </pic:spPr>
                </pic:pic>
              </a:graphicData>
            </a:graphic>
          </wp:inline>
        </w:drawing>
      </w:r>
      <w:r w:rsidR="00FC79C1" w:rsidRPr="3DD719FF">
        <w:rPr>
          <w:rFonts w:ascii="Arial" w:eastAsia="Times New Roman" w:hAnsi="Arial" w:cs="Arial"/>
          <w:color w:val="000000" w:themeColor="text1"/>
          <w:lang w:eastAsia="es-CO"/>
        </w:rPr>
        <w:t> </w:t>
      </w:r>
    </w:p>
    <w:p w14:paraId="3CE1CE5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DB53DE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La copia certificada de planos causará una expensa de un (1) salario mínimo diario legal vigente por cada plano. </w:t>
      </w:r>
    </w:p>
    <w:p w14:paraId="6D14115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5EA3BA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La aprobación de los Planos de Propiedad Horizontal (m2 construidos): </w:t>
      </w:r>
    </w:p>
    <w:p w14:paraId="76004C7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4824B4C" w14:textId="0E83C2B2" w:rsidR="00FC79C1" w:rsidRPr="009342F9" w:rsidRDefault="48ABE02E" w:rsidP="00FC79C1">
      <w:pPr>
        <w:spacing w:after="0" w:line="240" w:lineRule="auto"/>
        <w:jc w:val="both"/>
        <w:rPr>
          <w:rFonts w:ascii="Arial" w:eastAsia="Times New Roman" w:hAnsi="Arial" w:cs="Arial"/>
          <w:color w:val="000000"/>
          <w:lang w:eastAsia="es-CO"/>
        </w:rPr>
      </w:pPr>
      <w:r>
        <w:rPr>
          <w:noProof/>
        </w:rPr>
        <w:drawing>
          <wp:inline distT="0" distB="0" distL="0" distR="0" wp14:anchorId="75D3D4B4" wp14:editId="40894758">
            <wp:extent cx="5572760" cy="1569720"/>
            <wp:effectExtent l="0" t="0" r="889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25">
                      <a:extLst>
                        <a:ext uri="{28A0092B-C50C-407E-A947-70E740481C1C}">
                          <a14:useLocalDpi xmlns:a14="http://schemas.microsoft.com/office/drawing/2010/main" val="0"/>
                        </a:ext>
                      </a:extLst>
                    </a:blip>
                    <a:stretch>
                      <a:fillRect/>
                    </a:stretch>
                  </pic:blipFill>
                  <pic:spPr>
                    <a:xfrm>
                      <a:off x="0" y="0"/>
                      <a:ext cx="5572760" cy="1569720"/>
                    </a:xfrm>
                    <a:prstGeom prst="rect">
                      <a:avLst/>
                    </a:prstGeom>
                  </pic:spPr>
                </pic:pic>
              </a:graphicData>
            </a:graphic>
          </wp:inline>
        </w:drawing>
      </w:r>
      <w:r w:rsidR="00FC79C1" w:rsidRPr="3DD719FF">
        <w:rPr>
          <w:rFonts w:ascii="Arial" w:eastAsia="Times New Roman" w:hAnsi="Arial" w:cs="Arial"/>
          <w:color w:val="000000" w:themeColor="text1"/>
          <w:lang w:eastAsia="es-CO"/>
        </w:rPr>
        <w:t> </w:t>
      </w:r>
    </w:p>
    <w:p w14:paraId="158F62F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8D4C56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La autorización para el movimiento de tierras y construcción de piscinas (3m de excavación): </w:t>
      </w:r>
    </w:p>
    <w:p w14:paraId="55A6875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0A2FCE7" w14:textId="780D6A6B" w:rsidR="00FC79C1" w:rsidRPr="009342F9" w:rsidRDefault="48ABE02E" w:rsidP="00FC79C1">
      <w:pPr>
        <w:spacing w:after="0" w:line="240" w:lineRule="auto"/>
        <w:jc w:val="both"/>
        <w:rPr>
          <w:rFonts w:ascii="Arial" w:eastAsia="Times New Roman" w:hAnsi="Arial" w:cs="Arial"/>
          <w:color w:val="000000"/>
          <w:lang w:eastAsia="es-CO"/>
        </w:rPr>
      </w:pPr>
      <w:r>
        <w:rPr>
          <w:noProof/>
        </w:rPr>
        <w:lastRenderedPageBreak/>
        <w:drawing>
          <wp:inline distT="0" distB="0" distL="0" distR="0" wp14:anchorId="5A93EE75" wp14:editId="149D5228">
            <wp:extent cx="5460367" cy="1561465"/>
            <wp:effectExtent l="0" t="0" r="6985" b="63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26">
                      <a:extLst>
                        <a:ext uri="{28A0092B-C50C-407E-A947-70E740481C1C}">
                          <a14:useLocalDpi xmlns:a14="http://schemas.microsoft.com/office/drawing/2010/main" val="0"/>
                        </a:ext>
                      </a:extLst>
                    </a:blip>
                    <a:stretch>
                      <a:fillRect/>
                    </a:stretch>
                  </pic:blipFill>
                  <pic:spPr>
                    <a:xfrm>
                      <a:off x="0" y="0"/>
                      <a:ext cx="5460367" cy="1561465"/>
                    </a:xfrm>
                    <a:prstGeom prst="rect">
                      <a:avLst/>
                    </a:prstGeom>
                  </pic:spPr>
                </pic:pic>
              </a:graphicData>
            </a:graphic>
          </wp:inline>
        </w:drawing>
      </w:r>
      <w:r w:rsidR="00FC79C1" w:rsidRPr="3DD719FF">
        <w:rPr>
          <w:rFonts w:ascii="Arial" w:eastAsia="Times New Roman" w:hAnsi="Arial" w:cs="Arial"/>
          <w:color w:val="000000" w:themeColor="text1"/>
          <w:lang w:eastAsia="es-CO"/>
        </w:rPr>
        <w:t> </w:t>
      </w:r>
    </w:p>
    <w:p w14:paraId="37CD242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3EFC35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 La aprobación del proyecto urbanístico general de que trata el artículo 2.2.6.1.2.4.2 del presente decreto, generará una expensa en favor del curador urbano equivalente a diez (10) salarios mínimos diarios legales vigentes por cada cinco mil metros cuadrados (5.000 m2) de área útil urbanizable, descontada el área correspondiente a la primera etapa de la ejecución de la obra, sin que en ningún caso supere el valor de cinco (5) salarios mínimos legales mensuales. </w:t>
      </w:r>
    </w:p>
    <w:p w14:paraId="30264AD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8119FE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6. La modificación de plano urbanístico causará una expensa de un (1) salario mínimo legal mensual vigente. </w:t>
      </w:r>
    </w:p>
    <w:p w14:paraId="672F2DB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7F8A68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7. Los conceptos de norma urbanística generarán una expensa única equivalente a diez (10) salarios mínimos legales diarios vigentes al momento de la solicitud. </w:t>
      </w:r>
    </w:p>
    <w:p w14:paraId="391A8BD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A72E94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8. Los conceptos de uso del suelo generarán en favor del curador urbano una expensa única equivalente a dos (2) salarios mínimos legales diarios vigentes al momento de la solicitud. </w:t>
      </w:r>
    </w:p>
    <w:p w14:paraId="356B470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F904D9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1°. Las consultas verbales sobre información general de las normas urbanísticas vigentes en el municipio o distrito no generarán expensas a favor del curador urbano. </w:t>
      </w:r>
    </w:p>
    <w:p w14:paraId="0DFCFA8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D24369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2°. Tratándose de predios destinados a vivienda de interés social, la liquidación de expensas se hará teniendo en cuenta lo dispuesto en el artículo 2.2.6.6.8.12 del presente decreto. </w:t>
      </w:r>
    </w:p>
    <w:p w14:paraId="314FB42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9BFC9F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3°. Los municipios y distritos podrán plantear al Ministerio de Vivienda, Ciudad y Territorio la definición de otras actuaciones adicionales a las contempladas en el artículo 2.2.6.1.3.1 del presente decreto con su propuesta de expensas, las cuales deberán ser aprobadas mediante resolución del Ministerio de Vivienda, Ciudad y Territorio. </w:t>
      </w:r>
    </w:p>
    <w:p w14:paraId="2DB4A5C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647DBD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Hasta tanto no se aprueben expensas para nuevas actuaciones, los curadores urbanos no podrán hacer cobros por conceptos diferentes a los establecidos en el presente decreto, so pena de la responsabilidad a que haya lugar por tal actuación. </w:t>
      </w:r>
    </w:p>
    <w:p w14:paraId="0E489221" w14:textId="01DDB863"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502" w:name="ver_30074935"/>
      <w:bookmarkEnd w:id="1502"/>
    </w:p>
    <w:p w14:paraId="111AC17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2.2.6.6.8.16 Pago de expensas en caso de faltas absolutas del curador urbano. El pago de las expensas correspondientes a los expedientes en trámite de que trata el artículo 2.2.6.6.5.5 del presente decreto, en caso de falta absoluta del curador urbano, se realizará de la siguiente manera: </w:t>
      </w:r>
    </w:p>
    <w:p w14:paraId="4A7C1AD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61F721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Los cargos fijos que se generen por la radicación ante las curadurías urbanas de toda solicitud de licencia de urbanización, parcelación, subdivisión y construcción o sus modalidades, corresponderán al curador urbano ante el cual se radicó el proyecto. </w:t>
      </w:r>
    </w:p>
    <w:p w14:paraId="4F67D19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CE0586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2. Los cargos variables de las expensas que se causen por la expedición de licencias de urbanización, parcelación, subdivisión y construcción y sus modalidades, deberán ser canceladas por el solicitante al curador urbano que expida la licencia. </w:t>
      </w:r>
    </w:p>
    <w:p w14:paraId="267868B7" w14:textId="4D8DA389"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503" w:name="ver_30074936"/>
      <w:bookmarkEnd w:id="1503"/>
    </w:p>
    <w:p w14:paraId="7455F5B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2.2.6.6.8.17 Facturas por pago de expensas. Los curadores urbanos deben expedir facturas por concepto de pago de las expensas, en los términos que para el efecto determine el Estatuto Tributario y demás normas que lo reglamenten. </w:t>
      </w:r>
    </w:p>
    <w:p w14:paraId="6D09DF28" w14:textId="7498F27C" w:rsidR="00D4095E"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504" w:name="ver_30074937"/>
      <w:bookmarkEnd w:id="1504"/>
    </w:p>
    <w:p w14:paraId="42E09070" w14:textId="555C93CC" w:rsidR="00FC79C1" w:rsidRPr="009342F9" w:rsidRDefault="00FC79C1" w:rsidP="00D4095E">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SECCIÓN 9</w:t>
      </w:r>
    </w:p>
    <w:p w14:paraId="3C11E065" w14:textId="77777777" w:rsidR="00FC79C1" w:rsidRPr="009342F9" w:rsidRDefault="00FC79C1" w:rsidP="00D4095E">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COMISIONES DE VEEDURÍA DE LAS CURADURÍAS URBANAS</w:t>
      </w:r>
    </w:p>
    <w:p w14:paraId="14DA5604"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505" w:name="ver_30074938"/>
      <w:bookmarkEnd w:id="1505"/>
    </w:p>
    <w:p w14:paraId="17228A5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2.2.6.6.9.1 Comisiones de veeduría de las Curadurías Urbanas. En desarrollo de lo dispuesto por el numeral 5 del artículo 101 de la Ley 388 de 1997, el Ministerio de Vivienda, Ciudad y Territorio ejercerá la función de coordinación y seguimiento de los curadores urbanos en cada municipio o distrito a través de las comisiones de veeduría, las cuales serán convocadas ordinariamente por el alcalde municipal o distrital como mínimo trimestralmente, o cuando por lo menos tres de sus miembros lo consideren necesario. </w:t>
      </w:r>
    </w:p>
    <w:p w14:paraId="23219F2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BE4089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Las comisiones de veeduría estarán integradas así: </w:t>
      </w:r>
    </w:p>
    <w:p w14:paraId="562B60A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926C20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El alcalde municipal o distrital o su delegado quien la presidirá. </w:t>
      </w:r>
    </w:p>
    <w:p w14:paraId="3EEF441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C13F84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Un (1) representante de las asociaciones gremiales sin ánimo de lucro o fundaciones cuyas actividades tengan relación directa con el sector de la construcción o el desarrollo urbano. </w:t>
      </w:r>
    </w:p>
    <w:p w14:paraId="25279D8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BD3C5B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El personero municipal o distrital o su delegado. </w:t>
      </w:r>
    </w:p>
    <w:p w14:paraId="0655171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963688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Un (1) representante de la Sociedad Colombiana de Arquitectos. </w:t>
      </w:r>
    </w:p>
    <w:p w14:paraId="45AEE6F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1DEF08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 Un (1) representante de la Sociedad Colombiana de Ingenieros. </w:t>
      </w:r>
    </w:p>
    <w:p w14:paraId="40BEA61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CF59C0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1°. Los representantes de que tratan los numerales 2, 4 y 5 del presente artículo, deberán tener conocimiento y experiencia mínima de un año en materia de desarrollo urbanístico. </w:t>
      </w:r>
    </w:p>
    <w:p w14:paraId="256FF88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39D7B2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2°. El presidente a solicitud de los miembros de la comisión de veeduría de las curadurías urbanas podrá invitar a las sesiones de la Comisión a las personas naturales o jurídicas que estime conveniente, cuando la naturaleza del tema a tratar requiera la participación de ellas. </w:t>
      </w:r>
    </w:p>
    <w:p w14:paraId="5B8A5E8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6597FA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3°. Para la designación del representante de que trata el numeral 2 del presente artículo, los alcaldes municipales convocarán públicamente a sus representantes legales para que efectúen la correspondiente elección. </w:t>
      </w:r>
    </w:p>
    <w:p w14:paraId="12838B0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B7A59F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El representante de las asociaciones gremiales sin ánimo de lucro o fundaciones cuyas actividades tengan relación directa con el sector de la construcción o el desarrollo urbano, será elegido para un periodo de dos años, el cual se empezará a contar a partir del 1° de enero de 2011. En consecuencia, la elección de dicho representante se realizará en el año inmediatamente anterior a la fecha señalada. </w:t>
      </w:r>
    </w:p>
    <w:p w14:paraId="2B855C6C" w14:textId="05B6AC55"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506" w:name="ver_30074939"/>
      <w:bookmarkEnd w:id="1506"/>
    </w:p>
    <w:p w14:paraId="363755F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2.2.6.6.9.2 Funciones de las comisiones de veeduría. Son funciones de las comisiones de veeduría, entre otras, las siguientes: </w:t>
      </w:r>
    </w:p>
    <w:p w14:paraId="03EA414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w:t>
      </w:r>
    </w:p>
    <w:p w14:paraId="4CD5D72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Proponer lineamientos, directrices y pautas de articulación entre los curadores urbanos y las autoridades competentes municipales y distritales en materia urbanística. </w:t>
      </w:r>
    </w:p>
    <w:p w14:paraId="42AC58D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8D8661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Interponer, a través de uno de sus miembros, recursos y acciones contra las actuaciones de las curadurías que no se ajusten a la normatividad urbanística; y si fuera del caso, formular las correspondientes denuncias. </w:t>
      </w:r>
    </w:p>
    <w:p w14:paraId="50D0D56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698670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Formular a los curadores urbanos sugerencias acerca de la mejor prestación del servicio en su curaduría. </w:t>
      </w:r>
    </w:p>
    <w:p w14:paraId="4FB451E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3B5E75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4. Atender las quejas que formulen los ciudadanos </w:t>
      </w:r>
      <w:proofErr w:type="gramStart"/>
      <w:r w:rsidRPr="009342F9">
        <w:rPr>
          <w:rFonts w:ascii="Arial" w:eastAsia="Times New Roman" w:hAnsi="Arial" w:cs="Arial"/>
          <w:color w:val="000000"/>
          <w:lang w:eastAsia="es-CO"/>
        </w:rPr>
        <w:t>en razón de</w:t>
      </w:r>
      <w:proofErr w:type="gramEnd"/>
      <w:r w:rsidRPr="009342F9">
        <w:rPr>
          <w:rFonts w:ascii="Arial" w:eastAsia="Times New Roman" w:hAnsi="Arial" w:cs="Arial"/>
          <w:color w:val="000000"/>
          <w:lang w:eastAsia="es-CO"/>
        </w:rPr>
        <w:t xml:space="preserve"> la expedición de licencias, poniendo en conocimiento de las autoridades respectivas los hechos que resulten violatorios de las normas urbanísticas. </w:t>
      </w:r>
    </w:p>
    <w:p w14:paraId="04792D8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7D478F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 Proponer contra los curadores urbanos la apertura de investigaciones por parte de los consejos profesionales, cuando lo consideren necesario. </w:t>
      </w:r>
    </w:p>
    <w:p w14:paraId="6D31B5A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711E52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6. Las demás que resulten necesarias para el cumplimiento de su objeto. </w:t>
      </w:r>
    </w:p>
    <w:p w14:paraId="74904F1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F3754B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7. Dictarse su propio reglamento. </w:t>
      </w:r>
    </w:p>
    <w:p w14:paraId="09490515" w14:textId="213D5825" w:rsidR="00D4095E"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507" w:name="ver_30188846"/>
      <w:bookmarkEnd w:id="1507"/>
    </w:p>
    <w:p w14:paraId="0AF6BEF0" w14:textId="2EC2FBF7" w:rsidR="00FC79C1" w:rsidRPr="009342F9" w:rsidRDefault="00FC79C1" w:rsidP="00D4095E">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CAPÍTULO 7</w:t>
      </w:r>
    </w:p>
    <w:p w14:paraId="3707AC8B" w14:textId="77777777" w:rsidR="00FC79C1" w:rsidRPr="009342F9" w:rsidRDefault="00FC79C1" w:rsidP="00D4095E">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PROTECCIÓN AL COMPRADOR DE VIVIENDA NUEVA</w:t>
      </w:r>
    </w:p>
    <w:p w14:paraId="7C343653" w14:textId="77777777" w:rsidR="00F87F8B" w:rsidRDefault="00F87F8B" w:rsidP="00D4095E">
      <w:pPr>
        <w:spacing w:after="0" w:line="240" w:lineRule="auto"/>
        <w:jc w:val="center"/>
        <w:rPr>
          <w:rFonts w:ascii="Arial" w:eastAsia="Times New Roman" w:hAnsi="Arial" w:cs="Arial"/>
          <w:b/>
          <w:bCs/>
          <w:color w:val="000000"/>
          <w:lang w:eastAsia="es-CO"/>
        </w:rPr>
      </w:pPr>
    </w:p>
    <w:p w14:paraId="3C73228B" w14:textId="7E9A3019" w:rsidR="00FC79C1" w:rsidRPr="009342F9" w:rsidRDefault="00FC79C1" w:rsidP="00D4095E">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SECCIÓN 1</w:t>
      </w:r>
    </w:p>
    <w:p w14:paraId="2801045E" w14:textId="77777777" w:rsidR="00FC79C1" w:rsidRPr="009342F9" w:rsidRDefault="00FC79C1" w:rsidP="00D4095E">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MEDIDAS DE PROTECCIÓN AL COMPRADOR DE VIVIENDA NUEVA</w:t>
      </w:r>
    </w:p>
    <w:p w14:paraId="542CEE98" w14:textId="77777777" w:rsidR="00F87F8B" w:rsidRDefault="00F87F8B" w:rsidP="00D4095E">
      <w:pPr>
        <w:spacing w:after="0" w:line="240" w:lineRule="auto"/>
        <w:jc w:val="center"/>
        <w:rPr>
          <w:rFonts w:ascii="Arial" w:eastAsia="Times New Roman" w:hAnsi="Arial" w:cs="Arial"/>
          <w:b/>
          <w:bCs/>
          <w:color w:val="000000"/>
          <w:lang w:eastAsia="es-CO"/>
        </w:rPr>
      </w:pPr>
    </w:p>
    <w:p w14:paraId="4A1143C5" w14:textId="7435EF5E" w:rsidR="00FC79C1" w:rsidRPr="009342F9" w:rsidRDefault="00FC79C1" w:rsidP="00D4095E">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SUBSECCIÓN 1</w:t>
      </w:r>
    </w:p>
    <w:p w14:paraId="1361AA32" w14:textId="66C37A41" w:rsidR="00FC79C1" w:rsidRPr="009342F9" w:rsidRDefault="00FC79C1" w:rsidP="00F87F8B">
      <w:pPr>
        <w:spacing w:after="0" w:line="240" w:lineRule="auto"/>
        <w:jc w:val="center"/>
        <w:rPr>
          <w:rFonts w:ascii="Arial" w:eastAsia="Times New Roman" w:hAnsi="Arial" w:cs="Arial"/>
          <w:b/>
          <w:bCs/>
          <w:color w:val="000000"/>
          <w:lang w:eastAsia="es-CO"/>
        </w:rPr>
      </w:pPr>
      <w:r w:rsidRPr="231E957E">
        <w:rPr>
          <w:rFonts w:ascii="Arial" w:eastAsia="Times New Roman" w:hAnsi="Arial" w:cs="Arial"/>
          <w:b/>
          <w:color w:val="000000" w:themeColor="text1"/>
          <w:lang w:eastAsia="es-CO"/>
        </w:rPr>
        <w:t>GENERALIDADES DE LAS MEDIDAS DE PROTECCIÓN</w:t>
      </w:r>
    </w:p>
    <w:p w14:paraId="19FA205B"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508" w:name="ver_30188848"/>
      <w:bookmarkEnd w:id="1508"/>
    </w:p>
    <w:p w14:paraId="2BB7FA95" w14:textId="77777777" w:rsidR="00FC79C1" w:rsidRPr="009342F9" w:rsidRDefault="00FC79C1" w:rsidP="00FC79C1">
      <w:pPr>
        <w:spacing w:after="0" w:line="240" w:lineRule="auto"/>
        <w:jc w:val="both"/>
        <w:rPr>
          <w:rFonts w:ascii="Arial" w:eastAsia="Times New Roman" w:hAnsi="Arial" w:cs="Arial"/>
          <w:color w:val="000000"/>
          <w:lang w:eastAsia="es-CO"/>
        </w:rPr>
      </w:pPr>
      <w:r w:rsidRPr="231E957E">
        <w:rPr>
          <w:rFonts w:ascii="Arial" w:eastAsia="Times New Roman" w:hAnsi="Arial" w:cs="Arial"/>
          <w:color w:val="000000" w:themeColor="text1"/>
          <w:lang w:eastAsia="es-CO"/>
        </w:rPr>
        <w:t>Artículo 2.2.6.7.1.1.1. Objeto. El presente capítulo tiene por objeto reglamentar las medidas de protección al comprador de vivienda nueva incorporadas por la Ley 1796 de 2016, estableciendo los requisitos mínimos que debe acreditar el constructor o enajenador de vivienda nueva para dar cumplimiento a la obligación de amparar los perjuicios patrimoniales ocasionados al propietario o sucesivos propietarios cuando se presente algunas de las situaciones contempladas en el numeral 3 del artículo 2060 del Código Civil, o la norma que lo adicione, modifique o sustituya.  </w:t>
      </w:r>
    </w:p>
    <w:p w14:paraId="3A63FF3A"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509" w:name="ver_30188849"/>
      <w:bookmarkEnd w:id="1509"/>
    </w:p>
    <w:p w14:paraId="29432179" w14:textId="00F3362E" w:rsidR="00FC79C1" w:rsidRPr="009342F9" w:rsidRDefault="00FC79C1" w:rsidP="00FC79C1">
      <w:pPr>
        <w:spacing w:after="0" w:line="240" w:lineRule="auto"/>
        <w:jc w:val="both"/>
        <w:rPr>
          <w:rFonts w:ascii="Arial" w:eastAsia="Times New Roman" w:hAnsi="Arial" w:cs="Arial"/>
          <w:color w:val="000000"/>
          <w:lang w:eastAsia="es-CO"/>
        </w:rPr>
      </w:pPr>
      <w:r w:rsidRPr="231E957E">
        <w:rPr>
          <w:rFonts w:ascii="Arial" w:eastAsia="Times New Roman" w:hAnsi="Arial" w:cs="Arial"/>
          <w:color w:val="000000" w:themeColor="text1"/>
          <w:lang w:eastAsia="es-CO"/>
        </w:rPr>
        <w:t>Artículo 2.2.6.7.1.1.2. Definiciones. Para efectos del presente Capítulo se tendrán en cuenta las siguientes definiciones técnicas de acuerdo con lo previsto en la Ley 400 de 1997 y el Reglamento Colombiano de Construcción Sismorresistente NSR-10:  </w:t>
      </w:r>
    </w:p>
    <w:p w14:paraId="0D722EFF" w14:textId="77777777" w:rsidR="00D4095E" w:rsidRPr="009342F9" w:rsidRDefault="00D4095E" w:rsidP="00FC79C1">
      <w:pPr>
        <w:spacing w:after="0" w:line="240" w:lineRule="auto"/>
        <w:jc w:val="both"/>
        <w:rPr>
          <w:rFonts w:ascii="Arial" w:eastAsia="Times New Roman" w:hAnsi="Arial" w:cs="Arial"/>
          <w:color w:val="000000"/>
          <w:lang w:eastAsia="es-CO"/>
        </w:rPr>
      </w:pPr>
    </w:p>
    <w:p w14:paraId="0F67EAC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Edificio en ruina - Es el colapso total o parcial de una edificación, entendida como unidad estructuralmente independiente, como consecuencia de fallas en los mate</w:t>
      </w:r>
      <w:r w:rsidRPr="009342F9">
        <w:rPr>
          <w:rFonts w:ascii="Arial" w:eastAsia="Times New Roman" w:hAnsi="Arial" w:cs="Arial"/>
          <w:color w:val="000000"/>
          <w:lang w:eastAsia="es-CO"/>
        </w:rPr>
        <w:softHyphen/>
        <w:t>riales, el diseño estructural, estudio geotécnico, construcción de la cimentación y/o construcción de la estructura, que impide su habitabilidad u ocupación debido al riesgo de pérdida de vidas humanas.  </w:t>
      </w:r>
    </w:p>
    <w:p w14:paraId="35E3D871" w14:textId="77777777" w:rsidR="00D4095E" w:rsidRPr="009342F9" w:rsidRDefault="00D4095E" w:rsidP="00FC79C1">
      <w:pPr>
        <w:spacing w:after="0" w:line="240" w:lineRule="auto"/>
        <w:jc w:val="both"/>
        <w:rPr>
          <w:rFonts w:ascii="Arial" w:eastAsia="Times New Roman" w:hAnsi="Arial" w:cs="Arial"/>
          <w:color w:val="000000"/>
          <w:lang w:eastAsia="es-CO"/>
        </w:rPr>
      </w:pPr>
    </w:p>
    <w:p w14:paraId="20A6F3F8" w14:textId="51549BA5"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Amenaza de ruina - Es el deterioro, defecto o deficiencia de la edificación, enten</w:t>
      </w:r>
      <w:r w:rsidRPr="009342F9">
        <w:rPr>
          <w:rFonts w:ascii="Arial" w:eastAsia="Times New Roman" w:hAnsi="Arial" w:cs="Arial"/>
          <w:color w:val="000000"/>
          <w:lang w:eastAsia="es-CO"/>
        </w:rPr>
        <w:softHyphen/>
        <w:t>dida como unidad estructuralmente independiente, como consecuencia de fallas en los materiales, el diseño estructural, estudio geotécnico, construcción de la ci</w:t>
      </w:r>
      <w:r w:rsidRPr="009342F9">
        <w:rPr>
          <w:rFonts w:ascii="Arial" w:eastAsia="Times New Roman" w:hAnsi="Arial" w:cs="Arial"/>
          <w:color w:val="000000"/>
          <w:lang w:eastAsia="es-CO"/>
        </w:rPr>
        <w:softHyphen/>
        <w:t>mentación y/o construcción de la estructura, que impide su habitabilidad u ocupa</w:t>
      </w:r>
      <w:r w:rsidRPr="009342F9">
        <w:rPr>
          <w:rFonts w:ascii="Arial" w:eastAsia="Times New Roman" w:hAnsi="Arial" w:cs="Arial"/>
          <w:color w:val="000000"/>
          <w:lang w:eastAsia="es-CO"/>
        </w:rPr>
        <w:softHyphen/>
        <w:t xml:space="preserve">ción debido al riesgo de pérdida de vidas humanas. En este </w:t>
      </w:r>
      <w:r w:rsidRPr="009342F9">
        <w:rPr>
          <w:rFonts w:ascii="Arial" w:eastAsia="Times New Roman" w:hAnsi="Arial" w:cs="Arial"/>
          <w:color w:val="000000"/>
          <w:lang w:eastAsia="es-CO"/>
        </w:rPr>
        <w:lastRenderedPageBreak/>
        <w:t xml:space="preserve">caso, se adelantará un análisis de vulnerabilidad que contenga un estudio de las fuerzas sísmicas, cargas gravitacionales y eólicas, para determinar si la estructura se ha visto afectada y se encuentra comprometida su seguridad en términos de </w:t>
      </w:r>
      <w:proofErr w:type="spellStart"/>
      <w:r w:rsidRPr="009342F9">
        <w:rPr>
          <w:rFonts w:ascii="Arial" w:eastAsia="Times New Roman" w:hAnsi="Arial" w:cs="Arial"/>
          <w:color w:val="000000"/>
          <w:lang w:eastAsia="es-CO"/>
        </w:rPr>
        <w:t>sismorresistencia</w:t>
      </w:r>
      <w:proofErr w:type="spellEnd"/>
      <w:r w:rsidRPr="009342F9">
        <w:rPr>
          <w:rFonts w:ascii="Arial" w:eastAsia="Times New Roman" w:hAnsi="Arial" w:cs="Arial"/>
          <w:color w:val="000000"/>
          <w:lang w:eastAsia="es-CO"/>
        </w:rPr>
        <w:t>. Este estudio debe elaborarse de acuerdo con los requisitos que el Reglamento NSR-10 establece en su Capítulo A. 10, o la norma que lo adicione, modifique o sustituya, por profesionales con matrícula profesional vigente y facultados para ese fin por la Ley 400 de 1997 y sus reglamentos.  </w:t>
      </w:r>
    </w:p>
    <w:p w14:paraId="3FEA277E" w14:textId="7081AD86"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Vicio de la construcción - Son las fallas generadas en los diseños o planos estruc</w:t>
      </w:r>
      <w:r w:rsidRPr="009342F9">
        <w:rPr>
          <w:rFonts w:ascii="Arial" w:eastAsia="Times New Roman" w:hAnsi="Arial" w:cs="Arial"/>
          <w:color w:val="000000"/>
          <w:lang w:eastAsia="es-CO"/>
        </w:rPr>
        <w:softHyphen/>
        <w:t>turales y/o el proceso constructivo de la estructura de la edificación, entendida como unidad estructuralmente independiente, que eventualmente pueden impedir su habitabilidad u ocupación debido al riesgo de pérdida de vidas humanas.  </w:t>
      </w:r>
    </w:p>
    <w:p w14:paraId="39EADE8F" w14:textId="77777777" w:rsidR="00D4095E" w:rsidRPr="009342F9" w:rsidRDefault="00D4095E" w:rsidP="00FC79C1">
      <w:pPr>
        <w:spacing w:after="0" w:line="240" w:lineRule="auto"/>
        <w:jc w:val="both"/>
        <w:rPr>
          <w:rFonts w:ascii="Arial" w:eastAsia="Times New Roman" w:hAnsi="Arial" w:cs="Arial"/>
          <w:color w:val="000000"/>
          <w:lang w:eastAsia="es-CO"/>
        </w:rPr>
      </w:pPr>
    </w:p>
    <w:p w14:paraId="14F9E1AC" w14:textId="0268F356"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Vicio del suelo - Son las fallas generadas en el suelo y/o en la construcción de la cimentación de la edificación, entendida como unidad estructuralmente inde</w:t>
      </w:r>
      <w:r w:rsidRPr="009342F9">
        <w:rPr>
          <w:rFonts w:ascii="Arial" w:eastAsia="Times New Roman" w:hAnsi="Arial" w:cs="Arial"/>
          <w:color w:val="000000"/>
          <w:lang w:eastAsia="es-CO"/>
        </w:rPr>
        <w:softHyphen/>
        <w:t>pendiente, que propiciaron asentamientos diferenciales o totales que exceden los límites permitidos por el Título H del Reglamento NSR-10 y que eventualmente pueden impedir la habitabilidad u ocupación de la edificación debido al riesgo de pérdida de vidas humanas.  </w:t>
      </w:r>
    </w:p>
    <w:p w14:paraId="0F4BE67D" w14:textId="77777777" w:rsidR="00D4095E" w:rsidRPr="009342F9" w:rsidRDefault="00D4095E" w:rsidP="00FC79C1">
      <w:pPr>
        <w:spacing w:after="0" w:line="240" w:lineRule="auto"/>
        <w:jc w:val="both"/>
        <w:rPr>
          <w:rFonts w:ascii="Arial" w:eastAsia="Times New Roman" w:hAnsi="Arial" w:cs="Arial"/>
          <w:color w:val="000000"/>
          <w:lang w:eastAsia="es-CO"/>
        </w:rPr>
      </w:pPr>
    </w:p>
    <w:p w14:paraId="51532F3E" w14:textId="6DD5FE62"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 Vicio de los materiales - Son las fallas o defectos de los materiales utilizados en el proceso constructivo de la edificación, entendida como unidad estructuralmente independiente, que eventualmente pueden impedir su habitabilidad u ocupación debido al riesgo de pérdida de vidas humanas.  </w:t>
      </w:r>
    </w:p>
    <w:p w14:paraId="458CF68E" w14:textId="77777777" w:rsidR="00D4095E" w:rsidRPr="009342F9" w:rsidRDefault="00D4095E" w:rsidP="00FC79C1">
      <w:pPr>
        <w:spacing w:after="0" w:line="240" w:lineRule="auto"/>
        <w:jc w:val="both"/>
        <w:rPr>
          <w:rFonts w:ascii="Arial" w:eastAsia="Times New Roman" w:hAnsi="Arial" w:cs="Arial"/>
          <w:color w:val="000000"/>
          <w:lang w:eastAsia="es-CO"/>
        </w:rPr>
      </w:pPr>
    </w:p>
    <w:p w14:paraId="7F483A5B" w14:textId="496B3EDC" w:rsidR="00FC79C1"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6. Propietario inicial - Entiéndase por propietario inicial quien asume la calidad de comprador en el primer acto de transferencia de dominio de la vivienda nueva.  </w:t>
      </w:r>
    </w:p>
    <w:p w14:paraId="32575956" w14:textId="77777777" w:rsidR="00377DAA" w:rsidRPr="009342F9" w:rsidRDefault="00377DAA" w:rsidP="00FC79C1">
      <w:pPr>
        <w:spacing w:after="0" w:line="240" w:lineRule="auto"/>
        <w:jc w:val="both"/>
        <w:rPr>
          <w:rFonts w:ascii="Arial" w:eastAsia="Times New Roman" w:hAnsi="Arial" w:cs="Arial"/>
          <w:color w:val="000000"/>
          <w:lang w:eastAsia="es-CO"/>
        </w:rPr>
      </w:pPr>
    </w:p>
    <w:p w14:paraId="10F3B74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Las reglas sobre la presentación de los estudios que permiten concluir que una edificación se encuentra en estado de ruina o amenaza de ruina deberán especificarse en cada mecanismo de amparo. En todo caso, la entidad otorgante del mecanismo de amparo asumirá el costo de dicho estudio, obligación que no impedirá hacer efectivas las coberturas del mecanismo de amparo.  </w:t>
      </w:r>
    </w:p>
    <w:p w14:paraId="50AE5682" w14:textId="3C6FA465"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510" w:name="ver_30188850"/>
      <w:bookmarkEnd w:id="1510"/>
    </w:p>
    <w:p w14:paraId="4B398906" w14:textId="2202848B"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2.2.6.7.1.1.3. Obligación de amparar los perjuicios patrimoniales. Antes de realizar la primera transferencia de dominio de las nuevas unidades de vivienda que se construyan en proyectos que se sometan al régimen de propiedad horizontal, unidades inmobiliarias cerradas, loteo individual o cualquier otro sistema, incluyendo proyectos de uso mixto, que generen cinco (5) o más unidades habitacionales para transferirlas a terceros, el constructor o enajenador de vivienda nueva, deberá constituir un mecanismo de amparo para cubrir los eventuales perjuicios patrimoniales ocasionados al propietario o sucesivos propietarios de tales viviendas, cuando dentro de los diez (10) años siguientes a la expedición de la certificación técnica de ocupación, la construcción perezca o amenace ruina en todo o en parte por cualquiera de las situaciones contempladas en el numeral 3 del artículo 2060 del Código Civil y detalladas en el artículo 2.2.6.7.1.1.2 del presente decreto.  </w:t>
      </w:r>
    </w:p>
    <w:p w14:paraId="55A397C5" w14:textId="77777777" w:rsidR="00D4095E" w:rsidRPr="009342F9" w:rsidRDefault="00D4095E" w:rsidP="00FC79C1">
      <w:pPr>
        <w:spacing w:after="0" w:line="240" w:lineRule="auto"/>
        <w:jc w:val="both"/>
        <w:rPr>
          <w:rFonts w:ascii="Arial" w:eastAsia="Times New Roman" w:hAnsi="Arial" w:cs="Arial"/>
          <w:color w:val="000000"/>
          <w:lang w:eastAsia="es-CO"/>
        </w:rPr>
      </w:pPr>
    </w:p>
    <w:p w14:paraId="794A962D" w14:textId="0002412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Cuando se constituyan patrimonios autónomos o se vinculen personas jurídicas para desarrollar un proyecto de vivienda, se deberá identificar en los correspondientes contratos fiduciarios o estatutos sociales, quién es el constructor o enajenador responsable de amparar los perjuicios patrimoniales. En el caso de los patrimonios autónomos, en los actos constitutivos o en aquellos modificatorios del mismo, se debe indicar claramente que las obligaciones a cargo del enajenador o constructor se encuentran en cabeza de uno o varios fideicomitentes determinados, identificándolos e individualizándolos claramente. En el contrato de fiducia se establecerá </w:t>
      </w:r>
      <w:proofErr w:type="gramStart"/>
      <w:r w:rsidRPr="009342F9">
        <w:rPr>
          <w:rFonts w:ascii="Arial" w:eastAsia="Times New Roman" w:hAnsi="Arial" w:cs="Arial"/>
          <w:color w:val="000000"/>
          <w:lang w:eastAsia="es-CO"/>
        </w:rPr>
        <w:t>que</w:t>
      </w:r>
      <w:proofErr w:type="gramEnd"/>
      <w:r w:rsidRPr="009342F9">
        <w:rPr>
          <w:rFonts w:ascii="Arial" w:eastAsia="Times New Roman" w:hAnsi="Arial" w:cs="Arial"/>
          <w:color w:val="000000"/>
          <w:lang w:eastAsia="es-CO"/>
        </w:rPr>
        <w:t xml:space="preserve"> ante la omisión de esta obligación, los fideicomitentes responderán solidariamente frente a los </w:t>
      </w:r>
      <w:r w:rsidRPr="009342F9">
        <w:rPr>
          <w:rFonts w:ascii="Arial" w:eastAsia="Times New Roman" w:hAnsi="Arial" w:cs="Arial"/>
          <w:color w:val="000000"/>
          <w:lang w:eastAsia="es-CO"/>
        </w:rPr>
        <w:lastRenderedPageBreak/>
        <w:t>perjuicios patrimoniales que se ocasionen a los propietarios, sin perjuicio de las demás sanciones a que haya lugar. En ningún caso la sociedad fiduciaria será solidariamente responsable de los perjuicios patrimoniales que se causen al propietario inicial o sucesivos propietarios, cuando actúe como vehículo receptor de los activos.  </w:t>
      </w:r>
    </w:p>
    <w:p w14:paraId="718A2DD0" w14:textId="77777777" w:rsidR="00D4095E" w:rsidRPr="009342F9" w:rsidRDefault="00D4095E" w:rsidP="00FC79C1">
      <w:pPr>
        <w:spacing w:after="0" w:line="240" w:lineRule="auto"/>
        <w:jc w:val="both"/>
        <w:rPr>
          <w:rFonts w:ascii="Arial" w:eastAsia="Times New Roman" w:hAnsi="Arial" w:cs="Arial"/>
          <w:color w:val="000000"/>
          <w:lang w:eastAsia="es-CO"/>
        </w:rPr>
      </w:pPr>
    </w:p>
    <w:p w14:paraId="3D7024E0" w14:textId="5D0C6AB1"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1°. Sin perjuicio de la obligación directa que tiene el constructor o el enajenador de vivienda nueva de amparar los perjuicios patrimoniales de acuerdo con lo previsto en este artículo, los profesionales que intervienen en el proceso constructivo de las viviendas, deberán responder, con su patrimonio o con cualquier medio idóneo, por los eventuales perjuicios que ocasionare el indebido ejercicio de su labor, de acuerdo con los regímenes de responsabilidad civil y/o penal. En todo caso, ni el constructor o enajenador de vivienda nueva ni la entidad financiera o aseguradora que emita el mecanismo de amparo podrán excusarse de cumplir con su obligación de amparar los perjuicios patrimoniales al propietario o sucesivos propietarios, alegando como eximente la responsabilidad de los profesionales que intervinieron en el proceso constructivo.  </w:t>
      </w:r>
    </w:p>
    <w:p w14:paraId="4065DFBE" w14:textId="77777777" w:rsidR="00D4095E" w:rsidRPr="009342F9" w:rsidRDefault="00D4095E" w:rsidP="00FC79C1">
      <w:pPr>
        <w:spacing w:after="0" w:line="240" w:lineRule="auto"/>
        <w:jc w:val="both"/>
        <w:rPr>
          <w:rFonts w:ascii="Arial" w:eastAsia="Times New Roman" w:hAnsi="Arial" w:cs="Arial"/>
          <w:color w:val="000000"/>
          <w:lang w:eastAsia="es-CO"/>
        </w:rPr>
      </w:pPr>
    </w:p>
    <w:p w14:paraId="124367D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2°. La obligación contenida en este artículo se diferencia de la contemplada en la Ley 675 de 2001, referente al deber de constitución de pólizas de seguros que cubran los bienes comunes susceptibles de ser asegurados contra los riesgos de incendio y terremoto.  </w:t>
      </w:r>
    </w:p>
    <w:p w14:paraId="47F7D079" w14:textId="41D672A3"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511" w:name="ver_30188851"/>
      <w:bookmarkEnd w:id="1511"/>
    </w:p>
    <w:p w14:paraId="0905941E" w14:textId="5C0B02CB" w:rsidR="00FC79C1"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2.2.6.7.1.1.4. Amparo de los perjuicios patrimoniales cuando la vivienda se adquiera con subsidios familiares. Cuando perezcan o amenacen ruina las viviendas nuevas que sean adquiridas total o parcialmente con recursos públicos y/o transferidas por entidades públicas a título de subsidio en especie, la entidad otorgante del subsidio deberá exigir al constructor o enajenador de vivienda nueva la garantía de estabilidad de diez (10) años para bienes inmuebles que establece el artículo 8° de la Ley 1480 de 2011.  </w:t>
      </w:r>
    </w:p>
    <w:p w14:paraId="2D771BAF" w14:textId="77777777" w:rsidR="00377DAA" w:rsidRPr="009342F9" w:rsidRDefault="00377DAA" w:rsidP="00FC79C1">
      <w:pPr>
        <w:spacing w:after="0" w:line="240" w:lineRule="auto"/>
        <w:jc w:val="both"/>
        <w:rPr>
          <w:rFonts w:ascii="Arial" w:eastAsia="Times New Roman" w:hAnsi="Arial" w:cs="Arial"/>
          <w:color w:val="000000"/>
          <w:lang w:eastAsia="es-CO"/>
        </w:rPr>
      </w:pPr>
    </w:p>
    <w:p w14:paraId="360FF46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Cuando las viviendas nuevas sean adquiridas parcialmente con recursos públicos otorgados por entidades públicas a título de subsidio, el constructor o el enajenador de vivienda nueva deberá constituir el mecanismo de amparo por la porción del valor de la vivienda que no fue cubierta con el subsidio.  </w:t>
      </w:r>
    </w:p>
    <w:p w14:paraId="7F27337A" w14:textId="13E37E49"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512" w:name="ver_30188852"/>
      <w:bookmarkEnd w:id="1512"/>
    </w:p>
    <w:p w14:paraId="1DEEC05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2.2.6.7.1.1.5. Mecanismos de amparo. El constructor o el enajenador de vivienda nueva para cumplir con la obligación contenida en el artículo 2.2.6.7.1.1.3 del presente decreto, de acuerdo con lo establecido en los artículos 8° y 9° de la Ley 1796 de 2016, podrá escoger cualquiera de los siguientes mecanismos de amparo:  </w:t>
      </w:r>
    </w:p>
    <w:p w14:paraId="079F58D3" w14:textId="77777777" w:rsidR="00D4095E" w:rsidRPr="009342F9" w:rsidRDefault="00D4095E" w:rsidP="00FC79C1">
      <w:pPr>
        <w:spacing w:after="0" w:line="240" w:lineRule="auto"/>
        <w:jc w:val="both"/>
        <w:rPr>
          <w:rFonts w:ascii="Arial" w:eastAsia="Times New Roman" w:hAnsi="Arial" w:cs="Arial"/>
          <w:color w:val="000000"/>
          <w:lang w:eastAsia="es-CO"/>
        </w:rPr>
      </w:pPr>
    </w:p>
    <w:p w14:paraId="6B54939A" w14:textId="19706354"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 Patrimonio propio mediante la constitución de una fiducia en garantía.  </w:t>
      </w:r>
    </w:p>
    <w:p w14:paraId="53D3A389" w14:textId="77777777" w:rsidR="00D4095E" w:rsidRPr="009342F9" w:rsidRDefault="00D4095E" w:rsidP="00FC79C1">
      <w:pPr>
        <w:spacing w:after="0" w:line="240" w:lineRule="auto"/>
        <w:jc w:val="both"/>
        <w:rPr>
          <w:rFonts w:ascii="Arial" w:eastAsia="Times New Roman" w:hAnsi="Arial" w:cs="Arial"/>
          <w:color w:val="000000"/>
          <w:lang w:eastAsia="es-CO"/>
        </w:rPr>
      </w:pPr>
    </w:p>
    <w:p w14:paraId="26AF7348" w14:textId="071F38D3"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b) Garantía bancaria.  </w:t>
      </w:r>
    </w:p>
    <w:p w14:paraId="170A1769" w14:textId="77777777" w:rsidR="00D4095E" w:rsidRPr="009342F9" w:rsidRDefault="00D4095E" w:rsidP="00FC79C1">
      <w:pPr>
        <w:spacing w:after="0" w:line="240" w:lineRule="auto"/>
        <w:jc w:val="both"/>
        <w:rPr>
          <w:rFonts w:ascii="Arial" w:eastAsia="Times New Roman" w:hAnsi="Arial" w:cs="Arial"/>
          <w:color w:val="000000"/>
          <w:lang w:eastAsia="es-CO"/>
        </w:rPr>
      </w:pPr>
    </w:p>
    <w:p w14:paraId="33E66035" w14:textId="7935910A"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 Póliza de seguro.  </w:t>
      </w:r>
    </w:p>
    <w:p w14:paraId="3908B814" w14:textId="77777777" w:rsidR="00D4095E" w:rsidRPr="009342F9" w:rsidRDefault="00D4095E" w:rsidP="00FC79C1">
      <w:pPr>
        <w:spacing w:after="0" w:line="240" w:lineRule="auto"/>
        <w:jc w:val="both"/>
        <w:rPr>
          <w:rFonts w:ascii="Arial" w:eastAsia="Times New Roman" w:hAnsi="Arial" w:cs="Arial"/>
          <w:color w:val="000000"/>
          <w:lang w:eastAsia="es-CO"/>
        </w:rPr>
      </w:pPr>
    </w:p>
    <w:p w14:paraId="28059CEF" w14:textId="77CE1BAD"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d) Otros, en los términos del artículo 2.2.6.7.1.5.1 del presente decreto.  </w:t>
      </w:r>
    </w:p>
    <w:p w14:paraId="5EEE5209" w14:textId="77777777" w:rsidR="00D4095E" w:rsidRPr="009342F9" w:rsidRDefault="00D4095E" w:rsidP="00FC79C1">
      <w:pPr>
        <w:spacing w:after="0" w:line="240" w:lineRule="auto"/>
        <w:jc w:val="both"/>
        <w:rPr>
          <w:rFonts w:ascii="Arial" w:eastAsia="Times New Roman" w:hAnsi="Arial" w:cs="Arial"/>
          <w:color w:val="000000"/>
          <w:lang w:eastAsia="es-CO"/>
        </w:rPr>
      </w:pPr>
    </w:p>
    <w:p w14:paraId="7A6241D4" w14:textId="7930C479"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1°. El constructor o el enajenador de vivienda nueva podrán implementar uno o varios mecanismos de amparo para cada una de sus obras, edificaciones, etapas y/o unidades estructuralmente independientes. En todo caso, la suma de los valores de los mecanismos de amparo deberá cumplir con el requisito de suficiencia previsto en el artículo 2.2.6.7.1.1.10 del presente decreto.  </w:t>
      </w:r>
    </w:p>
    <w:p w14:paraId="4AAA9F9E" w14:textId="77777777" w:rsidR="00D4095E" w:rsidRPr="009342F9" w:rsidRDefault="00D4095E" w:rsidP="00FC79C1">
      <w:pPr>
        <w:spacing w:after="0" w:line="240" w:lineRule="auto"/>
        <w:jc w:val="both"/>
        <w:rPr>
          <w:rFonts w:ascii="Arial" w:eastAsia="Times New Roman" w:hAnsi="Arial" w:cs="Arial"/>
          <w:color w:val="000000"/>
          <w:lang w:eastAsia="es-CO"/>
        </w:rPr>
      </w:pPr>
    </w:p>
    <w:p w14:paraId="26846D62" w14:textId="1E8AB76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Parágrafo 2°. De conformidad con la Ley 1328 de 2009, las entidades financieras o aseguradoras facultadas para la expedición de los mecanismos de amparo, deberán fundamentar su decisión en causas objetivas para el otorgamiento o negación del respectivo mecanismo.  </w:t>
      </w:r>
    </w:p>
    <w:p w14:paraId="41651CB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3°. La expedición del mecanismo de amparo estará respaldada por el cumplimiento de las normas técnicas de construcción sismorresistente, la licencia de construcción aprobada y el Certificado Técnico de Ocupación expedido por el supervisor técnico independiente.  </w:t>
      </w:r>
    </w:p>
    <w:p w14:paraId="5BA0F3E9"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513" w:name="ver_30188853"/>
      <w:bookmarkEnd w:id="1513"/>
    </w:p>
    <w:p w14:paraId="48BA0DB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2.2.6.7.1.1.6. Exclusión. Los mecanismos de amparo regulados en el presente capítulo no cubrirán lo siguiente:  </w:t>
      </w:r>
    </w:p>
    <w:p w14:paraId="1B8B1A2A" w14:textId="77777777" w:rsidR="00D4095E" w:rsidRPr="009342F9" w:rsidRDefault="00D4095E" w:rsidP="00FC79C1">
      <w:pPr>
        <w:spacing w:after="0" w:line="240" w:lineRule="auto"/>
        <w:jc w:val="both"/>
        <w:rPr>
          <w:rFonts w:ascii="Arial" w:eastAsia="Times New Roman" w:hAnsi="Arial" w:cs="Arial"/>
          <w:color w:val="000000"/>
          <w:lang w:eastAsia="es-CO"/>
        </w:rPr>
      </w:pPr>
    </w:p>
    <w:p w14:paraId="24ADA1D7" w14:textId="0EBA48E4"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Daños extrapatrimoniales y/o corporales.  </w:t>
      </w:r>
    </w:p>
    <w:p w14:paraId="7AB9B323" w14:textId="77777777" w:rsidR="00D4095E" w:rsidRPr="009342F9" w:rsidRDefault="00D4095E" w:rsidP="00FC79C1">
      <w:pPr>
        <w:spacing w:after="0" w:line="240" w:lineRule="auto"/>
        <w:jc w:val="both"/>
        <w:rPr>
          <w:rFonts w:ascii="Arial" w:eastAsia="Times New Roman" w:hAnsi="Arial" w:cs="Arial"/>
          <w:color w:val="000000"/>
          <w:lang w:eastAsia="es-CO"/>
        </w:rPr>
      </w:pPr>
    </w:p>
    <w:p w14:paraId="342685F4" w14:textId="42776DBD"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Daños ocasionados a inmuebles contiguos o adyacentes.  </w:t>
      </w:r>
    </w:p>
    <w:p w14:paraId="299CC73D" w14:textId="77777777" w:rsidR="00D4095E" w:rsidRPr="009342F9" w:rsidRDefault="00D4095E" w:rsidP="00FC79C1">
      <w:pPr>
        <w:spacing w:after="0" w:line="240" w:lineRule="auto"/>
        <w:jc w:val="both"/>
        <w:rPr>
          <w:rFonts w:ascii="Arial" w:eastAsia="Times New Roman" w:hAnsi="Arial" w:cs="Arial"/>
          <w:color w:val="000000"/>
          <w:lang w:eastAsia="es-CO"/>
        </w:rPr>
      </w:pPr>
    </w:p>
    <w:p w14:paraId="44EDBB1B" w14:textId="411A50DB"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Daños causados a bienes muebles.  </w:t>
      </w:r>
    </w:p>
    <w:p w14:paraId="16CD58B0" w14:textId="77777777" w:rsidR="00D4095E" w:rsidRPr="009342F9" w:rsidRDefault="00D4095E" w:rsidP="00FC79C1">
      <w:pPr>
        <w:spacing w:after="0" w:line="240" w:lineRule="auto"/>
        <w:jc w:val="both"/>
        <w:rPr>
          <w:rFonts w:ascii="Arial" w:eastAsia="Times New Roman" w:hAnsi="Arial" w:cs="Arial"/>
          <w:color w:val="000000"/>
          <w:lang w:eastAsia="es-CO"/>
        </w:rPr>
      </w:pPr>
    </w:p>
    <w:p w14:paraId="6F2FD000" w14:textId="7E94354A"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Daños ocasionados por modificaciones u obras realizadas en el edificio después de haber sido expedido el Certificado Técnico de Ocupación por parte del supervisor técnico independiente, salvo aquellas obras efectuadas para subsanar defectos de la edificación por ruina o amenaza de ruina derivada de algunas de las causas pre</w:t>
      </w:r>
      <w:r w:rsidRPr="009342F9">
        <w:rPr>
          <w:rFonts w:ascii="Arial" w:eastAsia="Times New Roman" w:hAnsi="Arial" w:cs="Arial"/>
          <w:color w:val="000000"/>
          <w:lang w:eastAsia="es-CO"/>
        </w:rPr>
        <w:softHyphen/>
        <w:t>vistas en el numeral 3 del artículo 2060 del Código Civil.  </w:t>
      </w:r>
    </w:p>
    <w:p w14:paraId="6FB72324" w14:textId="77777777" w:rsidR="00D4095E" w:rsidRPr="009342F9" w:rsidRDefault="00D4095E" w:rsidP="00FC79C1">
      <w:pPr>
        <w:spacing w:after="0" w:line="240" w:lineRule="auto"/>
        <w:jc w:val="both"/>
        <w:rPr>
          <w:rFonts w:ascii="Arial" w:eastAsia="Times New Roman" w:hAnsi="Arial" w:cs="Arial"/>
          <w:color w:val="000000"/>
          <w:lang w:eastAsia="es-CO"/>
        </w:rPr>
      </w:pPr>
    </w:p>
    <w:p w14:paraId="184B7DFF" w14:textId="5ED014B4"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 Daños ocasionados por mal uso o falta de mantenimiento o mantenimiento inade</w:t>
      </w:r>
      <w:r w:rsidRPr="009342F9">
        <w:rPr>
          <w:rFonts w:ascii="Arial" w:eastAsia="Times New Roman" w:hAnsi="Arial" w:cs="Arial"/>
          <w:color w:val="000000"/>
          <w:lang w:eastAsia="es-CO"/>
        </w:rPr>
        <w:softHyphen/>
        <w:t>cuado de la edificación.  </w:t>
      </w:r>
    </w:p>
    <w:p w14:paraId="327D1DE4" w14:textId="77777777" w:rsidR="00D4095E" w:rsidRPr="009342F9" w:rsidRDefault="00D4095E" w:rsidP="00FC79C1">
      <w:pPr>
        <w:spacing w:after="0" w:line="240" w:lineRule="auto"/>
        <w:jc w:val="both"/>
        <w:rPr>
          <w:rFonts w:ascii="Arial" w:eastAsia="Times New Roman" w:hAnsi="Arial" w:cs="Arial"/>
          <w:color w:val="000000"/>
          <w:lang w:eastAsia="es-CO"/>
        </w:rPr>
      </w:pPr>
    </w:p>
    <w:p w14:paraId="232D6BFE" w14:textId="5FCC0F8A"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6. Daños originados por incendio, terremoto, inundación, asonada, motín, explosión y en general por agentes externos.  </w:t>
      </w:r>
    </w:p>
    <w:p w14:paraId="1833306E" w14:textId="77777777" w:rsidR="00D4095E" w:rsidRPr="009342F9" w:rsidRDefault="00D4095E" w:rsidP="00FC79C1">
      <w:pPr>
        <w:spacing w:after="0" w:line="240" w:lineRule="auto"/>
        <w:jc w:val="both"/>
        <w:rPr>
          <w:rFonts w:ascii="Arial" w:eastAsia="Times New Roman" w:hAnsi="Arial" w:cs="Arial"/>
          <w:color w:val="000000"/>
          <w:lang w:eastAsia="es-CO"/>
        </w:rPr>
      </w:pPr>
    </w:p>
    <w:p w14:paraId="2094A646" w14:textId="7ED5A8F3"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7. Daños a los inmuebles por destinación, los inmuebles que no son considerados como construcciones, tales como los árboles, y las construcciones provisionales.  </w:t>
      </w:r>
    </w:p>
    <w:p w14:paraId="65BF6CEF" w14:textId="77777777" w:rsidR="00D4095E" w:rsidRPr="009342F9" w:rsidRDefault="00D4095E" w:rsidP="00FC79C1">
      <w:pPr>
        <w:spacing w:after="0" w:line="240" w:lineRule="auto"/>
        <w:jc w:val="both"/>
        <w:rPr>
          <w:rFonts w:ascii="Arial" w:eastAsia="Times New Roman" w:hAnsi="Arial" w:cs="Arial"/>
          <w:color w:val="000000"/>
          <w:lang w:eastAsia="es-CO"/>
        </w:rPr>
      </w:pPr>
    </w:p>
    <w:p w14:paraId="01BB8B5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Las incidencias u objeciones técnicas, que realicen las entidades financieras o aseguradoras otorgantes del mecanismo de amparo durante el proceso constructivo, en ningún caso podrán convertirse en exclusiones que limiten la cobertura del amparo ni oponerse a las reclamaciones de los compradores de vivienda.  </w:t>
      </w:r>
    </w:p>
    <w:p w14:paraId="5B3461A7" w14:textId="0117826A"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514" w:name="ver_30188854"/>
      <w:bookmarkEnd w:id="1514"/>
    </w:p>
    <w:p w14:paraId="039330B1" w14:textId="7DF2CAE3"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2.2.6.7.1.1.7. Características de los mecanismos de amparo. El mecanismo de amparo de perjuicios patrimoniales deberá ser constituido como máximo dentro de los diez (10) días hábiles siguientes a la fecha de expedición del certificado técnico de ocupación. Además, el mecanismo de amparo escogido por el constructor o el enajenador de vivienda nueva deberá cumplir con los requisitos legales y con las condiciones de vigencia, permanencia, liquidez y suficiencia establecidas en este capítulo.  </w:t>
      </w:r>
    </w:p>
    <w:p w14:paraId="665E5103" w14:textId="77777777" w:rsidR="00D4095E" w:rsidRPr="009342F9" w:rsidRDefault="00D4095E" w:rsidP="00FC79C1">
      <w:pPr>
        <w:spacing w:after="0" w:line="240" w:lineRule="auto"/>
        <w:jc w:val="both"/>
        <w:rPr>
          <w:rFonts w:ascii="Arial" w:eastAsia="Times New Roman" w:hAnsi="Arial" w:cs="Arial"/>
          <w:color w:val="000000"/>
          <w:lang w:eastAsia="es-CO"/>
        </w:rPr>
      </w:pPr>
    </w:p>
    <w:p w14:paraId="40BFB4C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Tratándose de las construcciones desarrolladas por etapas o unidades estructurales independientes, al igual que la certificación técnica de ocupación, el mecanismo de amparo podrá ser constituido por cada unidad estructural independiente.  </w:t>
      </w:r>
    </w:p>
    <w:p w14:paraId="2CD8A668" w14:textId="5C9189D1"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515" w:name="ver_30188855"/>
      <w:bookmarkEnd w:id="1515"/>
    </w:p>
    <w:p w14:paraId="0E74B1A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2.2.6.7.1.1.8. Vigencia y permanencia del mecanismo de amparo. El mecanismo de amparo constituido por el constructor o el enajenador de vivienda nueva deberá cubrir eventos ocurridos dentro de los diez (10) años siguientes a la fecha de expedición del respectivo Certificado Técnico de Ocupación. El mecanismo de amparo presentado por el constructor o el </w:t>
      </w:r>
      <w:r w:rsidRPr="009342F9">
        <w:rPr>
          <w:rFonts w:ascii="Arial" w:eastAsia="Times New Roman" w:hAnsi="Arial" w:cs="Arial"/>
          <w:color w:val="000000"/>
          <w:lang w:eastAsia="es-CO"/>
        </w:rPr>
        <w:lastRenderedPageBreak/>
        <w:t>enajenador de vivienda nueva se hará efectivo por parte del propietario inicial o los sucesivos propietarios, que se vean afectados por el estado de ruina o amenaza de ruina de la edificación durante el término de cobertura. </w:t>
      </w:r>
    </w:p>
    <w:p w14:paraId="61EA0AE3" w14:textId="77777777" w:rsidR="00D4095E" w:rsidRPr="009342F9" w:rsidRDefault="00D4095E" w:rsidP="00FC79C1">
      <w:pPr>
        <w:spacing w:after="0" w:line="240" w:lineRule="auto"/>
        <w:jc w:val="both"/>
        <w:rPr>
          <w:rFonts w:ascii="Arial" w:eastAsia="Times New Roman" w:hAnsi="Arial" w:cs="Arial"/>
          <w:color w:val="000000"/>
          <w:lang w:eastAsia="es-CO"/>
        </w:rPr>
      </w:pPr>
    </w:p>
    <w:p w14:paraId="2CC77B78" w14:textId="6AB09C2D"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2.2.6.7.1.1.9. Liquidez del mecanismo de amparo. El mecanismo de amparo debe ofrecer condiciones de liquidez, entendida como la posibilidad de realizar el pago, reconstruir las soluciones habitacionales o realizar la intervención a que haya lugar para garantizar la estabilidad, habitabilidad y seguridad de las viviendas a los beneficiarios, en el término que establece la normativa vigente para cada mecanismo a partir de la reclamación.  </w:t>
      </w:r>
    </w:p>
    <w:p w14:paraId="146451E7" w14:textId="77777777" w:rsidR="00D4095E" w:rsidRPr="009342F9" w:rsidRDefault="00D4095E" w:rsidP="00FC79C1">
      <w:pPr>
        <w:spacing w:after="0" w:line="240" w:lineRule="auto"/>
        <w:jc w:val="both"/>
        <w:rPr>
          <w:rFonts w:ascii="Arial" w:eastAsia="Times New Roman" w:hAnsi="Arial" w:cs="Arial"/>
          <w:color w:val="000000"/>
          <w:lang w:eastAsia="es-CO"/>
        </w:rPr>
      </w:pPr>
    </w:p>
    <w:p w14:paraId="7BD8742C" w14:textId="67A6BF71"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Parágrafo 1°. Cuando proceda la reconstrucción o intervención de las viviendas, el término previsto por la normativa vigente para la liquidez de cada </w:t>
      </w:r>
      <w:proofErr w:type="gramStart"/>
      <w:r w:rsidRPr="009342F9">
        <w:rPr>
          <w:rFonts w:ascii="Arial" w:eastAsia="Times New Roman" w:hAnsi="Arial" w:cs="Arial"/>
          <w:color w:val="000000"/>
          <w:lang w:eastAsia="es-CO"/>
        </w:rPr>
        <w:t>mecanismo,</w:t>
      </w:r>
      <w:proofErr w:type="gramEnd"/>
      <w:r w:rsidRPr="009342F9">
        <w:rPr>
          <w:rFonts w:ascii="Arial" w:eastAsia="Times New Roman" w:hAnsi="Arial" w:cs="Arial"/>
          <w:color w:val="000000"/>
          <w:lang w:eastAsia="es-CO"/>
        </w:rPr>
        <w:t xml:space="preserve"> podrá prorrogarse hasta por doce (12) meses más, evento en el cual el constructor o enajenador de vivienda nueva o la entidad otorgante del mecanismo de amparo asumirá, durante este plazo, los gastos relacionados con arrendamientos temporales en que incurran los propietarios de las viviendas afectadas, hasta por un valor mensual de 1.5 </w:t>
      </w:r>
      <w:proofErr w:type="spellStart"/>
      <w:r w:rsidRPr="009342F9">
        <w:rPr>
          <w:rFonts w:ascii="Arial" w:eastAsia="Times New Roman" w:hAnsi="Arial" w:cs="Arial"/>
          <w:color w:val="000000"/>
          <w:lang w:eastAsia="es-CO"/>
        </w:rPr>
        <w:t>smmlv</w:t>
      </w:r>
      <w:proofErr w:type="spellEnd"/>
      <w:r w:rsidRPr="009342F9">
        <w:rPr>
          <w:rFonts w:ascii="Arial" w:eastAsia="Times New Roman" w:hAnsi="Arial" w:cs="Arial"/>
          <w:color w:val="000000"/>
          <w:lang w:eastAsia="es-CO"/>
        </w:rPr>
        <w:t>.  </w:t>
      </w:r>
    </w:p>
    <w:p w14:paraId="030B388F" w14:textId="77777777" w:rsidR="00D4095E" w:rsidRPr="009342F9" w:rsidRDefault="00D4095E" w:rsidP="00FC79C1">
      <w:pPr>
        <w:spacing w:after="0" w:line="240" w:lineRule="auto"/>
        <w:jc w:val="both"/>
        <w:rPr>
          <w:rFonts w:ascii="Arial" w:eastAsia="Times New Roman" w:hAnsi="Arial" w:cs="Arial"/>
          <w:color w:val="000000"/>
          <w:lang w:eastAsia="es-CO"/>
        </w:rPr>
      </w:pPr>
    </w:p>
    <w:p w14:paraId="39EDAF9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2°. El dictamen técnico para definir si la edificación puede ser reconstruida deberá ser elaborado por un profesional con matrícula vigente y facultado para ese fin por la Ley 400 de 1997 y las normas que la reglamenten. </w:t>
      </w:r>
    </w:p>
    <w:p w14:paraId="78993E69" w14:textId="77777777" w:rsidR="00D4095E" w:rsidRPr="009342F9" w:rsidRDefault="00D4095E" w:rsidP="00FC79C1">
      <w:pPr>
        <w:spacing w:after="0" w:line="240" w:lineRule="auto"/>
        <w:jc w:val="both"/>
        <w:rPr>
          <w:rFonts w:ascii="Arial" w:eastAsia="Times New Roman" w:hAnsi="Arial" w:cs="Arial"/>
          <w:color w:val="000000"/>
          <w:lang w:eastAsia="es-CO"/>
        </w:rPr>
      </w:pPr>
    </w:p>
    <w:p w14:paraId="1836F884" w14:textId="29FC4053"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2.2.6.7.1.1.10. Suficiencia del mecanismo de amparo. El valor de la cobertura del mecanismo de amparo será igual al valor de reconstrucción o reemplazo de la vivienda amparada, según el Índice de Precios del Consumidor (IPC) certificado por el Departamento Nacional de Estadística (DANE), el cual se indexará anualmente durante el término de los diez (10) años de vigencia, teniendo en cuenta el cumplimiento de la norma sismorresistente vigente y las condiciones en que se encontraba la vivienda amparada al momento del siniestro.  </w:t>
      </w:r>
    </w:p>
    <w:p w14:paraId="4D3C857F" w14:textId="77777777" w:rsidR="00D4095E" w:rsidRPr="009342F9" w:rsidRDefault="00D4095E" w:rsidP="00FC79C1">
      <w:pPr>
        <w:spacing w:after="0" w:line="240" w:lineRule="auto"/>
        <w:jc w:val="both"/>
        <w:rPr>
          <w:rFonts w:ascii="Arial" w:eastAsia="Times New Roman" w:hAnsi="Arial" w:cs="Arial"/>
          <w:color w:val="000000"/>
          <w:lang w:eastAsia="es-CO"/>
        </w:rPr>
      </w:pPr>
    </w:p>
    <w:p w14:paraId="0FE8A6C3" w14:textId="25DA2EB5"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1°. Cuando sobre la vivienda amparada existan hipotecas, la entidad otorgante del crédito hipotecario será beneficiaria onerosa y tendrá preferencia al momento del pago del reconocimiento de los perjuicios patrimoniales efectuado por el mecanismo de amparo, de acuerdo con lo previsto en los respectivos contratos y en la normativa vigente.  </w:t>
      </w:r>
    </w:p>
    <w:p w14:paraId="3E3E99DD" w14:textId="77777777" w:rsidR="00D4095E" w:rsidRPr="009342F9" w:rsidRDefault="00D4095E" w:rsidP="00FC79C1">
      <w:pPr>
        <w:spacing w:after="0" w:line="240" w:lineRule="auto"/>
        <w:jc w:val="both"/>
        <w:rPr>
          <w:rFonts w:ascii="Arial" w:eastAsia="Times New Roman" w:hAnsi="Arial" w:cs="Arial"/>
          <w:color w:val="000000"/>
          <w:lang w:eastAsia="es-CO"/>
        </w:rPr>
      </w:pPr>
    </w:p>
    <w:p w14:paraId="6B52534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2°. Dentro de la suficiencia del mecanismo de amparo se tendrá en cuenta el costo de los estudios que permiten concluir que una edificación se encuentra en estado de ruina o amenaza de ruina de acuerdo con lo establecido en el artículo 2.2.6.7.1.1.2. del presente decreto. </w:t>
      </w:r>
    </w:p>
    <w:p w14:paraId="5361DA93"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516" w:name="ver_30188861"/>
      <w:bookmarkEnd w:id="1516"/>
    </w:p>
    <w:p w14:paraId="6C0B119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2.2.6.7.1.1.11. Valor del mecanismo de amparo para Vivienda de Interés Social y Vivienda de Interés Prioritario. Las tarifas definidas por las entidades financieras o aseguradoras para la constitución de los mecanismos de amparo sobre las viviendas de interés social y </w:t>
      </w:r>
      <w:proofErr w:type="gramStart"/>
      <w:r w:rsidRPr="009342F9">
        <w:rPr>
          <w:rFonts w:ascii="Arial" w:eastAsia="Times New Roman" w:hAnsi="Arial" w:cs="Arial"/>
          <w:color w:val="000000"/>
          <w:lang w:eastAsia="es-CO"/>
        </w:rPr>
        <w:t>prioritario,</w:t>
      </w:r>
      <w:proofErr w:type="gramEnd"/>
      <w:r w:rsidRPr="009342F9">
        <w:rPr>
          <w:rFonts w:ascii="Arial" w:eastAsia="Times New Roman" w:hAnsi="Arial" w:cs="Arial"/>
          <w:color w:val="000000"/>
          <w:lang w:eastAsia="es-CO"/>
        </w:rPr>
        <w:t xml:space="preserve"> tendrán en cuenta el valor tope de las mismas, definido en el Plan Nacional de Desarrollo vigente según lo previsto en el artículo 91 de la Ley 388 de 1997, o la norma que lo adicione, modifique o sustituya, para no afectar el principio de asequibilidad de la vivienda digna.  </w:t>
      </w:r>
    </w:p>
    <w:p w14:paraId="14F8276E"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517" w:name="ver_30188862"/>
      <w:bookmarkEnd w:id="1517"/>
    </w:p>
    <w:p w14:paraId="0F0D542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2.2.6.7.1.1.12. Reglas generales para hacer efectivo el mecanismo de amparo. Sin perjuicio de lo pactado en el documento de constitución del mecanismo de amparo ni de los términos de prescripción establecidos por la ley, para hacer efectivas las coberturas por parte de los compradores de vivienda se tendrá en cuenta lo siguiente:  </w:t>
      </w:r>
    </w:p>
    <w:p w14:paraId="0D61D73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1. Para viviendas pertenecientes al régimen de propiedad horizontal, de conformidad con lo previsto en el artículo 36 de la Ley 675 de 2001, cualquiera de los órganos de dirección y administración, así como el propietario afectado, dentro de los tres (3) días siguientes a la fecha </w:t>
      </w:r>
      <w:r w:rsidRPr="009342F9">
        <w:rPr>
          <w:rFonts w:ascii="Arial" w:eastAsia="Times New Roman" w:hAnsi="Arial" w:cs="Arial"/>
          <w:color w:val="000000"/>
          <w:lang w:eastAsia="es-CO"/>
        </w:rPr>
        <w:lastRenderedPageBreak/>
        <w:t>en que se conoció o debió conocer la situación de ruina o amenaza de ruina de la edificación, dará aviso a la entidad otorgante del mecanismo de amparo, para que esta inicie los procedimientos necesarios y, de ser el caso, haga efectivas las coberturas. Este término podrá ampliarse, mas no redu</w:t>
      </w:r>
      <w:r w:rsidRPr="009342F9">
        <w:rPr>
          <w:rFonts w:ascii="Arial" w:eastAsia="Times New Roman" w:hAnsi="Arial" w:cs="Arial"/>
          <w:color w:val="000000"/>
          <w:lang w:eastAsia="es-CO"/>
        </w:rPr>
        <w:softHyphen/>
        <w:t>cirse por las partes.  </w:t>
      </w:r>
    </w:p>
    <w:p w14:paraId="55EFC10E" w14:textId="77777777" w:rsidR="00D4095E" w:rsidRPr="009342F9" w:rsidRDefault="00D4095E" w:rsidP="00FC79C1">
      <w:pPr>
        <w:spacing w:after="0" w:line="240" w:lineRule="auto"/>
        <w:jc w:val="both"/>
        <w:rPr>
          <w:rFonts w:ascii="Arial" w:eastAsia="Times New Roman" w:hAnsi="Arial" w:cs="Arial"/>
          <w:color w:val="000000"/>
          <w:lang w:eastAsia="es-CO"/>
        </w:rPr>
      </w:pPr>
    </w:p>
    <w:p w14:paraId="7D8A7FFE" w14:textId="6975594D"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Para el caso de viviendas pertenecientes al régimen de propiedad horizontal, construidas bajo la modalidad de unifamiliares o bifamiliares, el propietario afectado, dentro de los tres (3) días siguientes a la fecha en que se conoció o debió conocer la situación de ruina o amenaza de ruina de la edificación, </w:t>
      </w:r>
      <w:proofErr w:type="gramStart"/>
      <w:r w:rsidRPr="009342F9">
        <w:rPr>
          <w:rFonts w:ascii="Arial" w:eastAsia="Times New Roman" w:hAnsi="Arial" w:cs="Arial"/>
          <w:color w:val="000000"/>
          <w:lang w:eastAsia="es-CO"/>
        </w:rPr>
        <w:t>dará aviso</w:t>
      </w:r>
      <w:proofErr w:type="gramEnd"/>
      <w:r w:rsidRPr="009342F9">
        <w:rPr>
          <w:rFonts w:ascii="Arial" w:eastAsia="Times New Roman" w:hAnsi="Arial" w:cs="Arial"/>
          <w:color w:val="000000"/>
          <w:lang w:eastAsia="es-CO"/>
        </w:rPr>
        <w:t xml:space="preserve"> a la entidad otorgante del mecanismo de amparo, para que esta inicie los procedimientos necesarios y, de ser el caso, haga efectivas las coberturas. Este término podrá ampliarse, mas no reducirse por las partes.  </w:t>
      </w:r>
    </w:p>
    <w:p w14:paraId="1FEFB829" w14:textId="77777777" w:rsidR="00D4095E" w:rsidRPr="009342F9" w:rsidRDefault="00D4095E" w:rsidP="00FC79C1">
      <w:pPr>
        <w:spacing w:after="0" w:line="240" w:lineRule="auto"/>
        <w:jc w:val="both"/>
        <w:rPr>
          <w:rFonts w:ascii="Arial" w:eastAsia="Times New Roman" w:hAnsi="Arial" w:cs="Arial"/>
          <w:color w:val="000000"/>
          <w:lang w:eastAsia="es-CO"/>
        </w:rPr>
      </w:pPr>
    </w:p>
    <w:p w14:paraId="56FCD035" w14:textId="17826B1A" w:rsidR="00FC79C1" w:rsidRPr="009342F9" w:rsidRDefault="00FC79C1" w:rsidP="00D4095E">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2. Para viviendas que no pertenezcan al régimen de propiedad horizontal dentro de los tres (3) días siguientes a la fecha en que se conoció o debió conocer la situación de ruina o amenaza de ruina de la edificación, el propietario de la vivienda dará noticia a la entidad otorgante del mecanismo de amparo, para que esta inicie los procedimientos necesarios y, de ser el caso, haga efectivas las coberturas. Este término podrá ampliarse, mas no </w:t>
      </w:r>
    </w:p>
    <w:p w14:paraId="01538D48" w14:textId="77777777" w:rsidR="00D4095E" w:rsidRPr="009342F9" w:rsidRDefault="00D4095E" w:rsidP="00D4095E">
      <w:pPr>
        <w:spacing w:after="0" w:line="240" w:lineRule="auto"/>
        <w:jc w:val="both"/>
        <w:rPr>
          <w:rFonts w:ascii="Arial" w:eastAsia="Times New Roman" w:hAnsi="Arial" w:cs="Arial"/>
          <w:color w:val="000000"/>
          <w:lang w:eastAsia="es-CO"/>
        </w:rPr>
      </w:pPr>
    </w:p>
    <w:p w14:paraId="3BCC6B0E" w14:textId="77777777" w:rsidR="00FC79C1" w:rsidRPr="009342F9" w:rsidRDefault="00FC79C1" w:rsidP="00D4095E">
      <w:pPr>
        <w:spacing w:after="0" w:line="240" w:lineRule="auto"/>
        <w:jc w:val="center"/>
        <w:rPr>
          <w:rFonts w:ascii="Arial" w:eastAsia="Times New Roman" w:hAnsi="Arial" w:cs="Arial"/>
          <w:b/>
          <w:bCs/>
          <w:color w:val="000000"/>
          <w:lang w:eastAsia="es-CO"/>
        </w:rPr>
      </w:pPr>
      <w:bookmarkStart w:id="1518" w:name="ver_30188863"/>
      <w:bookmarkEnd w:id="1518"/>
      <w:r w:rsidRPr="009342F9">
        <w:rPr>
          <w:rFonts w:ascii="Arial" w:eastAsia="Times New Roman" w:hAnsi="Arial" w:cs="Arial"/>
          <w:b/>
          <w:bCs/>
          <w:color w:val="000000"/>
          <w:lang w:eastAsia="es-CO"/>
        </w:rPr>
        <w:t>SUBSECCIÓN 2</w:t>
      </w:r>
    </w:p>
    <w:p w14:paraId="2C33BDD9" w14:textId="77777777" w:rsidR="00FC79C1" w:rsidRPr="009342F9" w:rsidRDefault="00FC79C1" w:rsidP="00D4095E">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PATRIMONIO - FIDUCIA EN GARANTÍA</w:t>
      </w:r>
    </w:p>
    <w:p w14:paraId="5806E56D"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519" w:name="ver_30188864"/>
      <w:bookmarkEnd w:id="1519"/>
    </w:p>
    <w:p w14:paraId="1B9C7E43" w14:textId="424F79FD"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2.2.6.7.1.2.1. Constitución de fiducia en garantía. El constructor o enajenador de vivienda nueva podrá constituir una fiducia en garantía, en virtud de la cual transfiera a un patrimonio autónomo activos de su propiedad o de terceros con el fin de amparar los eventuales perjuicios patrimoniales en los términos de este Capítulo, los cuales serán administrados por una sociedad fiduciaria.  </w:t>
      </w:r>
    </w:p>
    <w:p w14:paraId="7E07A989" w14:textId="77777777" w:rsidR="00F74103" w:rsidRPr="009342F9" w:rsidRDefault="00F74103" w:rsidP="00FC79C1">
      <w:pPr>
        <w:spacing w:after="0" w:line="240" w:lineRule="auto"/>
        <w:jc w:val="both"/>
        <w:rPr>
          <w:rFonts w:ascii="Arial" w:eastAsia="Times New Roman" w:hAnsi="Arial" w:cs="Arial"/>
          <w:color w:val="000000"/>
          <w:lang w:eastAsia="es-CO"/>
        </w:rPr>
      </w:pPr>
    </w:p>
    <w:p w14:paraId="5DA486E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En el contrato de fiducia deberá quedar estipulada la forma como el constructor o el enajenador de vivienda cubrirá los gastos de administración que se deriven de la constitución de la fiducia en garantía y la manera cómo garantizará durante la vigencia del mecanismo de amparo la suficiencia de los activos entregados para cubrir los perjuicios patrimoniales, así como las consecuencias de su incumplimiento.  </w:t>
      </w:r>
    </w:p>
    <w:p w14:paraId="29DAEEFF"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520" w:name="ver_30188865"/>
      <w:bookmarkEnd w:id="1520"/>
    </w:p>
    <w:p w14:paraId="4F0F8174" w14:textId="06FFE9AE"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2.2.6.7.1.2.2. Condiciones. La fiducia en garantía deberá cumplir con los siguientes criterios mínimos:  </w:t>
      </w:r>
    </w:p>
    <w:p w14:paraId="22B463E5" w14:textId="77777777" w:rsidR="00F74103" w:rsidRPr="009342F9" w:rsidRDefault="00F74103" w:rsidP="00FC79C1">
      <w:pPr>
        <w:spacing w:after="0" w:line="240" w:lineRule="auto"/>
        <w:jc w:val="both"/>
        <w:rPr>
          <w:rFonts w:ascii="Arial" w:eastAsia="Times New Roman" w:hAnsi="Arial" w:cs="Arial"/>
          <w:color w:val="000000"/>
          <w:lang w:eastAsia="es-CO"/>
        </w:rPr>
      </w:pPr>
    </w:p>
    <w:p w14:paraId="20E630A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El fideicomitente será el constructor o el enajenador de la vivienda nueva y el be</w:t>
      </w:r>
      <w:r w:rsidRPr="009342F9">
        <w:rPr>
          <w:rFonts w:ascii="Arial" w:eastAsia="Times New Roman" w:hAnsi="Arial" w:cs="Arial"/>
          <w:color w:val="000000"/>
          <w:lang w:eastAsia="es-CO"/>
        </w:rPr>
        <w:softHyphen/>
        <w:t>neficiario será el propietario de la vivienda en el momento de ocurrencia de la ruina o amenaza de ruina de la edificación.  </w:t>
      </w:r>
    </w:p>
    <w:p w14:paraId="7EAB1217" w14:textId="77777777" w:rsidR="00F74103" w:rsidRPr="009342F9" w:rsidRDefault="00F74103" w:rsidP="00FC79C1">
      <w:pPr>
        <w:spacing w:after="0" w:line="240" w:lineRule="auto"/>
        <w:jc w:val="both"/>
        <w:rPr>
          <w:rFonts w:ascii="Arial" w:eastAsia="Times New Roman" w:hAnsi="Arial" w:cs="Arial"/>
          <w:color w:val="000000"/>
          <w:lang w:eastAsia="es-CO"/>
        </w:rPr>
      </w:pPr>
    </w:p>
    <w:p w14:paraId="39E57DFD" w14:textId="61BF3041"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La sociedad fiduciaria deberá estar autorizada para el efecto por la Superintenden</w:t>
      </w:r>
      <w:r w:rsidRPr="009342F9">
        <w:rPr>
          <w:rFonts w:ascii="Arial" w:eastAsia="Times New Roman" w:hAnsi="Arial" w:cs="Arial"/>
          <w:color w:val="000000"/>
          <w:lang w:eastAsia="es-CO"/>
        </w:rPr>
        <w:softHyphen/>
        <w:t>cia Financiera de Colombia.  </w:t>
      </w:r>
    </w:p>
    <w:p w14:paraId="0D38C76E" w14:textId="77777777" w:rsidR="00F74103" w:rsidRPr="009342F9" w:rsidRDefault="00F74103" w:rsidP="00FC79C1">
      <w:pPr>
        <w:spacing w:after="0" w:line="240" w:lineRule="auto"/>
        <w:jc w:val="both"/>
        <w:rPr>
          <w:rFonts w:ascii="Arial" w:eastAsia="Times New Roman" w:hAnsi="Arial" w:cs="Arial"/>
          <w:color w:val="000000"/>
          <w:lang w:eastAsia="es-CO"/>
        </w:rPr>
      </w:pPr>
    </w:p>
    <w:p w14:paraId="341F2E66" w14:textId="03E1EC74"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La transferencia de los bienes al patrimonio autónomo será irrevocable dentro del término legal del amparo, salvo cuando proceda su sustitución en los términos de esta subsección.  </w:t>
      </w:r>
    </w:p>
    <w:p w14:paraId="0FAC86CD" w14:textId="77777777" w:rsidR="00F74103" w:rsidRPr="009342F9" w:rsidRDefault="00F74103" w:rsidP="00FC79C1">
      <w:pPr>
        <w:spacing w:after="0" w:line="240" w:lineRule="auto"/>
        <w:jc w:val="both"/>
        <w:rPr>
          <w:rFonts w:ascii="Arial" w:eastAsia="Times New Roman" w:hAnsi="Arial" w:cs="Arial"/>
          <w:color w:val="000000"/>
          <w:lang w:eastAsia="es-CO"/>
        </w:rPr>
      </w:pPr>
    </w:p>
    <w:p w14:paraId="2B43D094" w14:textId="56477DA8"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La fiducia en garantía deberá cumplir con las características enunciadas en este Capítulo, en especial con lo señalado en cuanto a vigencia, permanencia, liquidez, suficiencia y momento de constitución.  </w:t>
      </w:r>
    </w:p>
    <w:p w14:paraId="608DFFCF" w14:textId="68BC281C"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521" w:name="ver_30188866"/>
      <w:bookmarkEnd w:id="1521"/>
    </w:p>
    <w:p w14:paraId="429B999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Artículo 2.2.6.7.1.2.3. Bienes fideicomitidos. El patrimonio autónomo deberá estar conformado por activos cuyo valor o producto corresponda al monto que permitirá amparar los eventuales perjuicios patrimoniales que ocurran sobre las viviendas nuevas conforme a lo establecido en este Capítulo.  </w:t>
      </w:r>
    </w:p>
    <w:p w14:paraId="665F22B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El constructor o enajenador de vivienda nueva al momento de efectuar el aporte deberá identificar expresamente lo siguiente:  </w:t>
      </w:r>
    </w:p>
    <w:p w14:paraId="75F68100" w14:textId="77777777" w:rsidR="00F74103" w:rsidRPr="009342F9" w:rsidRDefault="00F74103" w:rsidP="00FC79C1">
      <w:pPr>
        <w:spacing w:after="0" w:line="240" w:lineRule="auto"/>
        <w:jc w:val="both"/>
        <w:rPr>
          <w:rFonts w:ascii="Arial" w:eastAsia="Times New Roman" w:hAnsi="Arial" w:cs="Arial"/>
          <w:color w:val="000000"/>
          <w:lang w:eastAsia="es-CO"/>
        </w:rPr>
      </w:pPr>
    </w:p>
    <w:p w14:paraId="6AC2EA64" w14:textId="155B9882"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Los bienes inmuebles respecto de los cuales se está cumpliendo la obligación de amparo de acuerdo con lo dispuesto en el presente capítulo;  </w:t>
      </w:r>
    </w:p>
    <w:p w14:paraId="34F543E7" w14:textId="77777777" w:rsidR="00F74103" w:rsidRPr="009342F9" w:rsidRDefault="00F74103" w:rsidP="00FC79C1">
      <w:pPr>
        <w:spacing w:after="0" w:line="240" w:lineRule="auto"/>
        <w:jc w:val="both"/>
        <w:rPr>
          <w:rFonts w:ascii="Arial" w:eastAsia="Times New Roman" w:hAnsi="Arial" w:cs="Arial"/>
          <w:color w:val="000000"/>
          <w:lang w:eastAsia="es-CO"/>
        </w:rPr>
      </w:pPr>
    </w:p>
    <w:p w14:paraId="52A6F577" w14:textId="0CBFCBAC"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La suficiencia y liquidez de la garantía en los términos de los artículos 2.2.6.7.1.1.9 y 2.2.6.7.1.1.10 del presente decreto;  </w:t>
      </w:r>
    </w:p>
    <w:p w14:paraId="271E4810" w14:textId="77777777" w:rsidR="00F74103" w:rsidRPr="009342F9" w:rsidRDefault="00F74103" w:rsidP="00FC79C1">
      <w:pPr>
        <w:spacing w:after="0" w:line="240" w:lineRule="auto"/>
        <w:jc w:val="both"/>
        <w:rPr>
          <w:rFonts w:ascii="Arial" w:eastAsia="Times New Roman" w:hAnsi="Arial" w:cs="Arial"/>
          <w:color w:val="000000"/>
          <w:lang w:eastAsia="es-CO"/>
        </w:rPr>
      </w:pPr>
    </w:p>
    <w:p w14:paraId="6A23A8B9" w14:textId="403AB428"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La fecha de expedición del Certificado Técnico de Ocupación.  </w:t>
      </w:r>
    </w:p>
    <w:p w14:paraId="77ED9D67" w14:textId="77777777" w:rsidR="00F74103" w:rsidRPr="009342F9" w:rsidRDefault="00F74103" w:rsidP="00FC79C1">
      <w:pPr>
        <w:spacing w:after="0" w:line="240" w:lineRule="auto"/>
        <w:jc w:val="both"/>
        <w:rPr>
          <w:rFonts w:ascii="Arial" w:eastAsia="Times New Roman" w:hAnsi="Arial" w:cs="Arial"/>
          <w:color w:val="000000"/>
          <w:lang w:eastAsia="es-CO"/>
        </w:rPr>
      </w:pPr>
    </w:p>
    <w:p w14:paraId="750CC0E2" w14:textId="4FBF4602"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El avalúo inicial de los bienes por el cual se realiza su transferencia.  </w:t>
      </w:r>
    </w:p>
    <w:p w14:paraId="67B10ED1" w14:textId="77777777" w:rsidR="00F74103" w:rsidRPr="009342F9" w:rsidRDefault="00F74103" w:rsidP="00FC79C1">
      <w:pPr>
        <w:spacing w:after="0" w:line="240" w:lineRule="auto"/>
        <w:jc w:val="both"/>
        <w:rPr>
          <w:rFonts w:ascii="Arial" w:eastAsia="Times New Roman" w:hAnsi="Arial" w:cs="Arial"/>
          <w:color w:val="000000"/>
          <w:lang w:eastAsia="es-CO"/>
        </w:rPr>
      </w:pPr>
    </w:p>
    <w:p w14:paraId="05508BBA" w14:textId="71BC8116"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Parágrafo. Los bienes inmuebles o activos transferidos al patrimonio autónomo para el pago de los perjuicios patrimoniales a los que se hace referencia en el presente </w:t>
      </w:r>
      <w:proofErr w:type="gramStart"/>
      <w:r w:rsidRPr="009342F9">
        <w:rPr>
          <w:rFonts w:ascii="Arial" w:eastAsia="Times New Roman" w:hAnsi="Arial" w:cs="Arial"/>
          <w:color w:val="000000"/>
          <w:lang w:eastAsia="es-CO"/>
        </w:rPr>
        <w:t>capítulo,</w:t>
      </w:r>
      <w:proofErr w:type="gramEnd"/>
      <w:r w:rsidRPr="009342F9">
        <w:rPr>
          <w:rFonts w:ascii="Arial" w:eastAsia="Times New Roman" w:hAnsi="Arial" w:cs="Arial"/>
          <w:color w:val="000000"/>
          <w:lang w:eastAsia="es-CO"/>
        </w:rPr>
        <w:t xml:space="preserve"> deberán estar libres de limitaciones o gravámenes al derecho de dominio, salvo aquellas derivadas del sometimiento al régimen de propiedad horizontal de los mismos.  </w:t>
      </w:r>
    </w:p>
    <w:p w14:paraId="3F185AD0"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522" w:name="ver_30200410"/>
      <w:bookmarkStart w:id="1523" w:name="ver_30188869"/>
      <w:bookmarkEnd w:id="1522"/>
    </w:p>
    <w:p w14:paraId="2460A592" w14:textId="0E926270"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2.2.6.7.1.2.4. Avalúo de los bienes fideicomitidos. La sociedad fiduciaria ordenará el avalúo inicial y la actualización anual del mismo, sobre los bienes y/o derechos fideicomitidos para efectos de determinar y asegurar la suficiencia del mecanismo de amparo. </w:t>
      </w:r>
    </w:p>
    <w:p w14:paraId="20D7157E" w14:textId="77777777" w:rsidR="00F74103" w:rsidRPr="009342F9" w:rsidRDefault="00F74103" w:rsidP="00FC79C1">
      <w:pPr>
        <w:spacing w:after="0" w:line="240" w:lineRule="auto"/>
        <w:jc w:val="both"/>
        <w:rPr>
          <w:rFonts w:ascii="Arial" w:eastAsia="Times New Roman" w:hAnsi="Arial" w:cs="Arial"/>
          <w:color w:val="000000"/>
          <w:lang w:eastAsia="es-CO"/>
        </w:rPr>
      </w:pPr>
    </w:p>
    <w:p w14:paraId="2ABC9ADF" w14:textId="22A0A899"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1°. Si el avalúo es inferior al monto amparado establecido en el artículo 2.2.6.7.1.1.10 del presente decreto, el constructor o enajenador de vivienda nueva deberá reemplazar o aumentar los activos para garantizar la suficiencia del amparo, en un plazo no mayor a seis (6) meses, so pena de incurrir en el incumplimiento del artículo 8° de la Ley 1796 de 2016. </w:t>
      </w:r>
    </w:p>
    <w:p w14:paraId="0870BAAB" w14:textId="77777777" w:rsidR="00F74103" w:rsidRPr="009342F9" w:rsidRDefault="00F74103" w:rsidP="00FC79C1">
      <w:pPr>
        <w:spacing w:after="0" w:line="240" w:lineRule="auto"/>
        <w:jc w:val="both"/>
        <w:rPr>
          <w:rFonts w:ascii="Arial" w:eastAsia="Times New Roman" w:hAnsi="Arial" w:cs="Arial"/>
          <w:color w:val="000000"/>
          <w:lang w:eastAsia="es-CO"/>
        </w:rPr>
      </w:pPr>
    </w:p>
    <w:p w14:paraId="208E25C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Parágrafo 2°. El avalúo debe estar a cargo de un </w:t>
      </w:r>
      <w:proofErr w:type="spellStart"/>
      <w:r w:rsidRPr="009342F9">
        <w:rPr>
          <w:rFonts w:ascii="Arial" w:eastAsia="Times New Roman" w:hAnsi="Arial" w:cs="Arial"/>
          <w:color w:val="000000"/>
          <w:lang w:eastAsia="es-CO"/>
        </w:rPr>
        <w:t>avaluador</w:t>
      </w:r>
      <w:proofErr w:type="spellEnd"/>
      <w:r w:rsidRPr="009342F9">
        <w:rPr>
          <w:rFonts w:ascii="Arial" w:eastAsia="Times New Roman" w:hAnsi="Arial" w:cs="Arial"/>
          <w:color w:val="000000"/>
          <w:lang w:eastAsia="es-CO"/>
        </w:rPr>
        <w:t xml:space="preserve"> inscrito en el Registro Abierto de </w:t>
      </w:r>
      <w:proofErr w:type="spellStart"/>
      <w:r w:rsidRPr="009342F9">
        <w:rPr>
          <w:rFonts w:ascii="Arial" w:eastAsia="Times New Roman" w:hAnsi="Arial" w:cs="Arial"/>
          <w:color w:val="000000"/>
          <w:lang w:eastAsia="es-CO"/>
        </w:rPr>
        <w:t>Avaluadores</w:t>
      </w:r>
      <w:proofErr w:type="spellEnd"/>
      <w:r w:rsidRPr="009342F9">
        <w:rPr>
          <w:rFonts w:ascii="Arial" w:eastAsia="Times New Roman" w:hAnsi="Arial" w:cs="Arial"/>
          <w:color w:val="000000"/>
          <w:lang w:eastAsia="es-CO"/>
        </w:rPr>
        <w:t xml:space="preserve"> (RAA) de conformidad con lo establecido en la Ley 1673 de 2013, o la norma que la adicione, modifique o sustituya. La remuneración de los </w:t>
      </w:r>
      <w:proofErr w:type="spellStart"/>
      <w:r w:rsidRPr="009342F9">
        <w:rPr>
          <w:rFonts w:ascii="Arial" w:eastAsia="Times New Roman" w:hAnsi="Arial" w:cs="Arial"/>
          <w:color w:val="000000"/>
          <w:lang w:eastAsia="es-CO"/>
        </w:rPr>
        <w:t>avaluadores</w:t>
      </w:r>
      <w:proofErr w:type="spellEnd"/>
      <w:r w:rsidRPr="009342F9">
        <w:rPr>
          <w:rFonts w:ascii="Arial" w:eastAsia="Times New Roman" w:hAnsi="Arial" w:cs="Arial"/>
          <w:color w:val="000000"/>
          <w:lang w:eastAsia="es-CO"/>
        </w:rPr>
        <w:t xml:space="preserve"> y de los costos del avalúo debe ser cubierta por la sociedad fiduciaria con cargo a los recursos del fideicomiso”. </w:t>
      </w:r>
    </w:p>
    <w:p w14:paraId="7F0E6051" w14:textId="2E4E1B3D"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524" w:name="ver_30188870"/>
      <w:bookmarkEnd w:id="1523"/>
      <w:bookmarkEnd w:id="1524"/>
    </w:p>
    <w:p w14:paraId="6591F0D2" w14:textId="0577CCEE"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2.2.6.7.1.2.5. Certificado de garantía. La sociedad fiduciaria deberá expedir a nombre del constructor o enajenador de vivienda nueva un certificado en el cual conste la siguiente información:  </w:t>
      </w:r>
    </w:p>
    <w:p w14:paraId="5FFD6ACD" w14:textId="77777777" w:rsidR="00F74103" w:rsidRPr="009342F9" w:rsidRDefault="00F74103" w:rsidP="00FC79C1">
      <w:pPr>
        <w:spacing w:after="0" w:line="240" w:lineRule="auto"/>
        <w:jc w:val="both"/>
        <w:rPr>
          <w:rFonts w:ascii="Arial" w:eastAsia="Times New Roman" w:hAnsi="Arial" w:cs="Arial"/>
          <w:color w:val="000000"/>
          <w:lang w:eastAsia="es-CO"/>
        </w:rPr>
      </w:pPr>
    </w:p>
    <w:p w14:paraId="2AD0899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La suficiencia de la garantía, en los términos del artículo 2.2.6.7.1.1.10 del presente decreto;  </w:t>
      </w:r>
    </w:p>
    <w:p w14:paraId="756A7B3F" w14:textId="77777777" w:rsidR="00F74103" w:rsidRPr="009342F9" w:rsidRDefault="00F74103" w:rsidP="00FC79C1">
      <w:pPr>
        <w:spacing w:after="0" w:line="240" w:lineRule="auto"/>
        <w:jc w:val="both"/>
        <w:rPr>
          <w:rFonts w:ascii="Arial" w:eastAsia="Times New Roman" w:hAnsi="Arial" w:cs="Arial"/>
          <w:color w:val="000000"/>
          <w:lang w:eastAsia="es-CO"/>
        </w:rPr>
      </w:pPr>
    </w:p>
    <w:p w14:paraId="1D3C70BB" w14:textId="63FCD454"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Los estados financieros actualizados del patrimonio autónomo;  </w:t>
      </w:r>
    </w:p>
    <w:p w14:paraId="32BD72D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Una descripción de los bienes que conforman el patrimonio autónomo;  </w:t>
      </w:r>
    </w:p>
    <w:p w14:paraId="5684256A" w14:textId="77777777" w:rsidR="00F74103" w:rsidRPr="009342F9" w:rsidRDefault="00F74103" w:rsidP="00FC79C1">
      <w:pPr>
        <w:spacing w:after="0" w:line="240" w:lineRule="auto"/>
        <w:jc w:val="both"/>
        <w:rPr>
          <w:rFonts w:ascii="Arial" w:eastAsia="Times New Roman" w:hAnsi="Arial" w:cs="Arial"/>
          <w:color w:val="000000"/>
          <w:lang w:eastAsia="es-CO"/>
        </w:rPr>
      </w:pPr>
    </w:p>
    <w:p w14:paraId="28EBE286" w14:textId="11070CD6"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El procedimiento a surtirse en caso de hacerse exigible el amparo, el cual no podrá imponer al comprador de vivienda condiciones más gravosas a las contenidas en este capítulo.  </w:t>
      </w:r>
    </w:p>
    <w:p w14:paraId="504823B8" w14:textId="77777777" w:rsidR="00F74103" w:rsidRPr="009342F9" w:rsidRDefault="00F74103" w:rsidP="00FC79C1">
      <w:pPr>
        <w:spacing w:after="0" w:line="240" w:lineRule="auto"/>
        <w:jc w:val="both"/>
        <w:rPr>
          <w:rFonts w:ascii="Arial" w:eastAsia="Times New Roman" w:hAnsi="Arial" w:cs="Arial"/>
          <w:color w:val="000000"/>
          <w:lang w:eastAsia="es-CO"/>
        </w:rPr>
      </w:pPr>
    </w:p>
    <w:p w14:paraId="7C5DF389" w14:textId="269C2BC6"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El procedimiento que debe surtirse en caso de hacerse exigible el amparo debe quedar estipulado en el respectivo contrato de fiducia.  </w:t>
      </w:r>
    </w:p>
    <w:p w14:paraId="66480ABE" w14:textId="61C01214"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525" w:name="ver_30188871"/>
      <w:bookmarkEnd w:id="1525"/>
    </w:p>
    <w:p w14:paraId="74D0F6B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Artículo 2.2.6.7.1.2.6. Restitución de los bienes. La sociedad fiduciaria restituirá al constructor o enajenador de vivienda nueva la titularidad de los bienes contenidos en el patrimonio autónomo, una vez se haya cumplido el plazo de la obligación de amparar los perjuicios patrimoniales sin que hubiere ocurrido alguno de los siniestros previstos en este capítulo.  </w:t>
      </w:r>
    </w:p>
    <w:p w14:paraId="5E2C60DB"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526" w:name="ver_30188872"/>
      <w:bookmarkEnd w:id="1526"/>
    </w:p>
    <w:p w14:paraId="678C943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2.2.6.7.1.2.7. Exclusión de bienes. A la luz de lo dispuesto en el parágrafo del artículo 3° de la Ley 1676 de 2013, al contrato de fiducia en garantía se aplicará lo dispuesto en dicha ley en lo referente al registro, la oponibilidad y la restitución de la tenencia del bien objeto de comodato precario. El registro tendrá para el contrato de Fiducia Mercantil con fines de garantía los efectos previstos en el parágrafo del artículo 55 de la Ley 1116 de 2006. </w:t>
      </w:r>
    </w:p>
    <w:p w14:paraId="485CAF3C" w14:textId="77777777" w:rsidR="00F74103" w:rsidRPr="009342F9" w:rsidRDefault="00F74103" w:rsidP="00FC79C1">
      <w:pPr>
        <w:spacing w:after="0" w:line="240" w:lineRule="auto"/>
        <w:jc w:val="both"/>
        <w:rPr>
          <w:rFonts w:ascii="Arial" w:eastAsia="Times New Roman" w:hAnsi="Arial" w:cs="Arial"/>
          <w:color w:val="000000"/>
          <w:lang w:eastAsia="es-CO"/>
        </w:rPr>
      </w:pPr>
      <w:bookmarkStart w:id="1527" w:name="ver_30188874"/>
      <w:bookmarkEnd w:id="1527"/>
    </w:p>
    <w:p w14:paraId="5B129C84" w14:textId="208278B0" w:rsidR="00FC79C1" w:rsidRPr="009342F9" w:rsidRDefault="00FC79C1" w:rsidP="00F74103">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SUBSECCIÓN 3</w:t>
      </w:r>
    </w:p>
    <w:p w14:paraId="740B6C83" w14:textId="77777777" w:rsidR="00FC79C1" w:rsidRPr="009342F9" w:rsidRDefault="00FC79C1" w:rsidP="00F74103">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GARANTÍA BANCARIA</w:t>
      </w:r>
    </w:p>
    <w:p w14:paraId="754EC164" w14:textId="77777777" w:rsidR="00FC79C1" w:rsidRPr="009342F9" w:rsidRDefault="00FC79C1" w:rsidP="00F74103">
      <w:pPr>
        <w:spacing w:after="0" w:line="240" w:lineRule="auto"/>
        <w:jc w:val="center"/>
        <w:rPr>
          <w:rFonts w:ascii="Arial" w:eastAsia="Times New Roman" w:hAnsi="Arial" w:cs="Arial"/>
          <w:b/>
          <w:bCs/>
          <w:color w:val="000000"/>
          <w:lang w:eastAsia="es-CO"/>
        </w:rPr>
      </w:pPr>
      <w:bookmarkStart w:id="1528" w:name="ver_30188875"/>
      <w:bookmarkEnd w:id="1528"/>
    </w:p>
    <w:p w14:paraId="695E176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2.2.6.7.1.3.1. Garantías Bancarias. El constructor o enajenador de vivienda nueva podrá amparar los perjuicios patrimoniales mediante la constitución de una garantía bancaria por medio de la cual un establecimiento de crédito autorizado y vigilado asuma el compromiso de amparar los perjuicios patrimoniales según lo dispuesto en este capítulo. Para ser admisibles las garantías bancarias deben reunir las siguientes condiciones:  </w:t>
      </w:r>
    </w:p>
    <w:p w14:paraId="7F417D85" w14:textId="77777777" w:rsidR="00F74103" w:rsidRPr="009342F9" w:rsidRDefault="00F74103" w:rsidP="00FC79C1">
      <w:pPr>
        <w:spacing w:after="0" w:line="240" w:lineRule="auto"/>
        <w:jc w:val="both"/>
        <w:rPr>
          <w:rFonts w:ascii="Arial" w:eastAsia="Times New Roman" w:hAnsi="Arial" w:cs="Arial"/>
          <w:color w:val="000000"/>
          <w:lang w:eastAsia="es-CO"/>
        </w:rPr>
      </w:pPr>
    </w:p>
    <w:p w14:paraId="59B5CBC6" w14:textId="26BB6C96"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Constar en documento privado expedido por un establecimiento de crédito auto</w:t>
      </w:r>
      <w:r w:rsidRPr="009342F9">
        <w:rPr>
          <w:rFonts w:ascii="Arial" w:eastAsia="Times New Roman" w:hAnsi="Arial" w:cs="Arial"/>
          <w:color w:val="000000"/>
          <w:lang w:eastAsia="es-CO"/>
        </w:rPr>
        <w:softHyphen/>
        <w:t>rizado y vigilado por la Superintendencia Financiera de Colombia, suscrito por el representante legal o apoderado de la entidad garante, en el cual el establecimiento de crédito asuma en forma expresa, independiente, incondicional, autónoma e irre</w:t>
      </w:r>
      <w:r w:rsidRPr="009342F9">
        <w:rPr>
          <w:rFonts w:ascii="Arial" w:eastAsia="Times New Roman" w:hAnsi="Arial" w:cs="Arial"/>
          <w:color w:val="000000"/>
          <w:lang w:eastAsia="es-CO"/>
        </w:rPr>
        <w:softHyphen/>
        <w:t>vocable la obligación del constructor o enajenador de vivienda nueva de indem</w:t>
      </w:r>
      <w:r w:rsidRPr="009342F9">
        <w:rPr>
          <w:rFonts w:ascii="Arial" w:eastAsia="Times New Roman" w:hAnsi="Arial" w:cs="Arial"/>
          <w:color w:val="000000"/>
          <w:lang w:eastAsia="es-CO"/>
        </w:rPr>
        <w:softHyphen/>
        <w:t>nizar a los propietarios iniciales o propietarios sucesivos de las viviendas el valor de reconstrucción o reemplazo de las mismas, en caso de que estas perezcan o amenacen ruina.  </w:t>
      </w:r>
    </w:p>
    <w:p w14:paraId="613ECE21" w14:textId="77777777" w:rsidR="00F74103" w:rsidRPr="009342F9" w:rsidRDefault="00F74103" w:rsidP="00FC79C1">
      <w:pPr>
        <w:spacing w:after="0" w:line="240" w:lineRule="auto"/>
        <w:jc w:val="both"/>
        <w:rPr>
          <w:rFonts w:ascii="Arial" w:eastAsia="Times New Roman" w:hAnsi="Arial" w:cs="Arial"/>
          <w:color w:val="000000"/>
          <w:lang w:eastAsia="es-CO"/>
        </w:rPr>
      </w:pPr>
    </w:p>
    <w:p w14:paraId="2E574B97" w14:textId="0E795F04"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Se deberá anexar a la garantía bancaria un certificado de existencia y representa</w:t>
      </w:r>
      <w:r w:rsidRPr="009342F9">
        <w:rPr>
          <w:rFonts w:ascii="Arial" w:eastAsia="Times New Roman" w:hAnsi="Arial" w:cs="Arial"/>
          <w:color w:val="000000"/>
          <w:lang w:eastAsia="es-CO"/>
        </w:rPr>
        <w:softHyphen/>
        <w:t>ción legal expedido por la Superintendencia Financiera de Colombia.  </w:t>
      </w:r>
    </w:p>
    <w:p w14:paraId="01A0975F" w14:textId="77777777" w:rsidR="00F74103" w:rsidRPr="009342F9" w:rsidRDefault="00F74103" w:rsidP="00FC79C1">
      <w:pPr>
        <w:spacing w:after="0" w:line="240" w:lineRule="auto"/>
        <w:jc w:val="both"/>
        <w:rPr>
          <w:rFonts w:ascii="Arial" w:eastAsia="Times New Roman" w:hAnsi="Arial" w:cs="Arial"/>
          <w:color w:val="000000"/>
          <w:lang w:eastAsia="es-CO"/>
        </w:rPr>
      </w:pPr>
    </w:p>
    <w:p w14:paraId="65FB9F78" w14:textId="4176B23D"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Para que la garantía bancaria tenga validez en el amparo de perjuicios patrimonia</w:t>
      </w:r>
      <w:r w:rsidRPr="009342F9">
        <w:rPr>
          <w:rFonts w:ascii="Arial" w:eastAsia="Times New Roman" w:hAnsi="Arial" w:cs="Arial"/>
          <w:color w:val="000000"/>
          <w:lang w:eastAsia="es-CO"/>
        </w:rPr>
        <w:softHyphen/>
        <w:t>les de que trata este Capítulo, en el documento de constitución, la entidad otorgante del mecanismo de amparo tendrá que pactar la irrevocabilidad del amparo.  </w:t>
      </w:r>
    </w:p>
    <w:p w14:paraId="6FF0A125" w14:textId="77777777" w:rsidR="00F74103" w:rsidRPr="009342F9" w:rsidRDefault="00F74103" w:rsidP="00FC79C1">
      <w:pPr>
        <w:spacing w:after="0" w:line="240" w:lineRule="auto"/>
        <w:jc w:val="both"/>
        <w:rPr>
          <w:rFonts w:ascii="Arial" w:eastAsia="Times New Roman" w:hAnsi="Arial" w:cs="Arial"/>
          <w:color w:val="000000"/>
          <w:lang w:eastAsia="es-CO"/>
        </w:rPr>
      </w:pPr>
    </w:p>
    <w:p w14:paraId="0121A09B" w14:textId="08DBB663"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La garantía bancaria deberá cumplir con las características enunciadas en este Ca</w:t>
      </w:r>
      <w:r w:rsidRPr="009342F9">
        <w:rPr>
          <w:rFonts w:ascii="Arial" w:eastAsia="Times New Roman" w:hAnsi="Arial" w:cs="Arial"/>
          <w:color w:val="000000"/>
          <w:lang w:eastAsia="es-CO"/>
        </w:rPr>
        <w:softHyphen/>
        <w:t>pítulo, en especial con lo señalado en cuanto a vigencia, permanencia, liquidez, su</w:t>
      </w:r>
      <w:r w:rsidRPr="009342F9">
        <w:rPr>
          <w:rFonts w:ascii="Arial" w:eastAsia="Times New Roman" w:hAnsi="Arial" w:cs="Arial"/>
          <w:color w:val="000000"/>
          <w:lang w:eastAsia="es-CO"/>
        </w:rPr>
        <w:softHyphen/>
        <w:t>ficiencia y momento de constitución. Además, debe contemplar de forma expresa la renuncia de la entidad garante al beneficio de excusión.  </w:t>
      </w:r>
    </w:p>
    <w:p w14:paraId="021AFDE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2AB42BA" w14:textId="1D5E92E7" w:rsidR="00FC79C1" w:rsidRPr="009342F9" w:rsidRDefault="00FC79C1" w:rsidP="00F74103">
      <w:pPr>
        <w:spacing w:after="0" w:line="240" w:lineRule="auto"/>
        <w:jc w:val="center"/>
        <w:rPr>
          <w:rFonts w:ascii="Arial" w:eastAsia="Times New Roman" w:hAnsi="Arial" w:cs="Arial"/>
          <w:b/>
          <w:bCs/>
          <w:color w:val="000000"/>
          <w:lang w:eastAsia="es-CO"/>
        </w:rPr>
      </w:pPr>
      <w:bookmarkStart w:id="1529" w:name="ver_30188876"/>
      <w:bookmarkEnd w:id="1529"/>
      <w:r w:rsidRPr="009342F9">
        <w:rPr>
          <w:rFonts w:ascii="Arial" w:eastAsia="Times New Roman" w:hAnsi="Arial" w:cs="Arial"/>
          <w:b/>
          <w:bCs/>
          <w:color w:val="000000"/>
          <w:lang w:eastAsia="es-CO"/>
        </w:rPr>
        <w:t>SUBSECCIÓN 4</w:t>
      </w:r>
    </w:p>
    <w:p w14:paraId="4F2B8A6C" w14:textId="77777777" w:rsidR="00FC79C1" w:rsidRPr="009342F9" w:rsidRDefault="00FC79C1" w:rsidP="00F74103">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PÓLIZA DE SEGURO</w:t>
      </w:r>
    </w:p>
    <w:p w14:paraId="546A3B8F"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530" w:name="ver_30188877"/>
      <w:bookmarkEnd w:id="1530"/>
    </w:p>
    <w:p w14:paraId="0A7BAD20" w14:textId="7D630216"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2.2.6.7.1.4.1. Póliza de seguro. El constructor o enajenador de vivienda nueva podrá constituir pólizas de seguro para cubrir los perjuicios patrimoniales causados a los propietarios que se vean afectados cuando la edificación perezca o amenace ruina, las cuales deberán cumplir con las características previstas en este Capítulo.  </w:t>
      </w:r>
    </w:p>
    <w:p w14:paraId="5A53EEF7" w14:textId="77777777" w:rsidR="00F74103" w:rsidRPr="009342F9" w:rsidRDefault="00F74103" w:rsidP="00FC79C1">
      <w:pPr>
        <w:spacing w:after="0" w:line="240" w:lineRule="auto"/>
        <w:jc w:val="both"/>
        <w:rPr>
          <w:rFonts w:ascii="Arial" w:eastAsia="Times New Roman" w:hAnsi="Arial" w:cs="Arial"/>
          <w:color w:val="000000"/>
          <w:lang w:eastAsia="es-CO"/>
        </w:rPr>
      </w:pPr>
    </w:p>
    <w:p w14:paraId="45AD65B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 Superintendencia Financiera de Colombia creará un nuevo ramo de seguro para la expedición de las pólizas de las que trata la presente subsección.  </w:t>
      </w:r>
    </w:p>
    <w:p w14:paraId="4D134903"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531" w:name="ver_30188878"/>
      <w:bookmarkEnd w:id="1531"/>
    </w:p>
    <w:p w14:paraId="77E4CF1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Artículo 2.2.6.7.1.4.2. Características del seguro. Las pólizas de seguros deben cumplir con lo previsto en el Código de Comercio y, adicionalmente, reunir las siguientes condiciones:  </w:t>
      </w:r>
    </w:p>
    <w:p w14:paraId="5A6CF9E5" w14:textId="77777777" w:rsidR="00F74103" w:rsidRPr="009342F9" w:rsidRDefault="00F74103" w:rsidP="00FC79C1">
      <w:pPr>
        <w:spacing w:after="0" w:line="240" w:lineRule="auto"/>
        <w:jc w:val="both"/>
        <w:rPr>
          <w:rFonts w:ascii="Arial" w:eastAsia="Times New Roman" w:hAnsi="Arial" w:cs="Arial"/>
          <w:color w:val="000000"/>
          <w:lang w:eastAsia="es-CO"/>
        </w:rPr>
      </w:pPr>
    </w:p>
    <w:p w14:paraId="1FE92E0D" w14:textId="61036600"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El seguro debe corresponder a la categoría de seguro real y de ocurrencia, el cual tendrá por objeto resarcir, en caso de siniestro, al propietario inicial, o sucesivos propietarios de las viviendas nuevas por los perjuicios patrimoniales causados.  </w:t>
      </w:r>
    </w:p>
    <w:p w14:paraId="3932FF55" w14:textId="77777777" w:rsidR="00F74103" w:rsidRPr="009342F9" w:rsidRDefault="00F74103" w:rsidP="00FC79C1">
      <w:pPr>
        <w:spacing w:after="0" w:line="240" w:lineRule="auto"/>
        <w:jc w:val="both"/>
        <w:rPr>
          <w:rFonts w:ascii="Arial" w:eastAsia="Times New Roman" w:hAnsi="Arial" w:cs="Arial"/>
          <w:color w:val="000000"/>
          <w:lang w:eastAsia="es-CO"/>
        </w:rPr>
      </w:pPr>
    </w:p>
    <w:p w14:paraId="4F985EE5" w14:textId="21BBB59D"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Serán asegurados y beneficiarios quienes ostenten la calidad de propietarios al mo</w:t>
      </w:r>
      <w:r w:rsidRPr="009342F9">
        <w:rPr>
          <w:rFonts w:ascii="Arial" w:eastAsia="Times New Roman" w:hAnsi="Arial" w:cs="Arial"/>
          <w:color w:val="000000"/>
          <w:lang w:eastAsia="es-CO"/>
        </w:rPr>
        <w:softHyphen/>
        <w:t>mento de la ocurrencia del siniestro dentro del término de vigencia de la obliga</w:t>
      </w:r>
      <w:r w:rsidRPr="009342F9">
        <w:rPr>
          <w:rFonts w:ascii="Arial" w:eastAsia="Times New Roman" w:hAnsi="Arial" w:cs="Arial"/>
          <w:color w:val="000000"/>
          <w:lang w:eastAsia="es-CO"/>
        </w:rPr>
        <w:softHyphen/>
        <w:t>ción.  </w:t>
      </w:r>
    </w:p>
    <w:p w14:paraId="104FD628" w14:textId="77777777" w:rsidR="00F74103" w:rsidRPr="009342F9" w:rsidRDefault="00F74103" w:rsidP="00FC79C1">
      <w:pPr>
        <w:spacing w:after="0" w:line="240" w:lineRule="auto"/>
        <w:jc w:val="both"/>
        <w:rPr>
          <w:rFonts w:ascii="Arial" w:eastAsia="Times New Roman" w:hAnsi="Arial" w:cs="Arial"/>
          <w:color w:val="000000"/>
          <w:lang w:eastAsia="es-CO"/>
        </w:rPr>
      </w:pPr>
    </w:p>
    <w:p w14:paraId="237D5D8C" w14:textId="747A3BAA"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El seguro será tomado por el constructor o enajenador de vivienda nueva por cuen</w:t>
      </w:r>
      <w:r w:rsidRPr="009342F9">
        <w:rPr>
          <w:rFonts w:ascii="Arial" w:eastAsia="Times New Roman" w:hAnsi="Arial" w:cs="Arial"/>
          <w:color w:val="000000"/>
          <w:lang w:eastAsia="es-CO"/>
        </w:rPr>
        <w:softHyphen/>
        <w:t>ta propia y por cuenta del propietario inicial o sucesivos propietarios.  </w:t>
      </w:r>
    </w:p>
    <w:p w14:paraId="22104178" w14:textId="77777777" w:rsidR="00F74103" w:rsidRPr="009342F9" w:rsidRDefault="00F74103" w:rsidP="00FC79C1">
      <w:pPr>
        <w:spacing w:after="0" w:line="240" w:lineRule="auto"/>
        <w:jc w:val="both"/>
        <w:rPr>
          <w:rFonts w:ascii="Arial" w:eastAsia="Times New Roman" w:hAnsi="Arial" w:cs="Arial"/>
          <w:color w:val="000000"/>
          <w:lang w:eastAsia="es-CO"/>
        </w:rPr>
      </w:pPr>
    </w:p>
    <w:p w14:paraId="1B7A7BFC" w14:textId="61D77780"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La póliza de seguro deberá ser expedida por una entidad aseguradora autorizada y vigilada por la Superintendencia Financiera de Colombia.  </w:t>
      </w:r>
    </w:p>
    <w:p w14:paraId="42594FEB" w14:textId="77777777" w:rsidR="00F74103" w:rsidRPr="009342F9" w:rsidRDefault="00F74103" w:rsidP="00FC79C1">
      <w:pPr>
        <w:spacing w:after="0" w:line="240" w:lineRule="auto"/>
        <w:jc w:val="both"/>
        <w:rPr>
          <w:rFonts w:ascii="Arial" w:eastAsia="Times New Roman" w:hAnsi="Arial" w:cs="Arial"/>
          <w:color w:val="000000"/>
          <w:lang w:eastAsia="es-CO"/>
        </w:rPr>
      </w:pPr>
    </w:p>
    <w:p w14:paraId="44F327E5" w14:textId="64AC5582"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 La póliza deberá ser irrevocable, permanente, líquida y suficiente, de acuerdo con las definiciones de este Capítulo y no podrá terminarse de mutuo acuerdo ni revo</w:t>
      </w:r>
      <w:r w:rsidRPr="009342F9">
        <w:rPr>
          <w:rFonts w:ascii="Arial" w:eastAsia="Times New Roman" w:hAnsi="Arial" w:cs="Arial"/>
          <w:color w:val="000000"/>
          <w:lang w:eastAsia="es-CO"/>
        </w:rPr>
        <w:softHyphen/>
        <w:t>carse unilateralmente.  </w:t>
      </w:r>
    </w:p>
    <w:p w14:paraId="135E4181" w14:textId="77777777" w:rsidR="00F74103" w:rsidRPr="009342F9" w:rsidRDefault="00F74103" w:rsidP="00FC79C1">
      <w:pPr>
        <w:spacing w:after="0" w:line="240" w:lineRule="auto"/>
        <w:jc w:val="both"/>
        <w:rPr>
          <w:rFonts w:ascii="Arial" w:eastAsia="Times New Roman" w:hAnsi="Arial" w:cs="Arial"/>
          <w:color w:val="000000"/>
          <w:lang w:eastAsia="es-CO"/>
        </w:rPr>
      </w:pPr>
    </w:p>
    <w:p w14:paraId="3F4E629E" w14:textId="775BAF3A"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6. La prima deberá estar pagada en su totalidad como máximo dentro de los diez (10) días hábiles siguientes a la fecha de expedición del Certificado Técnico de Ocupación por parte del supervisor técnico independiente y antes de la </w:t>
      </w:r>
      <w:proofErr w:type="gramStart"/>
      <w:r w:rsidRPr="009342F9">
        <w:rPr>
          <w:rFonts w:ascii="Arial" w:eastAsia="Times New Roman" w:hAnsi="Arial" w:cs="Arial"/>
          <w:color w:val="000000"/>
          <w:lang w:eastAsia="es-CO"/>
        </w:rPr>
        <w:t>entrada en vigencia</w:t>
      </w:r>
      <w:proofErr w:type="gramEnd"/>
      <w:r w:rsidRPr="009342F9">
        <w:rPr>
          <w:rFonts w:ascii="Arial" w:eastAsia="Times New Roman" w:hAnsi="Arial" w:cs="Arial"/>
          <w:color w:val="000000"/>
          <w:lang w:eastAsia="es-CO"/>
        </w:rPr>
        <w:t xml:space="preserve"> de la póliza, así mismo se anexará a la escritura pública de transferencia el recibo de pago legalizado.  </w:t>
      </w:r>
    </w:p>
    <w:p w14:paraId="015247A0" w14:textId="77777777" w:rsidR="00F74103" w:rsidRPr="009342F9" w:rsidRDefault="00F74103" w:rsidP="00FC79C1">
      <w:pPr>
        <w:spacing w:after="0" w:line="240" w:lineRule="auto"/>
        <w:jc w:val="both"/>
        <w:rPr>
          <w:rFonts w:ascii="Arial" w:eastAsia="Times New Roman" w:hAnsi="Arial" w:cs="Arial"/>
          <w:color w:val="000000"/>
          <w:lang w:eastAsia="es-CO"/>
        </w:rPr>
      </w:pPr>
    </w:p>
    <w:p w14:paraId="3D2A2CDA" w14:textId="2203A80A"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7. En concordancia con lo dispuesto en el artículo 1044 del Código de Comercio, para este tipo de pólizas el asegurador deberá estipular que no podrá oponer al benefi</w:t>
      </w:r>
      <w:r w:rsidRPr="009342F9">
        <w:rPr>
          <w:rFonts w:ascii="Arial" w:eastAsia="Times New Roman" w:hAnsi="Arial" w:cs="Arial"/>
          <w:color w:val="000000"/>
          <w:lang w:eastAsia="es-CO"/>
        </w:rPr>
        <w:softHyphen/>
        <w:t>ciario las excepciones que hubiera podido alegar contra el tomador.  </w:t>
      </w:r>
    </w:p>
    <w:p w14:paraId="2ADBB59A" w14:textId="77777777" w:rsidR="00F74103" w:rsidRPr="009342F9" w:rsidRDefault="00F74103" w:rsidP="00FC79C1">
      <w:pPr>
        <w:spacing w:after="0" w:line="240" w:lineRule="auto"/>
        <w:jc w:val="both"/>
        <w:rPr>
          <w:rFonts w:ascii="Arial" w:eastAsia="Times New Roman" w:hAnsi="Arial" w:cs="Arial"/>
          <w:color w:val="000000"/>
          <w:lang w:eastAsia="es-CO"/>
        </w:rPr>
      </w:pPr>
    </w:p>
    <w:p w14:paraId="16077ECA" w14:textId="4C927D3F"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8. La póliza podrá contratarse de manera individual o colectiva, en este último caso se debe emitir el correspondiente certificado individual a cada uno de los proyectos asegurados. </w:t>
      </w:r>
    </w:p>
    <w:p w14:paraId="049B62B2"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532" w:name="ver_30188879"/>
      <w:bookmarkEnd w:id="1532"/>
    </w:p>
    <w:p w14:paraId="582608F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2.2.6.7.1.4.3. Pago de la prima. El pago de la prima será único por toda la duración del contrato de seguro. Sin embargo, el constructor o enajenador de vivienda nueva o tercero, previo acuerdo con la entidad aseguradora, podrá diferir el pago de la prima desde el inicio de la construcción y, en todo caso, la prima deberá estar pagada por el constructor o enajenador o un tercero en su totalidad como máximo dentro de los diez (10) días hábiles siguientes a la fecha de expedición del Certificado Técnico de Ocupación por parte del supervisor técnico independiente y antes de la entrada en vigencia de la póliza.  </w:t>
      </w:r>
    </w:p>
    <w:p w14:paraId="45A97F7F" w14:textId="77777777" w:rsidR="00AD0669" w:rsidRDefault="00AD0669" w:rsidP="00FC79C1">
      <w:pPr>
        <w:spacing w:after="0" w:line="240" w:lineRule="auto"/>
        <w:jc w:val="both"/>
        <w:rPr>
          <w:rFonts w:ascii="Arial" w:eastAsia="Times New Roman" w:hAnsi="Arial" w:cs="Arial"/>
          <w:color w:val="000000"/>
          <w:lang w:eastAsia="es-CO"/>
        </w:rPr>
      </w:pPr>
    </w:p>
    <w:p w14:paraId="46332F25" w14:textId="0E11384C"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Sin perjuicio de lo establecido en el presente artículo, el constructor o enajenador o un tercero podrán optar por realizar un único e indivisible pago de la prima para la obtención del amparo al que se refiere el presente capítulo, al momento del otorgamiento del Certificado Técnico de Ocupación por parte del supervisor técnico independiente.  </w:t>
      </w:r>
    </w:p>
    <w:p w14:paraId="35E09527"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533" w:name="ver_30188880"/>
      <w:bookmarkEnd w:id="1533"/>
    </w:p>
    <w:p w14:paraId="03C6B7D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2.2.6.7.1.4.4. Emisión de la póliza. La póliza de seguro o el certificado individual respectivo deberá ser emitida por proyecto y se protocolizará en los actos de transferencia de las unidades habitacionales privadas resultantes.  </w:t>
      </w:r>
    </w:p>
    <w:p w14:paraId="30631F65" w14:textId="77777777" w:rsidR="00F74103" w:rsidRPr="009342F9" w:rsidRDefault="00F74103" w:rsidP="00FC79C1">
      <w:pPr>
        <w:spacing w:after="0" w:line="240" w:lineRule="auto"/>
        <w:jc w:val="both"/>
        <w:rPr>
          <w:rFonts w:ascii="Arial" w:eastAsia="Times New Roman" w:hAnsi="Arial" w:cs="Arial"/>
          <w:color w:val="000000"/>
          <w:lang w:eastAsia="es-CO"/>
        </w:rPr>
      </w:pPr>
    </w:p>
    <w:p w14:paraId="79865457" w14:textId="49D2A079"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No obstante, cuando el Supervisor Técnico Independiente expida un certificado técnico de ocupación por unidad estructuralmente independiente, la póliza de seguro o el certificado </w:t>
      </w:r>
      <w:r w:rsidRPr="009342F9">
        <w:rPr>
          <w:rFonts w:ascii="Arial" w:eastAsia="Times New Roman" w:hAnsi="Arial" w:cs="Arial"/>
          <w:color w:val="000000"/>
          <w:lang w:eastAsia="es-CO"/>
        </w:rPr>
        <w:lastRenderedPageBreak/>
        <w:t>individual podrá expedirse por cada una de estas. De igual forma se procederá con los proyectos de construcción por etapas de que trata la Ley 675 de 2001.  </w:t>
      </w:r>
    </w:p>
    <w:p w14:paraId="5FC0BE20"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534" w:name="ver_30188881"/>
      <w:bookmarkEnd w:id="1534"/>
    </w:p>
    <w:p w14:paraId="004ABA9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2.2.6.7.1.4.5. Deducibles. Podrán pactarse deducibles, desde que los mismos no superen el 0,5% del valor del amparo y se encuentren a cargo del tomador del seguro. En ningún caso se efectuarán erogaciones obligatorias a cargo de los beneficiarios del amparo.  </w:t>
      </w:r>
    </w:p>
    <w:p w14:paraId="2EE3E445"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535" w:name="ver_30188882"/>
      <w:bookmarkEnd w:id="1535"/>
    </w:p>
    <w:p w14:paraId="77B903B4" w14:textId="65B82C92"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2.2.6.7.1.4.6. Coberturas adicionales. La entidad aseguradora que emita la póliza de seguro podrá acordar con el constructor o enajenador de vivienda nueva, la inclusión de coberturas adicionales siempre que guarden conexidad con el objeto de la cobertura principal.  </w:t>
      </w:r>
    </w:p>
    <w:p w14:paraId="6592D6CC" w14:textId="77777777" w:rsidR="00F74103" w:rsidRPr="009342F9" w:rsidRDefault="00F74103" w:rsidP="00FC79C1">
      <w:pPr>
        <w:spacing w:after="0" w:line="240" w:lineRule="auto"/>
        <w:jc w:val="both"/>
        <w:rPr>
          <w:rFonts w:ascii="Arial" w:eastAsia="Times New Roman" w:hAnsi="Arial" w:cs="Arial"/>
          <w:color w:val="000000"/>
          <w:lang w:eastAsia="es-CO"/>
        </w:rPr>
      </w:pPr>
    </w:p>
    <w:p w14:paraId="0FD00C0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Las coberturas adicionales se tendrán como opcionales y no serán requisito indispensable para la expedición de la póliza que cubra la garantía de que trata la presente subsección.  </w:t>
      </w:r>
    </w:p>
    <w:p w14:paraId="512451C3" w14:textId="4D473051" w:rsidR="00FC79C1" w:rsidRPr="009342F9" w:rsidRDefault="00FC79C1" w:rsidP="00F74103">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9618F09" w14:textId="50365A7E" w:rsidR="00FC79C1" w:rsidRPr="009342F9" w:rsidRDefault="00FC79C1" w:rsidP="00F74103">
      <w:pPr>
        <w:spacing w:after="0" w:line="240" w:lineRule="auto"/>
        <w:jc w:val="center"/>
        <w:rPr>
          <w:rFonts w:ascii="Arial" w:eastAsia="Times New Roman" w:hAnsi="Arial" w:cs="Arial"/>
          <w:b/>
          <w:bCs/>
          <w:color w:val="000000"/>
          <w:lang w:eastAsia="es-CO"/>
        </w:rPr>
      </w:pPr>
      <w:bookmarkStart w:id="1536" w:name="ver_30188883"/>
      <w:bookmarkEnd w:id="1536"/>
      <w:r w:rsidRPr="009342F9">
        <w:rPr>
          <w:rFonts w:ascii="Arial" w:eastAsia="Times New Roman" w:hAnsi="Arial" w:cs="Arial"/>
          <w:b/>
          <w:bCs/>
          <w:color w:val="000000"/>
          <w:lang w:eastAsia="es-CO"/>
        </w:rPr>
        <w:t>SUBSECCIÓN 5</w:t>
      </w:r>
    </w:p>
    <w:p w14:paraId="2EB94D5F" w14:textId="77777777" w:rsidR="00FC79C1" w:rsidRPr="009342F9" w:rsidRDefault="00FC79C1" w:rsidP="00F74103">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OTROS MECANISMOS</w:t>
      </w:r>
    </w:p>
    <w:p w14:paraId="15DA0E28"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537" w:name="ver_30188884"/>
      <w:bookmarkEnd w:id="1537"/>
    </w:p>
    <w:p w14:paraId="695DC36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2.2.6.7.1.5.1. Procedencia de otros mecanismos. De conformidad con lo señalado en el parágrafo del artículo 8° de la Ley 1796 de 2016, en el evento que se presenten los análisis técnicos y financieros que evidencien la procedencia de otros mecanismos, la Superintendencia Financiera establecerá las condiciones y operación de </w:t>
      </w:r>
      <w:proofErr w:type="gramStart"/>
      <w:r w:rsidRPr="009342F9">
        <w:rPr>
          <w:rFonts w:ascii="Arial" w:eastAsia="Times New Roman" w:hAnsi="Arial" w:cs="Arial"/>
          <w:color w:val="000000"/>
          <w:lang w:eastAsia="es-CO"/>
        </w:rPr>
        <w:t>los mismos</w:t>
      </w:r>
      <w:proofErr w:type="gramEnd"/>
      <w:r w:rsidRPr="009342F9">
        <w:rPr>
          <w:rFonts w:ascii="Arial" w:eastAsia="Times New Roman" w:hAnsi="Arial" w:cs="Arial"/>
          <w:color w:val="000000"/>
          <w:lang w:eastAsia="es-CO"/>
        </w:rPr>
        <w:t>.  </w:t>
      </w:r>
    </w:p>
    <w:p w14:paraId="355B0C60" w14:textId="77777777" w:rsidR="00F74103" w:rsidRPr="009342F9" w:rsidRDefault="00F74103" w:rsidP="00FC79C1">
      <w:pPr>
        <w:spacing w:after="0" w:line="240" w:lineRule="auto"/>
        <w:jc w:val="both"/>
        <w:rPr>
          <w:rFonts w:ascii="Arial" w:eastAsia="Times New Roman" w:hAnsi="Arial" w:cs="Arial"/>
          <w:color w:val="000000"/>
          <w:spacing w:val="45"/>
          <w:lang w:eastAsia="es-CO"/>
        </w:rPr>
      </w:pPr>
      <w:bookmarkStart w:id="1538" w:name="ver_30188885"/>
      <w:bookmarkEnd w:id="1538"/>
    </w:p>
    <w:p w14:paraId="7E4A14D2" w14:textId="503A84EA" w:rsidR="00FC79C1" w:rsidRPr="009342F9" w:rsidRDefault="00FC79C1" w:rsidP="00F74103">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SECCIÓN 2</w:t>
      </w:r>
    </w:p>
    <w:p w14:paraId="7B0DA58F" w14:textId="77777777" w:rsidR="00FC79C1" w:rsidRPr="009342F9" w:rsidRDefault="00FC79C1" w:rsidP="00F74103">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VERIFICACIÓN DE EXISTENCIA DE LOS MECANISMOS DE AMPARO</w:t>
      </w:r>
    </w:p>
    <w:p w14:paraId="55956718"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539" w:name="ver_30188886"/>
      <w:bookmarkEnd w:id="1539"/>
    </w:p>
    <w:p w14:paraId="5FA0DF3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2.2.6.7.2.1. Protocolización y Registro de escritura pública de transferencia. En la Escritura Pública de transferencia de la vivienda nueva se deberá señalar la información básica del mecanismo de amparo, a saber: entidad otorgante, valor y vigencia. Así mismo deberá aportarse y protocolizarse el documento que acredite la constitución y pago del mecanismo de amparo.  </w:t>
      </w:r>
    </w:p>
    <w:p w14:paraId="0C95D574" w14:textId="77777777" w:rsidR="00F74103" w:rsidRPr="009342F9" w:rsidRDefault="00F74103" w:rsidP="00FC79C1">
      <w:pPr>
        <w:spacing w:after="0" w:line="240" w:lineRule="auto"/>
        <w:jc w:val="both"/>
        <w:rPr>
          <w:rFonts w:ascii="Arial" w:eastAsia="Times New Roman" w:hAnsi="Arial" w:cs="Arial"/>
          <w:color w:val="000000"/>
          <w:lang w:eastAsia="es-CO"/>
        </w:rPr>
      </w:pPr>
    </w:p>
    <w:p w14:paraId="399FC5C7" w14:textId="00F68696"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Al momento de la inscripción de la Escritura Pública de transferencia de la vivienda nueva en la Oficina de Registro de Instrumentos Públicos, esta deberá contener el documento que acredite la constitución y pago del mecanismo de amparo. En caso de no contar con el citado documento no se realizará la inscripción en el folio de matrícula correspondiente y deberá seguirse el procedimiento establecido en el artículo 22 de la Ley 1579 de 2012. </w:t>
      </w:r>
    </w:p>
    <w:p w14:paraId="5F003B8F"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540" w:name="ver_30188887"/>
      <w:bookmarkEnd w:id="1540"/>
    </w:p>
    <w:p w14:paraId="26F9D66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2.2.6.7.2.2. Acción del enajenador. Sin perjuicio de lo establecido en el artículo 8° de la Ley 1796 de 2016, el constructor o enajenador de vivienda nueva que cumpla la referida obligación, podrá ejercer acción civil o penal contra los profesionales que hayan adelantado las actividades de diseño estructural de la edificación, revisión independiente de los diseños estructurales, dirección de la construcción o supervisión técnica independiente, por las actuaciones u omisiones que a su cargo hayan producido que la edificación perezca o amenace ruina, según lo previsto en el numeral 3 del artículo 2060 del Código Civil.  </w:t>
      </w:r>
    </w:p>
    <w:p w14:paraId="4025D31D"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541" w:name="ver_30188888"/>
      <w:bookmarkEnd w:id="1541"/>
    </w:p>
    <w:p w14:paraId="0620D55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2.2.6.7.2.3. Liquidación. Si durante la vigencia del amparo de que trata el artículo 8° de la Ley 1796 de 2016, el constructor o enajenador de vivienda nueva inicia un proceso de liquidación, la responsabilidad entre los accionistas o socios se regirá según lo previsto en la normativa legal vigente y de acuerdo con el tipo de sociedad que se trate, para cumplir con la obligación de amparar los perjuicios patrimoniales ocasionados a los compradores de vivienda </w:t>
      </w:r>
      <w:r w:rsidRPr="009342F9">
        <w:rPr>
          <w:rFonts w:ascii="Arial" w:eastAsia="Times New Roman" w:hAnsi="Arial" w:cs="Arial"/>
          <w:color w:val="000000"/>
          <w:lang w:eastAsia="es-CO"/>
        </w:rPr>
        <w:lastRenderedPageBreak/>
        <w:t>nueva en caso de que la edificación perezca o amenace ruina, según lo previsto en el presente Capítulo.  </w:t>
      </w:r>
    </w:p>
    <w:p w14:paraId="56FE699B" w14:textId="77777777" w:rsidR="00F74103" w:rsidRPr="009342F9" w:rsidRDefault="00F74103" w:rsidP="00FC79C1">
      <w:pPr>
        <w:spacing w:after="0" w:line="240" w:lineRule="auto"/>
        <w:jc w:val="both"/>
        <w:rPr>
          <w:rFonts w:ascii="Arial" w:eastAsia="Times New Roman" w:hAnsi="Arial" w:cs="Arial"/>
          <w:color w:val="000000"/>
          <w:lang w:eastAsia="es-CO"/>
        </w:rPr>
      </w:pPr>
      <w:bookmarkStart w:id="1542" w:name="ver_30179401"/>
      <w:bookmarkEnd w:id="1542"/>
    </w:p>
    <w:p w14:paraId="16AB8F87" w14:textId="6B2A7604" w:rsidR="00FC79C1" w:rsidRPr="009342F9" w:rsidRDefault="00FC79C1" w:rsidP="00F74103">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TITULO 7</w:t>
      </w:r>
    </w:p>
    <w:p w14:paraId="4EADF825" w14:textId="77777777" w:rsidR="00FC79C1" w:rsidRDefault="00FC79C1" w:rsidP="00F74103">
      <w:pPr>
        <w:spacing w:after="0" w:line="240" w:lineRule="auto"/>
        <w:jc w:val="center"/>
        <w:rPr>
          <w:rFonts w:ascii="Arial" w:eastAsia="Times New Roman" w:hAnsi="Arial" w:cs="Arial"/>
          <w:b/>
          <w:bCs/>
          <w:color w:val="000000"/>
          <w:lang w:eastAsia="es-CO"/>
        </w:rPr>
      </w:pPr>
      <w:r w:rsidRPr="231E957E">
        <w:rPr>
          <w:rFonts w:ascii="Arial" w:eastAsia="Times New Roman" w:hAnsi="Arial" w:cs="Arial"/>
          <w:b/>
          <w:color w:val="000000" w:themeColor="text1"/>
          <w:lang w:eastAsia="es-CO"/>
        </w:rPr>
        <w:t>URBANIZACIÓN Y CONSTRUCCIÓN SOSTENIBLE</w:t>
      </w:r>
    </w:p>
    <w:p w14:paraId="474F2A24" w14:textId="77777777" w:rsidR="005C5EEB" w:rsidRPr="009342F9" w:rsidRDefault="005C5EEB" w:rsidP="00F74103">
      <w:pPr>
        <w:spacing w:after="0" w:line="240" w:lineRule="auto"/>
        <w:jc w:val="center"/>
        <w:rPr>
          <w:rFonts w:ascii="Arial" w:eastAsia="Times New Roman" w:hAnsi="Arial" w:cs="Arial"/>
          <w:b/>
          <w:bCs/>
          <w:color w:val="000000"/>
          <w:lang w:eastAsia="es-CO"/>
        </w:rPr>
      </w:pPr>
    </w:p>
    <w:p w14:paraId="031595F0" w14:textId="77777777" w:rsidR="00FC79C1" w:rsidRPr="009342F9" w:rsidRDefault="00FC79C1" w:rsidP="00F74103">
      <w:pPr>
        <w:spacing w:after="0" w:line="240" w:lineRule="auto"/>
        <w:jc w:val="center"/>
        <w:rPr>
          <w:rFonts w:ascii="Arial" w:eastAsia="Times New Roman" w:hAnsi="Arial" w:cs="Arial"/>
          <w:b/>
          <w:bCs/>
          <w:color w:val="000000"/>
          <w:lang w:eastAsia="es-CO"/>
        </w:rPr>
      </w:pPr>
      <w:r w:rsidRPr="231E957E">
        <w:rPr>
          <w:rFonts w:ascii="Arial" w:eastAsia="Times New Roman" w:hAnsi="Arial" w:cs="Arial"/>
          <w:b/>
          <w:color w:val="000000" w:themeColor="text1"/>
          <w:lang w:eastAsia="es-CO"/>
        </w:rPr>
        <w:t>CAPÍTULO 1</w:t>
      </w:r>
    </w:p>
    <w:p w14:paraId="38682870" w14:textId="5DE40341" w:rsidR="00FC79C1" w:rsidRPr="009342F9" w:rsidRDefault="00FC79C1" w:rsidP="005C5EEB">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CONSTRUCCIÓN SOSTENIBLE</w:t>
      </w:r>
    </w:p>
    <w:p w14:paraId="0EE417CC"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543" w:name="ver_30179405"/>
      <w:bookmarkEnd w:id="1543"/>
    </w:p>
    <w:p w14:paraId="5F71AF0B" w14:textId="64E1F5F9" w:rsidR="00FC79C1" w:rsidRPr="009342F9" w:rsidRDefault="00AF54B1" w:rsidP="00FC79C1">
      <w:pPr>
        <w:spacing w:after="0" w:line="240" w:lineRule="auto"/>
        <w:jc w:val="both"/>
        <w:rPr>
          <w:rFonts w:ascii="Arial" w:eastAsia="Times New Roman" w:hAnsi="Arial" w:cs="Arial"/>
          <w:color w:val="000000"/>
          <w:lang w:eastAsia="es-CO"/>
        </w:rPr>
      </w:pPr>
      <w:proofErr w:type="gramStart"/>
      <w:r w:rsidRPr="00AF54B1">
        <w:rPr>
          <w:rFonts w:ascii="Arial" w:eastAsia="Times New Roman" w:hAnsi="Arial" w:cs="Arial"/>
          <w:color w:val="000000"/>
          <w:lang w:eastAsia="es-CO"/>
        </w:rPr>
        <w:t>A</w:t>
      </w:r>
      <w:bookmarkStart w:id="1544" w:name="2.2.7.1.1"/>
      <w:r>
        <w:rPr>
          <w:rFonts w:ascii="Arial" w:eastAsia="Times New Roman" w:hAnsi="Arial" w:cs="Arial"/>
          <w:color w:val="000000"/>
          <w:lang w:eastAsia="es-CO"/>
        </w:rPr>
        <w:t>rtículo</w:t>
      </w:r>
      <w:r w:rsidRPr="00AF54B1">
        <w:rPr>
          <w:rFonts w:ascii="Arial" w:eastAsia="Times New Roman" w:hAnsi="Arial" w:cs="Arial"/>
          <w:color w:val="000000"/>
          <w:lang w:eastAsia="es-CO"/>
        </w:rPr>
        <w:t> </w:t>
      </w:r>
      <w:bookmarkEnd w:id="1544"/>
      <w:r w:rsidRPr="00AF54B1">
        <w:rPr>
          <w:rFonts w:ascii="Arial" w:eastAsia="Times New Roman" w:hAnsi="Arial" w:cs="Arial"/>
          <w:color w:val="000000"/>
          <w:lang w:eastAsia="es-CO"/>
        </w:rPr>
        <w:t> 2.2.7.1.1</w:t>
      </w:r>
      <w:proofErr w:type="gramEnd"/>
      <w:r>
        <w:rPr>
          <w:rFonts w:ascii="Arial" w:eastAsia="Times New Roman" w:hAnsi="Arial" w:cs="Arial"/>
          <w:color w:val="000000"/>
          <w:lang w:eastAsia="es-CO"/>
        </w:rPr>
        <w:t xml:space="preserve"> </w:t>
      </w:r>
      <w:r w:rsidRPr="00AF54B1">
        <w:rPr>
          <w:rFonts w:ascii="Arial" w:eastAsia="Times New Roman" w:hAnsi="Arial" w:cs="Arial"/>
          <w:color w:val="000000"/>
          <w:lang w:eastAsia="es-CO"/>
        </w:rPr>
        <w:t>Objeto</w:t>
      </w:r>
      <w:r w:rsidR="00FC79C1" w:rsidRPr="009342F9">
        <w:rPr>
          <w:rFonts w:ascii="Arial" w:eastAsia="Times New Roman" w:hAnsi="Arial" w:cs="Arial"/>
          <w:color w:val="000000"/>
          <w:lang w:eastAsia="es-CO"/>
        </w:rPr>
        <w:t>. El objeto del presente título es establecer lineamientos de construcción sostenible para edificaciones, encaminados al mejoramiento de la calidad de vida de los habitantes y al ejercicio de actuaciones con responsabilidad ambiental y social. </w:t>
      </w:r>
    </w:p>
    <w:p w14:paraId="590505AA"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545" w:name="ver_30179406"/>
      <w:bookmarkEnd w:id="1545"/>
    </w:p>
    <w:p w14:paraId="30B72160" w14:textId="13071C8D" w:rsidR="00FC79C1" w:rsidRPr="009342F9" w:rsidRDefault="00AF54B1" w:rsidP="00FC79C1">
      <w:pPr>
        <w:spacing w:after="0" w:line="240" w:lineRule="auto"/>
        <w:jc w:val="both"/>
        <w:rPr>
          <w:rFonts w:ascii="Arial" w:eastAsia="Times New Roman" w:hAnsi="Arial" w:cs="Arial"/>
          <w:color w:val="000000"/>
          <w:lang w:eastAsia="es-CO"/>
        </w:rPr>
      </w:pPr>
      <w:proofErr w:type="gramStart"/>
      <w:r w:rsidRPr="00AF54B1">
        <w:rPr>
          <w:rFonts w:ascii="Arial" w:eastAsia="Times New Roman" w:hAnsi="Arial" w:cs="Arial"/>
          <w:color w:val="000000"/>
          <w:lang w:eastAsia="es-CO"/>
        </w:rPr>
        <w:t>A</w:t>
      </w:r>
      <w:r>
        <w:rPr>
          <w:rFonts w:ascii="Arial" w:eastAsia="Times New Roman" w:hAnsi="Arial" w:cs="Arial"/>
          <w:color w:val="000000"/>
          <w:lang w:eastAsia="es-CO"/>
        </w:rPr>
        <w:t>rtículo</w:t>
      </w:r>
      <w:r w:rsidRPr="00AF54B1">
        <w:rPr>
          <w:rFonts w:ascii="Arial" w:eastAsia="Times New Roman" w:hAnsi="Arial" w:cs="Arial"/>
          <w:color w:val="000000"/>
          <w:lang w:eastAsia="es-CO"/>
        </w:rPr>
        <w:t>  2.2.7.1.</w:t>
      </w:r>
      <w:r>
        <w:rPr>
          <w:rFonts w:ascii="Arial" w:eastAsia="Times New Roman" w:hAnsi="Arial" w:cs="Arial"/>
          <w:color w:val="000000"/>
          <w:lang w:eastAsia="es-CO"/>
        </w:rPr>
        <w:t>2</w:t>
      </w:r>
      <w:proofErr w:type="gramEnd"/>
      <w:r>
        <w:rPr>
          <w:rFonts w:ascii="Arial" w:eastAsia="Times New Roman" w:hAnsi="Arial" w:cs="Arial"/>
          <w:color w:val="000000"/>
          <w:lang w:eastAsia="es-CO"/>
        </w:rPr>
        <w:t xml:space="preserve"> </w:t>
      </w:r>
      <w:r w:rsidR="00FC79C1" w:rsidRPr="009342F9">
        <w:rPr>
          <w:rFonts w:ascii="Arial" w:eastAsia="Times New Roman" w:hAnsi="Arial" w:cs="Arial"/>
          <w:color w:val="000000"/>
          <w:lang w:eastAsia="es-CO"/>
        </w:rPr>
        <w:t>Implementación de los lineamientos de construcción sostenible. El Gobierno nacional por conducto del Ministerio de Vivienda, Ciudad y Territorio, adoptará mediante resolución, los parámetros y lineamientos técnicos para la Construcción Sostenible. </w:t>
      </w:r>
    </w:p>
    <w:p w14:paraId="43A39414" w14:textId="77777777" w:rsidR="00AF54B1" w:rsidRDefault="00AF54B1" w:rsidP="00FC79C1">
      <w:pPr>
        <w:spacing w:after="0" w:line="240" w:lineRule="auto"/>
        <w:jc w:val="both"/>
        <w:rPr>
          <w:rFonts w:ascii="Arial" w:eastAsia="Times New Roman" w:hAnsi="Arial" w:cs="Arial"/>
          <w:color w:val="000000"/>
          <w:lang w:eastAsia="es-CO"/>
        </w:rPr>
      </w:pPr>
    </w:p>
    <w:p w14:paraId="7C8838D0" w14:textId="4BA63DF4"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lo relacionado con las medidas para el ahorro de agua y energía en edificaciones, los parámetros que se adopten deberán contener como mínimo los siguientes aspectos: </w:t>
      </w:r>
    </w:p>
    <w:p w14:paraId="10F874B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6A2020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Porcentajes obligatorios de ahorro en agua y energía según clima y tipo de edificaciones. </w:t>
      </w:r>
    </w:p>
    <w:p w14:paraId="3034517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226C97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Sistema de aplicación gradual para el territorio de conformidad número de habitantes de los municipios. </w:t>
      </w:r>
    </w:p>
    <w:p w14:paraId="050B44F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C61080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Procedimiento para la certificación de la aplicación de las medidas. </w:t>
      </w:r>
    </w:p>
    <w:p w14:paraId="517CCD2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BD7334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Procedimiento y herramientas de seguimiento y control a la implementación de las medidas. </w:t>
      </w:r>
    </w:p>
    <w:p w14:paraId="49D5EF2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F454B6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 Promoción de Incentivos a nivel local para la construcción sostenible. </w:t>
      </w:r>
    </w:p>
    <w:p w14:paraId="4BBE6937" w14:textId="77777777" w:rsidR="00F74103" w:rsidRPr="009342F9" w:rsidRDefault="00F74103" w:rsidP="00FC79C1">
      <w:pPr>
        <w:spacing w:after="0" w:line="240" w:lineRule="auto"/>
        <w:jc w:val="both"/>
        <w:rPr>
          <w:rFonts w:ascii="Arial" w:eastAsia="Times New Roman" w:hAnsi="Arial" w:cs="Arial"/>
          <w:color w:val="000000"/>
          <w:lang w:eastAsia="es-CO"/>
        </w:rPr>
      </w:pPr>
    </w:p>
    <w:p w14:paraId="29BC6C6F" w14:textId="326ABE12" w:rsidR="00FC79C1" w:rsidRPr="009342F9" w:rsidRDefault="0059131F" w:rsidP="00FC79C1">
      <w:pPr>
        <w:spacing w:after="0" w:line="240" w:lineRule="auto"/>
        <w:jc w:val="both"/>
        <w:rPr>
          <w:rFonts w:ascii="Arial" w:eastAsia="Times New Roman" w:hAnsi="Arial" w:cs="Arial"/>
          <w:color w:val="000000"/>
          <w:lang w:eastAsia="es-CO"/>
        </w:rPr>
      </w:pPr>
      <w:proofErr w:type="gramStart"/>
      <w:r w:rsidRPr="00AF54B1">
        <w:rPr>
          <w:rFonts w:ascii="Arial" w:eastAsia="Times New Roman" w:hAnsi="Arial" w:cs="Arial"/>
          <w:color w:val="000000"/>
          <w:lang w:eastAsia="es-CO"/>
        </w:rPr>
        <w:t>A</w:t>
      </w:r>
      <w:r>
        <w:rPr>
          <w:rFonts w:ascii="Arial" w:eastAsia="Times New Roman" w:hAnsi="Arial" w:cs="Arial"/>
          <w:color w:val="000000"/>
          <w:lang w:eastAsia="es-CO"/>
        </w:rPr>
        <w:t>rtículo</w:t>
      </w:r>
      <w:r w:rsidRPr="00AF54B1">
        <w:rPr>
          <w:rFonts w:ascii="Arial" w:eastAsia="Times New Roman" w:hAnsi="Arial" w:cs="Arial"/>
          <w:color w:val="000000"/>
          <w:lang w:eastAsia="es-CO"/>
        </w:rPr>
        <w:t>  2.2.7.1.</w:t>
      </w:r>
      <w:r>
        <w:rPr>
          <w:rFonts w:ascii="Arial" w:eastAsia="Times New Roman" w:hAnsi="Arial" w:cs="Arial"/>
          <w:color w:val="000000"/>
          <w:lang w:eastAsia="es-CO"/>
        </w:rPr>
        <w:t>3</w:t>
      </w:r>
      <w:proofErr w:type="gramEnd"/>
      <w:r>
        <w:rPr>
          <w:rFonts w:ascii="Arial" w:eastAsia="Times New Roman" w:hAnsi="Arial" w:cs="Arial"/>
          <w:color w:val="000000"/>
          <w:lang w:eastAsia="es-CO"/>
        </w:rPr>
        <w:t xml:space="preserve"> </w:t>
      </w:r>
      <w:r w:rsidR="00FC79C1" w:rsidRPr="009342F9">
        <w:rPr>
          <w:rFonts w:ascii="Arial" w:eastAsia="Times New Roman" w:hAnsi="Arial" w:cs="Arial"/>
          <w:color w:val="000000"/>
          <w:lang w:eastAsia="es-CO"/>
        </w:rPr>
        <w:t>Seguimiento. El Ministerio de Vivienda, Ciudad y Territorio, desarrollará el trámite y las herramientas de seguimiento de la implementación de las medidas de construcción sostenible en edificaciones. </w:t>
      </w:r>
    </w:p>
    <w:p w14:paraId="1CBF60F3"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546" w:name="ver_30179409"/>
      <w:bookmarkEnd w:id="1546"/>
    </w:p>
    <w:p w14:paraId="74F71354" w14:textId="6F55F290" w:rsidR="00FC79C1" w:rsidRPr="009342F9" w:rsidRDefault="0059131F" w:rsidP="00FC79C1">
      <w:pPr>
        <w:spacing w:after="0" w:line="240" w:lineRule="auto"/>
        <w:jc w:val="both"/>
        <w:rPr>
          <w:rFonts w:ascii="Arial" w:eastAsia="Times New Roman" w:hAnsi="Arial" w:cs="Arial"/>
          <w:color w:val="000000"/>
          <w:lang w:eastAsia="es-CO"/>
        </w:rPr>
      </w:pPr>
      <w:proofErr w:type="gramStart"/>
      <w:r w:rsidRPr="00AF54B1">
        <w:rPr>
          <w:rFonts w:ascii="Arial" w:eastAsia="Times New Roman" w:hAnsi="Arial" w:cs="Arial"/>
          <w:color w:val="000000"/>
          <w:lang w:eastAsia="es-CO"/>
        </w:rPr>
        <w:t>A</w:t>
      </w:r>
      <w:r>
        <w:rPr>
          <w:rFonts w:ascii="Arial" w:eastAsia="Times New Roman" w:hAnsi="Arial" w:cs="Arial"/>
          <w:color w:val="000000"/>
          <w:lang w:eastAsia="es-CO"/>
        </w:rPr>
        <w:t>rtículo</w:t>
      </w:r>
      <w:r w:rsidRPr="00AF54B1">
        <w:rPr>
          <w:rFonts w:ascii="Arial" w:eastAsia="Times New Roman" w:hAnsi="Arial" w:cs="Arial"/>
          <w:color w:val="000000"/>
          <w:lang w:eastAsia="es-CO"/>
        </w:rPr>
        <w:t>  2.2.7.1.</w:t>
      </w:r>
      <w:r>
        <w:rPr>
          <w:rFonts w:ascii="Arial" w:eastAsia="Times New Roman" w:hAnsi="Arial" w:cs="Arial"/>
          <w:color w:val="000000"/>
          <w:lang w:eastAsia="es-CO"/>
        </w:rPr>
        <w:t>4.</w:t>
      </w:r>
      <w:proofErr w:type="gramEnd"/>
      <w:r>
        <w:rPr>
          <w:rFonts w:ascii="Arial" w:eastAsia="Times New Roman" w:hAnsi="Arial" w:cs="Arial"/>
          <w:color w:val="000000"/>
          <w:lang w:eastAsia="es-CO"/>
        </w:rPr>
        <w:t xml:space="preserve"> </w:t>
      </w:r>
      <w:r w:rsidR="00FC79C1" w:rsidRPr="009342F9">
        <w:rPr>
          <w:rFonts w:ascii="Arial" w:eastAsia="Times New Roman" w:hAnsi="Arial" w:cs="Arial"/>
          <w:color w:val="000000"/>
          <w:lang w:eastAsia="es-CO"/>
        </w:rPr>
        <w:t>Incentivos. El Gobierno nacional por conducto del Ministerio de Vivienda, Ciudad y Territorio, promoverá que los municipios y distritos, establezcan incentivos para la implementación de las medidas de construcción sostenible. </w:t>
      </w:r>
    </w:p>
    <w:p w14:paraId="7D31F281"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547" w:name="ver_30179410"/>
      <w:bookmarkEnd w:id="1547"/>
    </w:p>
    <w:p w14:paraId="00313E52" w14:textId="479DABD6" w:rsidR="00FC79C1" w:rsidRPr="009342F9" w:rsidRDefault="0059131F" w:rsidP="00FC79C1">
      <w:pPr>
        <w:spacing w:after="0" w:line="240" w:lineRule="auto"/>
        <w:jc w:val="both"/>
        <w:rPr>
          <w:rFonts w:ascii="Arial" w:eastAsia="Times New Roman" w:hAnsi="Arial" w:cs="Arial"/>
          <w:color w:val="000000"/>
          <w:lang w:eastAsia="es-CO"/>
        </w:rPr>
      </w:pPr>
      <w:proofErr w:type="gramStart"/>
      <w:r w:rsidRPr="00AF54B1">
        <w:rPr>
          <w:rFonts w:ascii="Arial" w:eastAsia="Times New Roman" w:hAnsi="Arial" w:cs="Arial"/>
          <w:color w:val="000000"/>
          <w:lang w:eastAsia="es-CO"/>
        </w:rPr>
        <w:t>A</w:t>
      </w:r>
      <w:r>
        <w:rPr>
          <w:rFonts w:ascii="Arial" w:eastAsia="Times New Roman" w:hAnsi="Arial" w:cs="Arial"/>
          <w:color w:val="000000"/>
          <w:lang w:eastAsia="es-CO"/>
        </w:rPr>
        <w:t>rtículo</w:t>
      </w:r>
      <w:r w:rsidRPr="00AF54B1">
        <w:rPr>
          <w:rFonts w:ascii="Arial" w:eastAsia="Times New Roman" w:hAnsi="Arial" w:cs="Arial"/>
          <w:color w:val="000000"/>
          <w:lang w:eastAsia="es-CO"/>
        </w:rPr>
        <w:t>  2.2.7.1.</w:t>
      </w:r>
      <w:r>
        <w:rPr>
          <w:rFonts w:ascii="Arial" w:eastAsia="Times New Roman" w:hAnsi="Arial" w:cs="Arial"/>
          <w:color w:val="000000"/>
          <w:lang w:eastAsia="es-CO"/>
        </w:rPr>
        <w:t>5</w:t>
      </w:r>
      <w:proofErr w:type="gramEnd"/>
      <w:r>
        <w:rPr>
          <w:rFonts w:ascii="Arial" w:eastAsia="Times New Roman" w:hAnsi="Arial" w:cs="Arial"/>
          <w:color w:val="000000"/>
          <w:lang w:eastAsia="es-CO"/>
        </w:rPr>
        <w:t xml:space="preserve">  </w:t>
      </w:r>
      <w:r w:rsidR="00FC79C1" w:rsidRPr="009342F9">
        <w:rPr>
          <w:rFonts w:ascii="Arial" w:eastAsia="Times New Roman" w:hAnsi="Arial" w:cs="Arial"/>
          <w:color w:val="000000"/>
          <w:lang w:eastAsia="es-CO"/>
        </w:rPr>
        <w:t xml:space="preserve">Rigor subsidiario. Los municipios y distritos en ejercicio de sus </w:t>
      </w:r>
      <w:proofErr w:type="gramStart"/>
      <w:r w:rsidR="00FC79C1" w:rsidRPr="009342F9">
        <w:rPr>
          <w:rFonts w:ascii="Arial" w:eastAsia="Times New Roman" w:hAnsi="Arial" w:cs="Arial"/>
          <w:color w:val="000000"/>
          <w:lang w:eastAsia="es-CO"/>
        </w:rPr>
        <w:t>competencias,</w:t>
      </w:r>
      <w:proofErr w:type="gramEnd"/>
      <w:r w:rsidR="00FC79C1" w:rsidRPr="009342F9">
        <w:rPr>
          <w:rFonts w:ascii="Arial" w:eastAsia="Times New Roman" w:hAnsi="Arial" w:cs="Arial"/>
          <w:color w:val="000000"/>
          <w:lang w:eastAsia="es-CO"/>
        </w:rPr>
        <w:t xml:space="preserve"> podrán definir medidas de construcción sostenible más estrictas a las establecidas por el Gobierno nacional, siempre que el establecimiento de las mismas se soporte en estudios técnicos, se establezcan incentivos para su cumplimiento y se mantenga el régimen de transición, gradualidad y guías de referencia previstos en la mencionada resolución. </w:t>
      </w:r>
    </w:p>
    <w:p w14:paraId="78110144" w14:textId="77777777" w:rsidR="00F74103" w:rsidRPr="009342F9" w:rsidRDefault="00F74103" w:rsidP="00FC79C1">
      <w:pPr>
        <w:spacing w:after="0" w:line="240" w:lineRule="auto"/>
        <w:jc w:val="both"/>
        <w:rPr>
          <w:rFonts w:ascii="Arial" w:eastAsia="Times New Roman" w:hAnsi="Arial" w:cs="Arial"/>
          <w:color w:val="000000"/>
          <w:lang w:eastAsia="es-CO"/>
        </w:rPr>
      </w:pPr>
      <w:bookmarkStart w:id="1548" w:name="ver_30074940"/>
      <w:bookmarkEnd w:id="1548"/>
    </w:p>
    <w:p w14:paraId="64B7152E" w14:textId="62D748CE" w:rsidR="00FC79C1" w:rsidRPr="009342F9" w:rsidRDefault="00FC79C1" w:rsidP="00F74103">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PARTE 3</w:t>
      </w:r>
    </w:p>
    <w:p w14:paraId="5EB47055" w14:textId="77777777" w:rsidR="00FC79C1" w:rsidRPr="009342F9" w:rsidRDefault="00FC79C1" w:rsidP="00F74103">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RÉGIMEN REGLAMENTARIO DEL SECTOR AGUA POTABLE Y SANEAMIENTO BÁSICO</w:t>
      </w:r>
    </w:p>
    <w:p w14:paraId="5AA33BD8" w14:textId="77777777" w:rsidR="0059131F" w:rsidRDefault="0059131F" w:rsidP="00F74103">
      <w:pPr>
        <w:spacing w:after="0" w:line="240" w:lineRule="auto"/>
        <w:jc w:val="center"/>
        <w:rPr>
          <w:rFonts w:ascii="Arial" w:eastAsia="Times New Roman" w:hAnsi="Arial" w:cs="Arial"/>
          <w:b/>
          <w:bCs/>
          <w:color w:val="000000"/>
          <w:lang w:eastAsia="es-CO"/>
        </w:rPr>
      </w:pPr>
    </w:p>
    <w:p w14:paraId="4B4658ED" w14:textId="06D5FEF9" w:rsidR="00FC79C1" w:rsidRPr="009342F9" w:rsidRDefault="00FC79C1" w:rsidP="00F74103">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TÍTULO 1</w:t>
      </w:r>
    </w:p>
    <w:p w14:paraId="64CE5316" w14:textId="77777777" w:rsidR="00FC79C1" w:rsidRPr="009342F9" w:rsidRDefault="00FC79C1" w:rsidP="00F74103">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SERVICIOS PÚBLICOS DOMICILIARIOS DE ACUEDUCTO Y ALCANTARILLADO</w:t>
      </w:r>
    </w:p>
    <w:p w14:paraId="663A4914" w14:textId="77777777" w:rsidR="0059131F" w:rsidRDefault="0059131F" w:rsidP="00F74103">
      <w:pPr>
        <w:spacing w:after="0" w:line="240" w:lineRule="auto"/>
        <w:jc w:val="center"/>
        <w:rPr>
          <w:rFonts w:ascii="Arial" w:eastAsia="Times New Roman" w:hAnsi="Arial" w:cs="Arial"/>
          <w:b/>
          <w:bCs/>
          <w:color w:val="000000"/>
          <w:lang w:eastAsia="es-CO"/>
        </w:rPr>
      </w:pPr>
    </w:p>
    <w:p w14:paraId="5A566EC6" w14:textId="433BBFCF" w:rsidR="00FC79C1" w:rsidRDefault="00FC79C1" w:rsidP="00F74103">
      <w:pPr>
        <w:spacing w:after="0" w:line="240" w:lineRule="auto"/>
        <w:jc w:val="center"/>
        <w:rPr>
          <w:rFonts w:ascii="Arial" w:eastAsia="Times New Roman" w:hAnsi="Arial" w:cs="Arial"/>
          <w:b/>
          <w:bCs/>
          <w:color w:val="000000"/>
          <w:lang w:eastAsia="es-CO"/>
        </w:rPr>
      </w:pPr>
      <w:r w:rsidRPr="231E957E">
        <w:rPr>
          <w:rFonts w:ascii="Arial" w:eastAsia="Times New Roman" w:hAnsi="Arial" w:cs="Arial"/>
          <w:b/>
          <w:color w:val="000000" w:themeColor="text1"/>
          <w:lang w:eastAsia="es-CO"/>
        </w:rPr>
        <w:lastRenderedPageBreak/>
        <w:t>CAPÍTULO 1</w:t>
      </w:r>
    </w:p>
    <w:p w14:paraId="40E47E77" w14:textId="77777777" w:rsidR="00FC79C1" w:rsidRPr="009342F9" w:rsidRDefault="00FC79C1" w:rsidP="00F74103">
      <w:pPr>
        <w:spacing w:after="0" w:line="240" w:lineRule="auto"/>
        <w:jc w:val="center"/>
        <w:rPr>
          <w:rFonts w:ascii="Arial" w:eastAsia="Times New Roman" w:hAnsi="Arial" w:cs="Arial"/>
          <w:b/>
          <w:bCs/>
          <w:color w:val="000000"/>
          <w:lang w:eastAsia="es-CO"/>
        </w:rPr>
      </w:pPr>
      <w:r w:rsidRPr="231E957E">
        <w:rPr>
          <w:rFonts w:ascii="Arial" w:eastAsia="Times New Roman" w:hAnsi="Arial" w:cs="Arial"/>
          <w:b/>
          <w:color w:val="000000" w:themeColor="text1"/>
          <w:lang w:eastAsia="es-CO"/>
        </w:rPr>
        <w:t>DEFINICIONES</w:t>
      </w:r>
    </w:p>
    <w:p w14:paraId="18D48196"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549" w:name="ver_30074941"/>
      <w:bookmarkEnd w:id="1549"/>
    </w:p>
    <w:p w14:paraId="2B7C0F9D" w14:textId="77777777" w:rsidR="00FC79C1" w:rsidRPr="009342F9" w:rsidRDefault="00FC79C1" w:rsidP="00FC79C1">
      <w:pPr>
        <w:spacing w:after="0" w:line="240" w:lineRule="auto"/>
        <w:jc w:val="both"/>
        <w:rPr>
          <w:rFonts w:ascii="Arial" w:eastAsia="Times New Roman" w:hAnsi="Arial" w:cs="Arial"/>
          <w:color w:val="000000"/>
          <w:lang w:eastAsia="es-CO"/>
        </w:rPr>
      </w:pPr>
      <w:r w:rsidRPr="231E957E">
        <w:rPr>
          <w:rFonts w:ascii="Arial" w:eastAsia="Times New Roman" w:hAnsi="Arial" w:cs="Arial"/>
          <w:color w:val="000000" w:themeColor="text1"/>
          <w:lang w:eastAsia="es-CO"/>
        </w:rPr>
        <w:t>Artículo 2.3.1.1.1. Definiciones. Para efecto de lo dispuesto en el presente decreto, Adóptense las siguientes definiciones: </w:t>
      </w:r>
    </w:p>
    <w:p w14:paraId="516FD5BF" w14:textId="77777777" w:rsidR="00FC79C1" w:rsidRPr="009342F9" w:rsidRDefault="00FC79C1" w:rsidP="00FC79C1">
      <w:pPr>
        <w:spacing w:after="0" w:line="240" w:lineRule="auto"/>
        <w:jc w:val="both"/>
        <w:rPr>
          <w:rFonts w:ascii="Arial" w:eastAsia="Times New Roman" w:hAnsi="Arial" w:cs="Arial"/>
          <w:color w:val="000000"/>
          <w:lang w:eastAsia="es-CO"/>
        </w:rPr>
      </w:pPr>
      <w:r w:rsidRPr="231E957E">
        <w:rPr>
          <w:rFonts w:ascii="Arial" w:eastAsia="Times New Roman" w:hAnsi="Arial" w:cs="Arial"/>
          <w:color w:val="000000" w:themeColor="text1"/>
          <w:lang w:eastAsia="es-CO"/>
        </w:rPr>
        <w:t>  </w:t>
      </w:r>
    </w:p>
    <w:p w14:paraId="4A67E6D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Área o predio urbanizable no urbanizado. Son las áreas o predios que no han sido desarrollados y en los cuales se permiten las actuaciones de urbanización, o que aun cuando contaron con licencia urbanística no ejecutaron las obras de urbanización aprobadas en la misma. </w:t>
      </w:r>
    </w:p>
    <w:p w14:paraId="2C9470CD" w14:textId="686F57D0"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5B8240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Área o predio urbanizado. Se consideran urbanizados las áreas o predios en los que se culminaron las obras de infraestructura de redes, vías locales, parques y equipamientos definidas en las licencias urbanísticas y se hizo entrega de ellas a las autoridades competentes. </w:t>
      </w:r>
    </w:p>
    <w:p w14:paraId="144B7CF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F0691D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Las áreas útiles de los terrenos urbanizados podrán estar construidas o no y, en este último caso, la expedición de las respectivas licencias de construcción se someterá a lo dispuesto en el parágrafo 4° del artículo 7° del Decreto número 1469 de 2010 o la norma que lo adicione, modifique o sustituya. </w:t>
      </w:r>
    </w:p>
    <w:p w14:paraId="2A16753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A9CC0F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También se consideran urbanizados: </w:t>
      </w:r>
    </w:p>
    <w:p w14:paraId="2AA282D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78343A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 Los sectores antiguos de las ciudades </w:t>
      </w:r>
      <w:proofErr w:type="gramStart"/>
      <w:r w:rsidRPr="009342F9">
        <w:rPr>
          <w:rFonts w:ascii="Arial" w:eastAsia="Times New Roman" w:hAnsi="Arial" w:cs="Arial"/>
          <w:color w:val="000000"/>
          <w:lang w:eastAsia="es-CO"/>
        </w:rPr>
        <w:t>que</w:t>
      </w:r>
      <w:proofErr w:type="gramEnd"/>
      <w:r w:rsidRPr="009342F9">
        <w:rPr>
          <w:rFonts w:ascii="Arial" w:eastAsia="Times New Roman" w:hAnsi="Arial" w:cs="Arial"/>
          <w:color w:val="000000"/>
          <w:lang w:eastAsia="es-CO"/>
        </w:rPr>
        <w:t xml:space="preserve"> con fundamento en planos de loteo, urbanísticos, topográficos y/o de licencias de construcción expedidas o aprobados por las autoridades competentes deslindaron los espacios públicos y privados y actualmente cuentan con infraestructura vial y de prestación de servicios públicos que posibilita su desarrollo por construcción. </w:t>
      </w:r>
    </w:p>
    <w:p w14:paraId="41C7690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A15526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Los terrenos objeto de desarrollo progresivo o programas de mejoramiento integral de barrios que completaron su proceso de mejoramiento en los aspectos atinentes al desarrollo por urbanización, o que lo completen en el futuro. </w:t>
      </w:r>
    </w:p>
    <w:p w14:paraId="3F0785A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E9FF72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Los asentamientos, barrios, zonas o desarrollos que han sido objeto de legalización y que completen la construcción de infraestructuras y espacios públicos definidos en los actos de legalización y hagan la entrega de las cesiones exigidas, salvo que no se hubiere hecho tal previsión. </w:t>
      </w:r>
    </w:p>
    <w:p w14:paraId="307F3A1D" w14:textId="007168D0"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BE5371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Capacidad. Es la existencia de recursos técnicos y económicos de un prestador de los servicios de acueducto y/o alcantarillado, con el fin de atender las demandas asociadas a las solicitudes de los servicios públicos mencionados para efectos de otorgar la disponibilidad o viabilidad inmediata del servicio solicitado. En todo caso y de conformidad con lo previsto en el parágrafo 2° del artículo 12 de la Ley 388 de 1997 el prestador del servicio, donde está ubicado el predio, no podrá argumentar falta de capacidad para predios ubicados al interior del perímetro urbano. </w:t>
      </w:r>
    </w:p>
    <w:p w14:paraId="126F1D97" w14:textId="7CAB88C5"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BCED8C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4. Factibilidad de servicios públicos de acueducto y alcantarillado. Es el documento mediante el cual el prestador del servicio público establece las condiciones técnicas, jurídicas y económicas que dentro de procesos de urbanización que se adelante mediante el trámite de plan parcial permitan ejecutar la infraestructura de servicios públicos domiciliarios de acueducto y alcantarillado, atendiendo el reparto equitativo de cargas y beneficios. Dicha factibilidad tendrá una vigencia mínima de cinco (5) años. Una vez concedida la factibilidad no se podrá negar la </w:t>
      </w:r>
      <w:r w:rsidRPr="009342F9">
        <w:rPr>
          <w:rFonts w:ascii="Arial" w:eastAsia="Times New Roman" w:hAnsi="Arial" w:cs="Arial"/>
          <w:color w:val="000000"/>
          <w:lang w:eastAsia="es-CO"/>
        </w:rPr>
        <w:lastRenderedPageBreak/>
        <w:t>disponibilidad inmediata del servicio, siempre y cuando el solicitante haya cumplido con las condiciones técnicas exigidas por la empresa de servicios al momento de otorgar la factibilidad. </w:t>
      </w:r>
    </w:p>
    <w:p w14:paraId="0E01D9E5" w14:textId="69797A56"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810E29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 Red de distribución, red local o red secundaria de acueducto. Es el conjunto de tuberías, accesorios, estructura y equipos que conducen el agua desde la red matriz o primaria hasta las acometidas domiciliarias del respectivo proyecto urbanístico. Su diseño y construcción corresponde a los urbanizadores. </w:t>
      </w:r>
    </w:p>
    <w:p w14:paraId="4CFC3BF0" w14:textId="42235C71"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394571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6. Red matriz o red primaria de acueducto. Es el conjunto de tuberías, accesorios, estructuras y equipos que conducen el agua potable desde las plantas de tratamiento o tanques hasta las redes de distribución local o secundaria. </w:t>
      </w:r>
    </w:p>
    <w:p w14:paraId="6CDE766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D7063B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Su diseño, construcción y mantenimiento estará a cargo del prestador del servicio quien deberá recuperar su inversión a través de tarifas de servicios públicos. </w:t>
      </w:r>
    </w:p>
    <w:p w14:paraId="61B1488F" w14:textId="242538BE"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93978B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7. Red matriz o red primaria de alcantarillado. Es el conjunto de tuberías, accesorios, estructuras y equipos que reciben el agua procedente de las redes secundarias o locales y las transporta hasta las plantas de tratamiento de aguas residuales o hasta el sitio de su disposición final. </w:t>
      </w:r>
    </w:p>
    <w:p w14:paraId="5CD87AA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7E6AD7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Su diseño, construcción y mantenimiento estará a cargo de la empresa prestadora del servicio, la cual deberá recuperar su inversión a través de tarifas de servicios públicos. </w:t>
      </w:r>
    </w:p>
    <w:p w14:paraId="679982A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E20CF3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8. Red secundaria o red local de alcantarillado. Conjunto de tuberías, accesorios, estructura y equipos que conforman el sistema de evacuación y transporte de las aguas lluvias, residuales o combinadas de una comunidad y al cual descargan las acometidas de alcantarillado de los inmuebles y llega hasta la red matriz o primara de alcantarillado. Su diseño y construcción corresponde a los urbanizadores. </w:t>
      </w:r>
    </w:p>
    <w:p w14:paraId="3C4A29CA" w14:textId="55590501"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432029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9. Certificación de viabilidad y disponibilidad inmediata de servicios públicos. Es el documento mediante el cual el prestador del servicio público certifica la posibilidad técnica de conectar un predio o predios objeto de licencia urbanística a las redes matrices de servicios públicos existentes. Dicho acto tendrá una vigencia mínima de dos (2) años para que con base en él se tramite la licencia de urbanización. </w:t>
      </w:r>
    </w:p>
    <w:p w14:paraId="5CDFF440" w14:textId="49A0E2A5" w:rsidR="00FC79C1" w:rsidRPr="009342F9" w:rsidRDefault="00FC79C1" w:rsidP="00377DAA">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6AA2E1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10. Acometida de acueducto. Derivación de la red de distribución que se conecta al registro de corte en el inmueble. En edificios de propiedad horizontal o condominios la acometida llega hasta el registro de corte general, incluido este. </w:t>
      </w:r>
    </w:p>
    <w:p w14:paraId="6B7F40C5" w14:textId="3D0F50E9"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BE4C4B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11. Acometida de alcantarillado. Derivación que parte de la caja de inspección domiciliaria y, llega hasta la red secundaria de alcantarillado o al colector. </w:t>
      </w:r>
    </w:p>
    <w:p w14:paraId="625BAA1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B4C90A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12. Acometida clandestina o fraudulenta. Acometida o derivación de acueducto o alcantarillado no autorizada por la entidad prestadora del servicio. </w:t>
      </w:r>
    </w:p>
    <w:p w14:paraId="3FC1CD00" w14:textId="072200B6"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8E2507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13. Asentamiento subnormal. Es aquel cuya infraestructura de servicios públicos domiciliarios presenta serias deficiencias por no estar integrada totalmente a la estructura formal urbana. </w:t>
      </w:r>
    </w:p>
    <w:p w14:paraId="44FBCB63" w14:textId="5CB24C11"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AB6654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14. Cámara del registro. Es la caja con su tapa colocada generalmente en propiedad pública o a la entrada de un inmueble, en la cual se hace el enlace entre la acometida y la instalación interna de acueducto y en la que se instala el medidor y sus accesorios. </w:t>
      </w:r>
    </w:p>
    <w:p w14:paraId="6B3C8BD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CCECF1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15. Caja de inspección. Caja ubicada al inicio de la acometida de alcantarillado que recoge las aguas residuales, lluvias o combinadas, de un inmueble, con su respectiva tapa removible y en lo posible ubicada en zonas libres de tráfico vehicular. </w:t>
      </w:r>
    </w:p>
    <w:p w14:paraId="20E4C72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3B96B3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16. Conexión temporal. Acometida transitoria de acueducto con medición, que llega hasta el límite de un predio privado o público, la cual es solicitada a la entidad prestadora del servicio público, por su propietario o representante legal, por un período determinado, por un proceso constructivo o un evento autorizado por la autoridad competente. </w:t>
      </w:r>
    </w:p>
    <w:p w14:paraId="029A96E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F9C331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17. Conexión errada de alcantarillado. Todo empalme de una acometida de aguas residuales sobre la red de alcantarillado pluvial o todo empalme de una acometida de aguas lluvias sobre la red de alcantarillado sanitario. </w:t>
      </w:r>
    </w:p>
    <w:p w14:paraId="3D20619C" w14:textId="77777777" w:rsidR="00377DAA" w:rsidRDefault="00377DAA" w:rsidP="00FC79C1">
      <w:pPr>
        <w:spacing w:after="0" w:line="240" w:lineRule="auto"/>
        <w:jc w:val="both"/>
        <w:rPr>
          <w:rFonts w:ascii="Arial" w:eastAsia="Times New Roman" w:hAnsi="Arial" w:cs="Arial"/>
          <w:color w:val="000000"/>
          <w:lang w:eastAsia="es-CO"/>
        </w:rPr>
      </w:pPr>
    </w:p>
    <w:p w14:paraId="4ACAFFB9" w14:textId="66FAC339"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18. Corte del servicio de acueducto. Interrupción del servicio que implica la desconexión o taponamiento de la acometida. </w:t>
      </w:r>
    </w:p>
    <w:p w14:paraId="5B5AA89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0039F4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19. Conexión. Ejecución de la acometida e instalación del medidor de acueducto o ejecución de la acometida de alcantarillado. </w:t>
      </w:r>
    </w:p>
    <w:p w14:paraId="0B38BB3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A71D39E" w14:textId="77777777" w:rsidR="00FC79C1"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20. Derivación fraudulenta. Conexión realizada a partir de una acometida, o de una instalación interna o de los tanques de un inmueble independiente, que no ha sido autorizada por la entidad prestadora del servicio. </w:t>
      </w:r>
    </w:p>
    <w:p w14:paraId="01496DFE" w14:textId="77777777" w:rsidR="002A2BC4" w:rsidRPr="009342F9" w:rsidRDefault="002A2BC4" w:rsidP="00FC79C1">
      <w:pPr>
        <w:spacing w:after="0" w:line="240" w:lineRule="auto"/>
        <w:jc w:val="both"/>
        <w:rPr>
          <w:rFonts w:ascii="Arial" w:eastAsia="Times New Roman" w:hAnsi="Arial" w:cs="Arial"/>
          <w:color w:val="000000"/>
          <w:lang w:eastAsia="es-CO"/>
        </w:rPr>
      </w:pPr>
    </w:p>
    <w:p w14:paraId="4B42194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21. Factura de servicios públicos. Es la cuenta que la entidad prestadora de servicios públicos entrega o remite al usuario o suscriptor, por causa del consumo y demás servicios inherentes al desarrollo de un contrato de prestación de servicios públicos. </w:t>
      </w:r>
    </w:p>
    <w:p w14:paraId="686D11E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B54E36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22. Fuga imperceptible. Volumen de agua que se escapa a través de las instalaciones internas de un inmueble y se detecta solamente mediante instrumentos apropiados, tales como los geófonos. </w:t>
      </w:r>
    </w:p>
    <w:p w14:paraId="48A7ECE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D382F8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23. Fuga perceptible. Volumen de agua que se escapa a través de las instalaciones internas de un inmueble y es detectable directamente por los sentidos. </w:t>
      </w:r>
    </w:p>
    <w:p w14:paraId="68F002C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AA7553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24. Hidrante público. Elemento conectado con el sistema de acueducto que permite la adaptación de mangueras especiales utilizadas en extinción de incendios y otras actividades autorizadas previamente por la entidad prestadora del servicio de acueducto. </w:t>
      </w:r>
    </w:p>
    <w:p w14:paraId="3FE3FC7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8583D1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25. Independización del servicio. Nuevas acometidas que autoriza la entidad prestadora del servicio para atender el servicio de una o varias unidades segregadas de un inmueble. Estas nuevas acometidas contarán con su propio equipo de medición previo cumplimiento de lo establecido en el reglamento interno o en el contrato de condiciones uniformes. </w:t>
      </w:r>
    </w:p>
    <w:p w14:paraId="73B1E5B0" w14:textId="77777777" w:rsidR="00377DAA" w:rsidRDefault="00377DAA" w:rsidP="00FC79C1">
      <w:pPr>
        <w:spacing w:after="0" w:line="240" w:lineRule="auto"/>
        <w:jc w:val="both"/>
        <w:rPr>
          <w:rFonts w:ascii="Arial" w:eastAsia="Times New Roman" w:hAnsi="Arial" w:cs="Arial"/>
          <w:color w:val="000000"/>
          <w:lang w:eastAsia="es-CO"/>
        </w:rPr>
      </w:pPr>
    </w:p>
    <w:p w14:paraId="4D4DD17F" w14:textId="645D8B32"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26. Inquilinato. Edificación ubicada en los estratos bajo-bajo (I), bajo (II), medio-bajo (III) con una entrada común desde la calle, destinada para alojar varios hogares que comparten servicios. </w:t>
      </w:r>
    </w:p>
    <w:p w14:paraId="23E8B29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117141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27. Instalación interna de acueducto del inmueble. Conjunto de tuberías, accesorios, estructura y equipos que integran el sistema de abastecimiento de agua del inmueble, a partir del medidor. Para edificios de propiedad horizontal o condominios, es aquel sistema de abastecimiento de agua del inmueble inmediatamente después de la acometida o del medidor de control. </w:t>
      </w:r>
    </w:p>
    <w:p w14:paraId="608B416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95949C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28. Instalaciones internas de alcantarillado del inmueble. Conjunto de tuberías, accesorios y equipos que integran el sistema de tratamiento, evacuación y ventilación de los residuos líquidos instalados en un inmueble hasta la caja de inspección que se conecta a la red de alcantarillado. </w:t>
      </w:r>
    </w:p>
    <w:p w14:paraId="3B861AF3" w14:textId="77777777" w:rsidR="00377DAA" w:rsidRDefault="00377DAA" w:rsidP="00FC79C1">
      <w:pPr>
        <w:spacing w:after="0" w:line="240" w:lineRule="auto"/>
        <w:jc w:val="both"/>
        <w:rPr>
          <w:rFonts w:ascii="Arial" w:eastAsia="Times New Roman" w:hAnsi="Arial" w:cs="Arial"/>
          <w:color w:val="000000"/>
          <w:lang w:eastAsia="es-CO"/>
        </w:rPr>
      </w:pPr>
    </w:p>
    <w:p w14:paraId="522A129B" w14:textId="15A379D8"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29. Instalaciones legalizadas. Son aquellas que han cumplido todos los trámites exigidos por la entidad prestadora de los servicios públicos y tiene vigente un contrato de condiciones uniformes. </w:t>
      </w:r>
    </w:p>
    <w:p w14:paraId="319A78B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E15577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30. Instalaciones no legalizadas. Son aquellas que no han cumplido con todos los requisitos exigidos por la entidad prestadora de los servicios públicos. </w:t>
      </w:r>
    </w:p>
    <w:p w14:paraId="77A145CD" w14:textId="77777777" w:rsidR="00377DAA" w:rsidRDefault="00377DAA" w:rsidP="00FC79C1">
      <w:pPr>
        <w:spacing w:after="0" w:line="240" w:lineRule="auto"/>
        <w:jc w:val="both"/>
        <w:rPr>
          <w:rFonts w:ascii="Arial" w:eastAsia="Times New Roman" w:hAnsi="Arial" w:cs="Arial"/>
          <w:color w:val="000000"/>
          <w:lang w:eastAsia="es-CO"/>
        </w:rPr>
      </w:pPr>
    </w:p>
    <w:p w14:paraId="74F77D73" w14:textId="1258E6F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31. Medidor. Dispositivo encargado de medir y acumular el consumo de agua. </w:t>
      </w:r>
    </w:p>
    <w:p w14:paraId="46249A4A" w14:textId="570756D0"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53FD5B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32. Medidor individual. Dispositivo que mide y acumula el consumo de agua de un usuario del sistema de acueducto. </w:t>
      </w:r>
    </w:p>
    <w:p w14:paraId="2629AE0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805547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33. Medidor de control. Dispositivo propiedad del prestador del servicio de acueducto, empleado para verificar o controlar temporal o permanentemente el suministro de agua y la existencia de posibles consumos no medidos a un suscriptor o usuario. Su lectura no debe emplearse en la facturación de consumos. </w:t>
      </w:r>
    </w:p>
    <w:p w14:paraId="01EA7C9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BBB3C1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34. Medidor general o totalizador. Dispositivo instalado en unidades inmobiliarias para medir y acumular el consumo total de agua. </w:t>
      </w:r>
    </w:p>
    <w:p w14:paraId="78FD533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C9680A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35. Multiusuarios. Edificación de apartamentos, oficinas o locales con medición general constituida por dos o más unidades independientes. </w:t>
      </w:r>
    </w:p>
    <w:p w14:paraId="3F4F927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AB3913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36. Pila pública. Suministro de agua por la entidad prestadora del servicio de acueducto, de manera provisional, para el abastecimiento colectivo y en zonas que no cuenten con red de acueducto, siempre que las condiciones técnicas y económicas impidan la instalación de redes domiciliarias. </w:t>
      </w:r>
    </w:p>
    <w:p w14:paraId="191AC1E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28EBFF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37. Reconexión. Es el restablecimiento del servicio de acueducto a un inmueble al cual le había sido cortado. </w:t>
      </w:r>
    </w:p>
    <w:p w14:paraId="7E7418E7" w14:textId="77777777" w:rsidR="00377DAA" w:rsidRDefault="00377DAA" w:rsidP="00FC79C1">
      <w:pPr>
        <w:spacing w:after="0" w:line="240" w:lineRule="auto"/>
        <w:jc w:val="both"/>
        <w:rPr>
          <w:rFonts w:ascii="Arial" w:eastAsia="Times New Roman" w:hAnsi="Arial" w:cs="Arial"/>
          <w:color w:val="000000"/>
          <w:lang w:eastAsia="es-CO"/>
        </w:rPr>
      </w:pPr>
    </w:p>
    <w:p w14:paraId="68C40F7A" w14:textId="7A573408"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38. Registro de corte o llave de corte. Dispositivo situado en la cámara de registro del medidor que permite la suspensión del servicio de acueducto de un inmueble. </w:t>
      </w:r>
    </w:p>
    <w:p w14:paraId="6AF5714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507512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39. Reinstalación. Es el restablecimiento del servicio de acueducto a un inmueble al cual se le había suspendido. </w:t>
      </w:r>
    </w:p>
    <w:p w14:paraId="2D83353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D9E670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40. Servicio comercial. Es el servicio que se presta a predios o inmuebles destinados a actividades comerciales, en los términos del Código de Comercio. </w:t>
      </w:r>
    </w:p>
    <w:p w14:paraId="59ABC2E0" w14:textId="47DCC51E"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D5FFCE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41. Servicio residencial. Es el servicio que se presta para el cubrimiento de las necesidades relacionadas con la vivienda de las personas. </w:t>
      </w:r>
    </w:p>
    <w:p w14:paraId="25572DFA" w14:textId="77777777" w:rsidR="00377DAA" w:rsidRDefault="00377DAA" w:rsidP="00FC79C1">
      <w:pPr>
        <w:spacing w:after="0" w:line="240" w:lineRule="auto"/>
        <w:jc w:val="both"/>
        <w:rPr>
          <w:rFonts w:ascii="Arial" w:eastAsia="Times New Roman" w:hAnsi="Arial" w:cs="Arial"/>
          <w:color w:val="000000"/>
          <w:lang w:eastAsia="es-CO"/>
        </w:rPr>
      </w:pPr>
    </w:p>
    <w:p w14:paraId="59C16A34" w14:textId="75C518D9"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42. Servicio especial. Es el que se presta a entidades sin ánimo de lucro, previa solicitud a la empresa y que requiere la expedición de una resolución interna por parte de la entidad prestadora, autorizando dicho servicio. </w:t>
      </w:r>
    </w:p>
    <w:p w14:paraId="3C6367B2" w14:textId="021DF4E5"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C8DDC0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43. Servicio industrial. Es el servicio que se presta a predios o inmuebles en los cuales se desarrollen actividades industriales que corresponden a procesos de transformación o de otro orden. </w:t>
      </w:r>
    </w:p>
    <w:p w14:paraId="4FE1B18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064D11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44. Servicio oficial. Es el que se presta a las entidades de carácter oficial, a los establecimientos públicos que no desarrollen permanentemente actividades de tipo comercial o industrial, a los planteles educativos de carácter oficial de todo nivel; a los hospitales, clínicas, centros de salud, ancianatos, orfanatos de carácter oficial. </w:t>
      </w:r>
    </w:p>
    <w:p w14:paraId="4842A1E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F4A9DC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45. Servicio público domiciliario de acueducto o servicio público domiciliario de agua potable. Es la distribución de agua apta para el consumo humano, incluida su conexión y medición. También forman parte de este servicio las actividades complementarias tales como captación de agua, procesamiento, tratamiento, almacenamiento, conducción y transporte. </w:t>
      </w:r>
    </w:p>
    <w:p w14:paraId="3E3F5CD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FD91F8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46. Servicio público domiciliario de alcantarillado. Es la recolección municipal de residuos, principalmente líquidos y/o aguas lluvias, por medio de tuberías y conductos. Forman parte de este servicio las actividades complementarias de transporte, tratamiento y disposición final de tales residuos. </w:t>
      </w:r>
    </w:p>
    <w:p w14:paraId="4AAD01D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A2C7A5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47. Servicio regular. Es el servicio que se presta a un inmueble de manera permanente para su utilización habitual. </w:t>
      </w:r>
    </w:p>
    <w:p w14:paraId="317EC117" w14:textId="77777777" w:rsidR="00377DAA"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5FE205B" w14:textId="58A79EAA"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48. Servicio provisional. Es el servicio que se presta mediante fuentes de suministro de carácter comunitario, en zonas urbanas, sin posibilidades inmediatas de extensión de las redes de suministro domiciliario. </w:t>
      </w:r>
    </w:p>
    <w:p w14:paraId="1220A19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8E32BE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49. Servicio temporal. Es el que se presta a obras en construcción, espectáculos públicos no permanentes, y a otros servicios no residenciales de carácter ocasional, con una duración no superior a un año, prorrogable a juicio de la empresa. </w:t>
      </w:r>
    </w:p>
    <w:p w14:paraId="1105FA8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D69D95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50. Servicio de agua en bloque. Es el servicio que se presta por las personas prestadoras de servicios públicos de acueducto que distribuyen y/o comercializan agua a distintos tipos de usuarios. </w:t>
      </w:r>
    </w:p>
    <w:p w14:paraId="42861E2B" w14:textId="05A8D07A"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E40214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51. Suscriptor. Persona natural o jurídica con la cual se ha celebrado un contrato de condiciones uniformes de servicios públicos. </w:t>
      </w:r>
    </w:p>
    <w:p w14:paraId="67F0B72E" w14:textId="3EB39F6D"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8B0523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52. Suspensión. Interrupción temporal del servicio por común acuerdo, por interés del servicio, o por incumplimiento o por otra de las causales previstas en la Ley 142 de 1994, en el presente decreto, en las condiciones uniformes del contrato de servicio público y en las demás normas concordantes. </w:t>
      </w:r>
    </w:p>
    <w:p w14:paraId="15A9CCE7" w14:textId="77777777" w:rsidR="00377DAA" w:rsidRDefault="00377DAA" w:rsidP="00FC79C1">
      <w:pPr>
        <w:spacing w:after="0" w:line="240" w:lineRule="auto"/>
        <w:jc w:val="both"/>
        <w:rPr>
          <w:rFonts w:ascii="Arial" w:eastAsia="Times New Roman" w:hAnsi="Arial" w:cs="Arial"/>
          <w:color w:val="000000"/>
          <w:lang w:eastAsia="es-CO"/>
        </w:rPr>
      </w:pPr>
    </w:p>
    <w:p w14:paraId="642FCE35" w14:textId="13AAAC89"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53. Usuario. Persona natural o jurídica que se beneficia con la prestación de un servicio público domiciliario, bien como propietario del inmueble en donde éste se presta, o como receptor directo del servicio, a este último usuario se denomina también consumidor. </w:t>
      </w:r>
    </w:p>
    <w:p w14:paraId="14CCA4A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9D6419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54. Usuarios especiales del servicio de alcantarillado. Es todo usuario que pretenda descargar a la red de alcantarillado efluentes que contengan cargas contaminantes y/o sustancias de interés sanitario en concentraciones superiores a las que contemple la autoridad ambiental competente. </w:t>
      </w:r>
    </w:p>
    <w:p w14:paraId="2C698D43" w14:textId="57E10BD4"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85D138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55. Unidad habitacional. Apartamento o casa de vivienda independiente con acceso a la vía pública o a las zonas comunes del conjunto multifamiliar. </w:t>
      </w:r>
    </w:p>
    <w:p w14:paraId="2A405358" w14:textId="566CE401"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0CA1CA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56. Unidad independiente. Apartamento, casa de vivienda, local u oficina independiente con acceso a la vía pública o a las zonas comunes de la unidad inmobiliaria. </w:t>
      </w:r>
    </w:p>
    <w:p w14:paraId="47AEAC90" w14:textId="71AFDD48"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31EEEA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57. Unidades inmobiliarias cerradas. Las unidades inmobiliarias cerradas son conjuntos de edificios, casas y demás construcciones integradas arquitectónica y funcionalmente, que comparten elementos estructurales y constructivos, áreas comunes de circulación, recreación, reunión, instalaciones técnicas, zonas verdes y de disfrute visual; cuyos copropietarios participan proporcionalmente en el pago de las expensas comunes, tales como los servicios públicos comunitarios, vigilancia, mantenimiento y mejoras. </w:t>
      </w:r>
    </w:p>
    <w:p w14:paraId="74BE1286" w14:textId="44EC5E80" w:rsidR="00FC79C1" w:rsidRPr="009342F9" w:rsidRDefault="00FC79C1" w:rsidP="00377DAA">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AD9A3A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58. Acondicionador de suelo. Toda sustancia cuya acción fundamental consiste en el mejoramiento, de por lo menos, una característica, física, química o biológica del suelo. </w:t>
      </w:r>
    </w:p>
    <w:p w14:paraId="4E2E5CE2" w14:textId="638DBAA4"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3AE1B0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59. Aguas residuales municipales. Son las aguas vertidas, recolectadas y transportadas por el sistema de alcantarillado público, compuestas por las aguas residuales domésticas y las aguas no domésticas. </w:t>
      </w:r>
    </w:p>
    <w:p w14:paraId="37D1EF2E" w14:textId="50873D05" w:rsidR="00FC79C1" w:rsidRPr="009342F9" w:rsidRDefault="00FC79C1" w:rsidP="00377DAA">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BD1809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60. Almacenamiento. Mantenimiento del biosólido bajo condiciones que garanticen un adecuado control de las emisiones de gases y vapores, manejo de lixiviados y control a la proliferación de vectores. </w:t>
      </w:r>
    </w:p>
    <w:p w14:paraId="6E209C4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61. Atracción de vectores. Es la característica de los lodos y biosólidos para atraer vectores o diseminadores como roedores, moscas, mosquitos u otros organismos capaces de transportar agentes infecciosos. </w:t>
      </w:r>
    </w:p>
    <w:p w14:paraId="78E5837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7F094F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62. Biosólidos. Producto resultante de la estabilización de la fracción orgánica de los lodos generados en el tratamiento de aguas residuales municipales, con características físicas, químicas y microbiológicas que permiten su uso. </w:t>
      </w:r>
    </w:p>
    <w:p w14:paraId="5F09748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8C7454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No son biosólidos las escorias y cenizas producto de la oxidación o reducción térmica de lodos, así como los residuos que se retiran de los equipos e instalaciones de la fase preliminar del tratamiento de aguas residuales, ni los provenientes de dragados o de limpieza de sumideros. </w:t>
      </w:r>
    </w:p>
    <w:p w14:paraId="5FBA0C3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F7355C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63. Distribuidor de biosólidos. Persona natural o jurídica que comercializa los biosólidos. </w:t>
      </w:r>
    </w:p>
    <w:p w14:paraId="2979CD4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0C46A1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64. Digestión aeróbica. Es la descomposición biológica en condiciones controladas de la materia orgánica presente en los lodos, que es transformada en bióxido de carbono yagua por los microorganismos en presencia de oxígeno. </w:t>
      </w:r>
    </w:p>
    <w:p w14:paraId="2EFEE06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2F296B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65. Digestión anaerobia. Es la descomposición biológica en condiciones controladas de la materia orgánica presente en los lodos, que es transformada en gas metano y bióxido de carbono y agua por los microorganismos en ausencia de oxígeno. </w:t>
      </w:r>
    </w:p>
    <w:p w14:paraId="265549F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1030BE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66. Estabilización de lodos. Proceso que comprende los tratamientos destinados a controlar la degradación biológica, la atracción de vectores y la patogenicidad de los lodos generados en las plantas de tratamiento de aguas residuales municipales acondicionándolos para su uso o disposición final. </w:t>
      </w:r>
    </w:p>
    <w:p w14:paraId="1EAFBDD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71327F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xml:space="preserve">67. Materiales de complemento o mezcla para el biosólido. Son aquellos materiales que cuentan con propiedades para mejorar las características del biosólido. Pueden provenir de procesos de compostaje, humificación o </w:t>
      </w:r>
      <w:proofErr w:type="spellStart"/>
      <w:r w:rsidRPr="009342F9">
        <w:rPr>
          <w:rFonts w:ascii="Arial" w:eastAsia="Times New Roman" w:hAnsi="Arial" w:cs="Arial"/>
          <w:color w:val="000000"/>
          <w:lang w:eastAsia="es-CO"/>
        </w:rPr>
        <w:t>lombricultura</w:t>
      </w:r>
      <w:proofErr w:type="spellEnd"/>
      <w:r w:rsidRPr="009342F9">
        <w:rPr>
          <w:rFonts w:ascii="Arial" w:eastAsia="Times New Roman" w:hAnsi="Arial" w:cs="Arial"/>
          <w:color w:val="000000"/>
          <w:lang w:eastAsia="es-CO"/>
        </w:rPr>
        <w:t>. </w:t>
      </w:r>
    </w:p>
    <w:p w14:paraId="43D9D7E0" w14:textId="77777777" w:rsidR="00377DAA" w:rsidRDefault="00377DAA" w:rsidP="00FC79C1">
      <w:pPr>
        <w:spacing w:after="0" w:line="240" w:lineRule="auto"/>
        <w:jc w:val="both"/>
        <w:rPr>
          <w:rFonts w:ascii="Arial" w:eastAsia="Times New Roman" w:hAnsi="Arial" w:cs="Arial"/>
          <w:color w:val="000000"/>
          <w:lang w:eastAsia="es-CO"/>
        </w:rPr>
      </w:pPr>
    </w:p>
    <w:p w14:paraId="733E5E3B" w14:textId="0E3FE250"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68. Lodo. Suspensión de un sólido en un líquido proveniente del tratamiento de aguas residuales municipales. </w:t>
      </w:r>
    </w:p>
    <w:p w14:paraId="2294145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5DC459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69. Productor de biosólidos. Persona prestadora del servicio público domiciliario de alcantarillado en el componente de tratamiento de aguas residuales municipales que realiza procesos de estabilización de lodos generados en las plantas de tratamiento de aguas residuales. </w:t>
      </w:r>
    </w:p>
    <w:p w14:paraId="60CDCDB0" w14:textId="587E84EE"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258BE9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70. Restauración, mejoramiento o recuperación de suelos degradados. Aplicación de medidas con el fin de corregir los procesos de degradación del suelo; iniciar o acelerar la recuperación de suelos degradados como resultado de actividades humanas o por causas naturales; o restablecer parcialmente los elementos estructurales, funciones o servicios </w:t>
      </w:r>
      <w:proofErr w:type="gramStart"/>
      <w:r w:rsidRPr="009342F9">
        <w:rPr>
          <w:rFonts w:ascii="Arial" w:eastAsia="Times New Roman" w:hAnsi="Arial" w:cs="Arial"/>
          <w:color w:val="000000"/>
          <w:lang w:eastAsia="es-CO"/>
        </w:rPr>
        <w:t>eco sistémicos</w:t>
      </w:r>
      <w:proofErr w:type="gramEnd"/>
      <w:r w:rsidRPr="009342F9">
        <w:rPr>
          <w:rFonts w:ascii="Arial" w:eastAsia="Times New Roman" w:hAnsi="Arial" w:cs="Arial"/>
          <w:color w:val="000000"/>
          <w:lang w:eastAsia="es-CO"/>
        </w:rPr>
        <w:t xml:space="preserve"> del suelo. </w:t>
      </w:r>
    </w:p>
    <w:p w14:paraId="74B2B18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651407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71. Registro de productores y distribuidores de biosólidos. Inscripción que debe realizar el productor y distribuidor de biosólidos ante el ICA, cuando éste se destine al uso agrícola. </w:t>
      </w:r>
    </w:p>
    <w:p w14:paraId="69CB39BD" w14:textId="77777777" w:rsidR="00377DAA" w:rsidRDefault="00377DAA" w:rsidP="00FC79C1">
      <w:pPr>
        <w:spacing w:after="0" w:line="240" w:lineRule="auto"/>
        <w:jc w:val="both"/>
        <w:rPr>
          <w:rFonts w:ascii="Arial" w:eastAsia="Times New Roman" w:hAnsi="Arial" w:cs="Arial"/>
          <w:color w:val="000000"/>
          <w:lang w:eastAsia="es-CO"/>
        </w:rPr>
      </w:pPr>
    </w:p>
    <w:p w14:paraId="5B7C3FD6" w14:textId="38713356"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72. Suelos degradados. Son aquellos que por actividades antrópicas o por fenómenos naturales han sufrido un proceso de pérdida de material superficial, pérdida de nutrientes o pérdida de su estructura original, afectando la capacidad de soporte de la vegetación preexistente o de los cultivos. Son suelos degradados también aquellos donde ha ocurrido desaparición de la vegetación natural o implantada y en los que se incrementa la vulnerabilidad del suelo a procesos de degradación. </w:t>
      </w:r>
    </w:p>
    <w:p w14:paraId="3124432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731F70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73. Tasa agronómica. Tasa de aplicación de biosólidos a suelos agrícolas diseñada para proveer la cantidad de nutrientes: nitrógeno, fósforo o micronutrientes, requerido por el cultivo o vegetación, evitando generar impactos adversos o negativos y minimizando el potencial de contaminación de las aguas superficiales y subterráneas. </w:t>
      </w:r>
    </w:p>
    <w:p w14:paraId="4BE14CD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D4D3AA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74. Usuario de biosólidos. Persona natural o jurídica que utiliza los biosólidos del productor o del distribuidor. </w:t>
      </w:r>
    </w:p>
    <w:p w14:paraId="74AD9C37" w14:textId="77777777" w:rsidR="00F74103" w:rsidRPr="009342F9" w:rsidRDefault="00F74103" w:rsidP="00FC79C1">
      <w:pPr>
        <w:spacing w:after="0" w:line="240" w:lineRule="auto"/>
        <w:jc w:val="both"/>
        <w:rPr>
          <w:rFonts w:ascii="Arial" w:eastAsia="Times New Roman" w:hAnsi="Arial" w:cs="Arial"/>
          <w:color w:val="000000"/>
          <w:lang w:eastAsia="es-CO"/>
        </w:rPr>
      </w:pPr>
      <w:bookmarkStart w:id="1550" w:name="ver_30074942"/>
      <w:bookmarkEnd w:id="1550"/>
    </w:p>
    <w:p w14:paraId="7B468944" w14:textId="3F6A8643" w:rsidR="00FC79C1" w:rsidRPr="009342F9" w:rsidRDefault="00FC79C1" w:rsidP="00F74103">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CAPÍTULO 2</w:t>
      </w:r>
    </w:p>
    <w:p w14:paraId="5C0CF262" w14:textId="77777777" w:rsidR="00FC79C1" w:rsidRPr="009342F9" w:rsidRDefault="00FC79C1" w:rsidP="00F74103">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CONDICIONES PARA EL TRÁMITE DE LAS SOLICITUDES DE VIABILIDAD Y DISPONIBILIDAD DE LOS SERVICIOS PÚBLICOS DOMICILIARIOS DE ACUEDUCTO Y ALCANTARILLADO</w:t>
      </w:r>
    </w:p>
    <w:p w14:paraId="77BB7D07"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551" w:name="ver_30074943"/>
      <w:bookmarkEnd w:id="1551"/>
    </w:p>
    <w:p w14:paraId="6EB8772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2.3.1.2.2. Objeto. El presente Capítulo tiene por objeto establecer los términos y condiciones para el trámite de las solicitudes de viabilidad y disponibilidad de prestación de los servicios públicos domiciliarios que se presenten ante las personas prestadoras de los servicios públicos domiciliarios de acueducto y/o alcantarillado. </w:t>
      </w:r>
    </w:p>
    <w:p w14:paraId="376B67D6"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552" w:name="ver_30074944"/>
      <w:bookmarkEnd w:id="1552"/>
    </w:p>
    <w:p w14:paraId="2E7B4EF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2.3.1.2.3. Ámbito de aplicación. El presente Capítulo aplica a los prestadores de los servicios públicos domiciliarios de acueducto y/o alcantarillado, a los urbanizadores y constructores, a los municipios y/o distritos y a la Superintendencia de Servicios Públicos Domiciliarios. </w:t>
      </w:r>
    </w:p>
    <w:p w14:paraId="22A15FD5" w14:textId="05E8530A"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553" w:name="ver_30074945"/>
      <w:bookmarkEnd w:id="1553"/>
    </w:p>
    <w:p w14:paraId="23E621D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2.3.1.2.4. Viabilidad y disponibilidad inmediata de servicios públicos para proyectos de urbanización. Los prestadores de los servicios públicos de acueducto y/o alcantarillado dentro de </w:t>
      </w:r>
      <w:r w:rsidRPr="009342F9">
        <w:rPr>
          <w:rFonts w:ascii="Arial" w:eastAsia="Times New Roman" w:hAnsi="Arial" w:cs="Arial"/>
          <w:color w:val="000000"/>
          <w:lang w:eastAsia="es-CO"/>
        </w:rPr>
        <w:lastRenderedPageBreak/>
        <w:t>las áreas del perímetro urbano, están en la obligación de expedir la certificación de viabilidad y disponibilidad inmediata de los mencionados servicios cuando le sean solicitadas. </w:t>
      </w:r>
    </w:p>
    <w:p w14:paraId="4EADA03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5E8D0D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la viabilidad y disponibilidad inmediata de servicios públicos se establecen las condiciones técnicas para conexión y suministro del servicio, las cuales desarrollará el urbanizador a través del diseño y construcción de las redes secundarias o locales que están a su cargo. Una vez se obtenga la licencia urbanística, el urbanizador responsable está en la obligación de elaborar y someter a aprobación del prestador de servicios públicos los correspondientes diseños y proyectos técnicos con base en los cuales se ejecutará la construcción de las citadas infraestructuras. </w:t>
      </w:r>
    </w:p>
    <w:p w14:paraId="7F9FFCE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7B50F7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 ejecución de los proyectos de redes locales o secundarias de servicios públicos las hará el urbanizador en tanto esté vigente la licencia urbanística o su revalidación. </w:t>
      </w:r>
    </w:p>
    <w:p w14:paraId="382020D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398268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Entregadas las redes secundarias de servicios públicos, corresponde a los prestadores su operación, reposición, adecuación, mantenimiento, actualización o expansión para atender las decisiones de ordenamiento territorial definidas en los planes de ordenamiento territorial o los instrumentos que lo desarrollen o complementen. </w:t>
      </w:r>
    </w:p>
    <w:p w14:paraId="3F09F34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BC6275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El urbanizador está en la obligación de construir las redes locales o secundarias necesarias para la ejecución del respectivo proyecto urbanístico y la prestación efectiva de los servicios de acueducto y alcantarillado. En estos casos el prestador del servicio deberá hacer la supervisión técnica de la ejecución de estas obras y recibir la infraestructura. Cuando el proyecto se desarrolle por etapas este recibo se dará a la finalización de la correspondiente etapa. </w:t>
      </w:r>
    </w:p>
    <w:p w14:paraId="7BE0BBF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79851A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el evento en que el urbanizador acuerde con el prestador hacer el diseño y/o la construcción de redes matrices, el prestador está en la obligación de cubrirlos o retribuirlos. </w:t>
      </w:r>
    </w:p>
    <w:p w14:paraId="2980E91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17B734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ningún caso las empresas prestadoras podrán exigir los urbanizadores la realización de diseños y/o construcción de redes matrices o primarias. </w:t>
      </w:r>
    </w:p>
    <w:p w14:paraId="7BB8E193" w14:textId="2EAE62CE"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554" w:name="ver_30074946"/>
      <w:bookmarkEnd w:id="1554"/>
    </w:p>
    <w:p w14:paraId="7EB2CF1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2.3.1.2.5. Término para resolver la solicitud de viabilidad y disponibilidad inmediata. Los prestadores de los servicios públicos de acueducto y/o alcantarillado deberán decidir sobre la solicitud de viabilidad y disponibilidad inmediata de los mencionados servicios, dentro de los cuarenta y cinco (45) días calendario siguientes a la fecha de recepción de la solicitud presentada por el interesado. En todo caso ante la falta de respuesta se podrá acudir a los mecanismos legales para la protección del derecho de petición. </w:t>
      </w:r>
    </w:p>
    <w:p w14:paraId="050A50C8" w14:textId="2EA1A60C"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555" w:name="ver_30074947"/>
      <w:bookmarkEnd w:id="1555"/>
    </w:p>
    <w:p w14:paraId="77C9AFF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2.3.1.2.6. Prestación efectiva de los servicios para predios ubicados en sectores urbanizados. Los prestadores de los servicios públicos de acueducto y/o alcantarillado tienen la obligación de suministrar efectivamente los servicios a los predios urbanizados y/o que cuenten con licencia de construcción. Para el efecto, deberán atender las disposiciones de ordenamiento territorial y adecuar su sistema de prestación a las densidades, aprovechamientos urbanísticos y usos definidos por las normas urbanísticas vigentes, sin que en ningún caso puedan trasladar dicha responsabilidad a los titulares de las licencias de construcción mediante la exigencia de requisitos no previstos en la ley. El titular de la licencia de construcción deberá solicitar su vinculación como usuario al prestador, la cual deberá ser atendida en un término no mayor a quince (15) días hábiles contados a partir de la presentación de la solicitud. </w:t>
      </w:r>
    </w:p>
    <w:p w14:paraId="0F718AF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1ED5B4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Parágrafo. Para el efecto de lo dispuesto en el presente artículo, los prestadores de los servicios públicos domiciliarios de acueducto y/o alcantarillado deben articular sus planes de ampliación </w:t>
      </w:r>
      <w:r w:rsidRPr="009342F9">
        <w:rPr>
          <w:rFonts w:ascii="Arial" w:eastAsia="Times New Roman" w:hAnsi="Arial" w:cs="Arial"/>
          <w:color w:val="000000"/>
          <w:lang w:eastAsia="es-CO"/>
        </w:rPr>
        <w:lastRenderedPageBreak/>
        <w:t>de prestación del servicio, sus planes de inversión y demás fuente de financiación, con las decisiones de ordenamiento contenidas en los planes de ordenamiento territorial y los instrumentos que los desarrollen y complementen, así como con los programas de ejecución de los planes de ordenamiento contenidos en los planes de desarrollo municipales y distritales. </w:t>
      </w:r>
    </w:p>
    <w:p w14:paraId="19ADC1A4" w14:textId="3E68E866"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556" w:name="ver_30074948"/>
      <w:bookmarkEnd w:id="1556"/>
    </w:p>
    <w:p w14:paraId="39EA6E8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2.3.1.2.7. Trámite ante la Superintendencia de Servicios Públicos Domiciliarios (SSPD). En caso de que el prestador de los servicios públicos de acueducto y/o alcantarillado le comunique al peticionario la no disponibilidad inmediata del servicio, la persona prestadora deberá remitir dentro de los cinco (5) días siguientes a su negativa, copia de la misma comunicación a la Superintendencia de Servicios Públicos Domiciliarios, adjuntando los análisis que sustenten tal decisión y demás soportes. </w:t>
      </w:r>
    </w:p>
    <w:p w14:paraId="719FACA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5AF5A9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 negativa del prestador a otorgar la viabilidad y disponibilidad inmediata deberá ser motivada desde el punto de vista técnico, jurídico y económico, y soportada debidamente con los documentos respectivos, teniendo en cuenta dentro de los elementos de análisis, lo contenido en el plan de obras e inversiones del respectivo prestador y los planes de ordenamiento territorial. </w:t>
      </w:r>
    </w:p>
    <w:p w14:paraId="0331FC5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FAA47A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En el evento en que la Superintendencia de Servicios Públicos Domiciliarios no encuentre probados los argumentos del prestador para la negativa de la disponibilidad inmediata de servicio, en el acto administrativo que así lo establezca, ordenará al prestador el otorgamiento de dicha viabilidad y disponibilidad. </w:t>
      </w:r>
      <w:proofErr w:type="gramStart"/>
      <w:r w:rsidRPr="009342F9">
        <w:rPr>
          <w:rFonts w:ascii="Arial" w:eastAsia="Times New Roman" w:hAnsi="Arial" w:cs="Arial"/>
          <w:color w:val="000000"/>
          <w:lang w:eastAsia="es-CO"/>
        </w:rPr>
        <w:t>En caso que</w:t>
      </w:r>
      <w:proofErr w:type="gramEnd"/>
      <w:r w:rsidRPr="009342F9">
        <w:rPr>
          <w:rFonts w:ascii="Arial" w:eastAsia="Times New Roman" w:hAnsi="Arial" w:cs="Arial"/>
          <w:color w:val="000000"/>
          <w:lang w:eastAsia="es-CO"/>
        </w:rPr>
        <w:t xml:space="preserve"> la empresa incumpla con el otorgamiento de la viabilidad y disponibilidad, el expediente se remitirá al funcionario competente de la SSPD para efectos de que imponga las sanciones a que haya lugar. </w:t>
      </w:r>
    </w:p>
    <w:p w14:paraId="328BDEC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AEDAA7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caso de que la Superintendencia de Servicios Públicos Domiciliarios encuentre probados los argumentos del prestador, así deberá consignarlo en el respectivo acto administrativo, el cual deberá ser comunicado al solicitante y al ente territorial para los efectos establecidos en el artículo 50 de la Ley 1537 de 2012, así como para dar cumplimiento a las inversiones previstas en materia de servicios públicos en los programas de ejecución de los planes de ordenamiento territorial. </w:t>
      </w:r>
    </w:p>
    <w:p w14:paraId="4AB0957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3626C4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 actuación que adelante la Superintendencia de Servicios Públicos Domiciliarios, se surtirá de conformidad con lo previsto en la Ley 142 de 1994 y el Código de Procedimiento Administrativo y de lo Contencioso Administrativo. </w:t>
      </w:r>
    </w:p>
    <w:p w14:paraId="7773CD9B" w14:textId="04FA59B0"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557" w:name="ver_30074950"/>
      <w:bookmarkEnd w:id="1557"/>
    </w:p>
    <w:p w14:paraId="30A3A7A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2.3.1.2.8. Prohibición de requisitos adicionales. El estudio que adelante el prestador con el fin de resolver una solicitud de disponibilidad inmediata de </w:t>
      </w:r>
      <w:proofErr w:type="gramStart"/>
      <w:r w:rsidRPr="009342F9">
        <w:rPr>
          <w:rFonts w:ascii="Arial" w:eastAsia="Times New Roman" w:hAnsi="Arial" w:cs="Arial"/>
          <w:color w:val="000000"/>
          <w:lang w:eastAsia="es-CO"/>
        </w:rPr>
        <w:t>servicios,</w:t>
      </w:r>
      <w:proofErr w:type="gramEnd"/>
      <w:r w:rsidRPr="009342F9">
        <w:rPr>
          <w:rFonts w:ascii="Arial" w:eastAsia="Times New Roman" w:hAnsi="Arial" w:cs="Arial"/>
          <w:color w:val="000000"/>
          <w:lang w:eastAsia="es-CO"/>
        </w:rPr>
        <w:t xml:space="preserve"> deberá ceñirse a determinar si cuenta o no con capacidad para atender las demandas asociadas a las solicitudes de servicios de acueducto y/o alcantarillado, teniendo en cuenta lo definido en el presente decreto. </w:t>
      </w:r>
    </w:p>
    <w:p w14:paraId="11644EC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02EBAE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los planes de ordenamiento territorial, las reglamentaciones municipales o distritales o en los reglamentos técnicos u operativos que expidan los prestadores de servicios no se podrán incluir requisitos, exigencias o estudios adicionales a los establecidos en la normatividad expedida por el Gobierno Nacional. En el evento de existir cualquier discrepancia se dará aplicación estricta a lo definido en el presente decreto. </w:t>
      </w:r>
    </w:p>
    <w:p w14:paraId="2BC3FF0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91AF58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Tampoco podrán solicitar, en los casos de proyectos con licencia de construcción vigente, la reposición, adecuación o construcción de redes, o la presentación de estudios, alternativas técnicas para la prestación de los servicios de acueducto, alcantarillado, disposición de las aguas residuales o la caracterización de los vertimientos. </w:t>
      </w:r>
    </w:p>
    <w:p w14:paraId="3A4AE56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650AA8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xml:space="preserve">La violación a lo establecido en este </w:t>
      </w:r>
      <w:proofErr w:type="gramStart"/>
      <w:r w:rsidRPr="009342F9">
        <w:rPr>
          <w:rFonts w:ascii="Arial" w:eastAsia="Times New Roman" w:hAnsi="Arial" w:cs="Arial"/>
          <w:color w:val="000000"/>
          <w:lang w:eastAsia="es-CO"/>
        </w:rPr>
        <w:t>artículo,</w:t>
      </w:r>
      <w:proofErr w:type="gramEnd"/>
      <w:r w:rsidRPr="009342F9">
        <w:rPr>
          <w:rFonts w:ascii="Arial" w:eastAsia="Times New Roman" w:hAnsi="Arial" w:cs="Arial"/>
          <w:color w:val="000000"/>
          <w:lang w:eastAsia="es-CO"/>
        </w:rPr>
        <w:t xml:space="preserve"> dará lugar a que la Superintendencia de Servicios Públicos Domiciliarios adelante las actuaciones correspondientes dentro del marco de sus competencias, e imponga las sanciones a que haya lugar. </w:t>
      </w:r>
    </w:p>
    <w:p w14:paraId="4635B657" w14:textId="48547AAF" w:rsidR="00F74103"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558" w:name="ver_30074952"/>
      <w:bookmarkEnd w:id="1558"/>
    </w:p>
    <w:p w14:paraId="1B387654" w14:textId="434EEF0E" w:rsidR="00FC79C1" w:rsidRPr="009342F9" w:rsidRDefault="00FC79C1" w:rsidP="00F74103">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CAPÍTULO 3</w:t>
      </w:r>
    </w:p>
    <w:p w14:paraId="60202212" w14:textId="77777777" w:rsidR="00FC79C1" w:rsidRPr="009342F9" w:rsidRDefault="00FC79C1" w:rsidP="00F74103">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SERVICIOS PÚBLICOS DOMICILIARIOS DE ACUEDUCTO Y ALCANTARILLADO</w:t>
      </w:r>
    </w:p>
    <w:p w14:paraId="79DDDF7B" w14:textId="77777777" w:rsidR="005C501F" w:rsidRDefault="005C501F" w:rsidP="00F74103">
      <w:pPr>
        <w:spacing w:after="0" w:line="240" w:lineRule="auto"/>
        <w:jc w:val="center"/>
        <w:rPr>
          <w:rFonts w:ascii="Arial" w:eastAsia="Times New Roman" w:hAnsi="Arial" w:cs="Arial"/>
          <w:b/>
          <w:bCs/>
          <w:color w:val="000000"/>
          <w:lang w:eastAsia="es-CO"/>
        </w:rPr>
      </w:pPr>
    </w:p>
    <w:p w14:paraId="4BC7F729" w14:textId="7BFB7C56" w:rsidR="00FC79C1" w:rsidRPr="009342F9" w:rsidRDefault="00FC79C1" w:rsidP="00F74103">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SECCION 1</w:t>
      </w:r>
    </w:p>
    <w:p w14:paraId="5161CBF1" w14:textId="77777777" w:rsidR="00FC79C1" w:rsidRPr="009342F9" w:rsidRDefault="00FC79C1" w:rsidP="00F74103">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SUBSECCION 1</w:t>
      </w:r>
    </w:p>
    <w:p w14:paraId="2FD9B38B" w14:textId="77777777" w:rsidR="00FC79C1" w:rsidRPr="009342F9" w:rsidRDefault="00FC79C1" w:rsidP="00F74103">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DISPOSICIONES GENERALES</w:t>
      </w:r>
    </w:p>
    <w:p w14:paraId="4DC9B0EA" w14:textId="77777777" w:rsidR="00FC79C1" w:rsidRPr="009342F9" w:rsidRDefault="00FC79C1" w:rsidP="00F74103">
      <w:pPr>
        <w:spacing w:after="0" w:line="240" w:lineRule="auto"/>
        <w:jc w:val="center"/>
        <w:rPr>
          <w:rFonts w:ascii="Arial" w:eastAsia="Times New Roman" w:hAnsi="Arial" w:cs="Arial"/>
          <w:b/>
          <w:bCs/>
          <w:color w:val="000000"/>
          <w:lang w:eastAsia="es-CO"/>
        </w:rPr>
      </w:pPr>
      <w:bookmarkStart w:id="1559" w:name="ver_30074953"/>
      <w:bookmarkEnd w:id="1559"/>
    </w:p>
    <w:p w14:paraId="4D94DD8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2.3.1.3.1.1.1. Objeto. El presente Capítulo contiene el conjunto de normas que regulan las relaciones que se generan entre la entidad prestadora de los servicios públicos de acueducto y alcantarillado y los suscriptores y usuarios, actuales y potenciales, del mismo.  </w:t>
      </w:r>
    </w:p>
    <w:p w14:paraId="630403D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C147A5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w:t>
      </w:r>
      <w:proofErr w:type="gramStart"/>
      <w:r w:rsidRPr="009342F9">
        <w:rPr>
          <w:rFonts w:ascii="Arial" w:eastAsia="Times New Roman" w:hAnsi="Arial" w:cs="Arial"/>
          <w:color w:val="000000"/>
          <w:lang w:eastAsia="es-CO"/>
        </w:rPr>
        <w:t>Las entidad prestadora</w:t>
      </w:r>
      <w:proofErr w:type="gramEnd"/>
      <w:r w:rsidRPr="009342F9">
        <w:rPr>
          <w:rFonts w:ascii="Arial" w:eastAsia="Times New Roman" w:hAnsi="Arial" w:cs="Arial"/>
          <w:color w:val="000000"/>
          <w:lang w:eastAsia="es-CO"/>
        </w:rPr>
        <w:t xml:space="preserve"> de los servicios públicos domiciliarios de acueducto y alcantarillado, podrán expedir el reglamento interno de prestación del servicio, de conformidad con lo dispuesto en la ley y el reglamento. </w:t>
      </w:r>
    </w:p>
    <w:p w14:paraId="07C15489" w14:textId="192C6BE9"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560" w:name="ver_30074956"/>
      <w:bookmarkEnd w:id="1560"/>
    </w:p>
    <w:p w14:paraId="1ED4BD0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2.3.1.3.1.1.2. Del registro o catastro de usuarios. Cada entidad prestadora de los servicios públicos de acueducto y alcantarillado deberá contar con la información completa y actualizada de sus suscriptores y usuarios, que contenga los datos sobre su identificación, modalidad del servicio que reciben, estados de cuentas y demás que sea necesaria para el seguimiento y control de los servicios. </w:t>
      </w:r>
    </w:p>
    <w:p w14:paraId="6263697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AD0CF9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La entidad prestadora de los servicios públicos de acueducto y </w:t>
      </w:r>
      <w:proofErr w:type="gramStart"/>
      <w:r w:rsidRPr="009342F9">
        <w:rPr>
          <w:rFonts w:ascii="Arial" w:eastAsia="Times New Roman" w:hAnsi="Arial" w:cs="Arial"/>
          <w:color w:val="000000"/>
          <w:lang w:eastAsia="es-CO"/>
        </w:rPr>
        <w:t>alcantarillado,</w:t>
      </w:r>
      <w:proofErr w:type="gramEnd"/>
      <w:r w:rsidRPr="009342F9">
        <w:rPr>
          <w:rFonts w:ascii="Arial" w:eastAsia="Times New Roman" w:hAnsi="Arial" w:cs="Arial"/>
          <w:color w:val="000000"/>
          <w:lang w:eastAsia="es-CO"/>
        </w:rPr>
        <w:t xml:space="preserve"> asegurará que la identificación de los inmuebles corresponda a la nomenclatura oficial. </w:t>
      </w:r>
    </w:p>
    <w:p w14:paraId="57B9C9B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D7D8D1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casos excepcionales por deficiencias o baja cobertura de la nomenclatura oficial, la entidad prestadora de los servicios públicos podrá adoptar una nomenclatura provisional. </w:t>
      </w:r>
    </w:p>
    <w:p w14:paraId="24996F2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D4960C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Es responsabilidad de los suscriptores o usuarios informar a la entidad prestadora de los servicios públicos de acueducto y alcantarillado cualquier cambio en las características, identificación o uso de los inmuebles a las reportadas en el momento de la solicitud de instalación de los servicios. </w:t>
      </w:r>
    </w:p>
    <w:p w14:paraId="5CC9E3B2" w14:textId="015FACEA" w:rsidR="00F74103"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561" w:name="ver_30074957"/>
      <w:bookmarkEnd w:id="1561"/>
    </w:p>
    <w:p w14:paraId="07C02841" w14:textId="15A101AC" w:rsidR="00FC79C1" w:rsidRPr="009342F9" w:rsidRDefault="00FC79C1" w:rsidP="00F74103">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SECCION 2</w:t>
      </w:r>
    </w:p>
    <w:p w14:paraId="71D4FA5C" w14:textId="77777777" w:rsidR="00FC79C1" w:rsidRPr="009342F9" w:rsidRDefault="00FC79C1" w:rsidP="00F74103">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DE LA PRESTACIÓN DE LOS SERVICIOS PÚBLICOS DE ACUEDUCTO</w:t>
      </w:r>
    </w:p>
    <w:p w14:paraId="129596D5" w14:textId="77777777" w:rsidR="00FC79C1" w:rsidRDefault="00FC79C1" w:rsidP="00F74103">
      <w:pPr>
        <w:spacing w:after="0" w:line="240" w:lineRule="auto"/>
        <w:jc w:val="center"/>
        <w:rPr>
          <w:rFonts w:ascii="Arial" w:eastAsia="Times New Roman" w:hAnsi="Arial" w:cs="Arial"/>
          <w:b/>
          <w:bCs/>
          <w:color w:val="000000"/>
          <w:lang w:eastAsia="es-CO"/>
        </w:rPr>
      </w:pPr>
      <w:r w:rsidRPr="231E957E">
        <w:rPr>
          <w:rFonts w:ascii="Arial" w:eastAsia="Times New Roman" w:hAnsi="Arial" w:cs="Arial"/>
          <w:b/>
          <w:color w:val="000000" w:themeColor="text1"/>
          <w:lang w:eastAsia="es-CO"/>
        </w:rPr>
        <w:t>Y ALCANTARILLADO</w:t>
      </w:r>
    </w:p>
    <w:p w14:paraId="2A3F6825" w14:textId="77777777" w:rsidR="005C5EEB" w:rsidRPr="009342F9" w:rsidRDefault="005C5EEB" w:rsidP="00F74103">
      <w:pPr>
        <w:spacing w:after="0" w:line="240" w:lineRule="auto"/>
        <w:jc w:val="center"/>
        <w:rPr>
          <w:rFonts w:ascii="Arial" w:eastAsia="Times New Roman" w:hAnsi="Arial" w:cs="Arial"/>
          <w:b/>
          <w:bCs/>
          <w:color w:val="000000"/>
          <w:lang w:eastAsia="es-CO"/>
        </w:rPr>
      </w:pPr>
    </w:p>
    <w:p w14:paraId="0FC82327" w14:textId="77777777" w:rsidR="00FC79C1" w:rsidRPr="009342F9" w:rsidRDefault="00FC79C1" w:rsidP="00F74103">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SUBSECCION 1</w:t>
      </w:r>
    </w:p>
    <w:p w14:paraId="0BF9445F" w14:textId="77777777" w:rsidR="00FC79C1" w:rsidRPr="009342F9" w:rsidRDefault="00FC79C1" w:rsidP="00F74103">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OBLIGACIONES Y DEBERES DE LOS USUARIOS</w:t>
      </w:r>
    </w:p>
    <w:p w14:paraId="74C0A2A3"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562" w:name="ver_30074960"/>
      <w:bookmarkEnd w:id="1562"/>
    </w:p>
    <w:p w14:paraId="1D2C34E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2.3.1.3.2.1.3 De la solicitud de servicios y vinculación como usuario. Cuando haya servicios públicos disponibles de acueducto y alcantarillado, será obligatorio vincularse como usuario y cumplir con los deberes respectivos, o acreditar que se dispone de alternativas que no perjudiquen a la comunidad. </w:t>
      </w:r>
    </w:p>
    <w:p w14:paraId="43F6A57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83773E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 Superintendencia de Servicios Públicos Domiciliarios será la entidad competente para determinar si la alternativa propuesta no causa perjuicios a la comunidad. </w:t>
      </w:r>
    </w:p>
    <w:p w14:paraId="3265D69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7E6DDE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Los servicios de acueducto y alcantarillado deben ser solicitados de manera conjunta, salvo en los casos en que el usuario o suscriptor disponga de fuentes alternas de aprovechamiento de aguas, sean éstas superficiales o subterráneas y el caso de los usuarios o suscriptores que no puedan ser conectados a la red de alcantarillado. </w:t>
      </w:r>
    </w:p>
    <w:p w14:paraId="3EDC192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CBE8B8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Parágrafo. En relación con el inciso tercero del presente artículo, los casos especiales deben ser informados de manera detallada por el usuario o suscriptor, a la entidad prestadora de los servicios públicos, como parte de la información que debe contener la solicitud de </w:t>
      </w:r>
      <w:proofErr w:type="gramStart"/>
      <w:r w:rsidRPr="009342F9">
        <w:rPr>
          <w:rFonts w:ascii="Arial" w:eastAsia="Times New Roman" w:hAnsi="Arial" w:cs="Arial"/>
          <w:color w:val="000000"/>
          <w:lang w:eastAsia="es-CO"/>
        </w:rPr>
        <w:t>los mismos</w:t>
      </w:r>
      <w:proofErr w:type="gramEnd"/>
      <w:r w:rsidRPr="009342F9">
        <w:rPr>
          <w:rFonts w:ascii="Arial" w:eastAsia="Times New Roman" w:hAnsi="Arial" w:cs="Arial"/>
          <w:color w:val="000000"/>
          <w:lang w:eastAsia="es-CO"/>
        </w:rPr>
        <w:t xml:space="preserve"> y acompañar copia del correspondiente permiso de concesión de aguas subterráneas y/o superficiales expedido por la autoridad ambiental competente. </w:t>
      </w:r>
    </w:p>
    <w:p w14:paraId="12EB7280" w14:textId="4EA9121B"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563" w:name="ver_30074961"/>
      <w:bookmarkEnd w:id="1563"/>
    </w:p>
    <w:p w14:paraId="6D94463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2.3.1.3.2.1.4 De las instalaciones internas. Todo predio o edificación nueva deberá dotarse de redes e instalaciones interiores separadas e independientes para aguas lluvias, aguas negras domésticas y aguas negras industriales, cuando existan redes de alcantarillado igualmente separadas e independientes. </w:t>
      </w:r>
    </w:p>
    <w:p w14:paraId="6C56317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1B3ECA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El diseño y la construcción e instalación de </w:t>
      </w:r>
      <w:proofErr w:type="gramStart"/>
      <w:r w:rsidRPr="009342F9">
        <w:rPr>
          <w:rFonts w:ascii="Arial" w:eastAsia="Times New Roman" w:hAnsi="Arial" w:cs="Arial"/>
          <w:color w:val="000000"/>
          <w:lang w:eastAsia="es-CO"/>
        </w:rPr>
        <w:t>desagües,</w:t>
      </w:r>
      <w:proofErr w:type="gramEnd"/>
      <w:r w:rsidRPr="009342F9">
        <w:rPr>
          <w:rFonts w:ascii="Arial" w:eastAsia="Times New Roman" w:hAnsi="Arial" w:cs="Arial"/>
          <w:color w:val="000000"/>
          <w:lang w:eastAsia="es-CO"/>
        </w:rPr>
        <w:t xml:space="preserve"> deberán ajustarse a las normas y especificaciones previstas en el Reglamento Técnico del Sector de Agua Potable y Saneamiento Básico. </w:t>
      </w:r>
    </w:p>
    <w:p w14:paraId="002E7DC0" w14:textId="5FC3927C"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564" w:name="ver_30074963"/>
      <w:bookmarkEnd w:id="1564"/>
    </w:p>
    <w:p w14:paraId="129AEF57" w14:textId="77777777" w:rsidR="00FC79C1" w:rsidRPr="009342F9" w:rsidRDefault="00FC79C1" w:rsidP="00FC79C1">
      <w:pPr>
        <w:spacing w:after="0" w:line="240" w:lineRule="auto"/>
        <w:jc w:val="both"/>
        <w:rPr>
          <w:rFonts w:ascii="Arial" w:eastAsia="Times New Roman" w:hAnsi="Arial" w:cs="Arial"/>
          <w:color w:val="000000"/>
          <w:lang w:eastAsia="es-CO"/>
        </w:rPr>
      </w:pPr>
      <w:r w:rsidRPr="231E957E">
        <w:rPr>
          <w:rFonts w:ascii="Arial" w:eastAsia="Times New Roman" w:hAnsi="Arial" w:cs="Arial"/>
          <w:color w:val="000000" w:themeColor="text1"/>
          <w:lang w:eastAsia="es-CO"/>
        </w:rPr>
        <w:t>Artículo 2.3.1.3.2.1.5. Del uso racional de los servicios. Los usuarios o suscriptores de las entidades prestadoras de los servicios, deberán hacer uso de los servicios de acueducto y alcantarillado en forma racional y responsable, observando las condiciones que para tal efecto establezcan las normas vigentes, en orden a garantizar el ahorro y uso eficiente del agua, la prevención de la contaminación hídrica por parte de sustancias susceptibles de producir daño en la salud humana y en el ambiente y la normal operación de las redes de acueducto y alcantarillado. </w:t>
      </w:r>
    </w:p>
    <w:p w14:paraId="1E4E4370" w14:textId="3E07F363" w:rsidR="00F74103"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565" w:name="ver_30074965"/>
      <w:bookmarkEnd w:id="1565"/>
    </w:p>
    <w:p w14:paraId="2510F971" w14:textId="4831170E" w:rsidR="00FC79C1" w:rsidRPr="009342F9" w:rsidRDefault="00FC79C1" w:rsidP="00F74103">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SUBSECCIÓN 2</w:t>
      </w:r>
    </w:p>
    <w:p w14:paraId="173E1821" w14:textId="77777777" w:rsidR="00FC79C1" w:rsidRPr="009342F9" w:rsidRDefault="00FC79C1" w:rsidP="00F74103">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DE LA CONEXIÓN</w:t>
      </w:r>
    </w:p>
    <w:p w14:paraId="443066AE"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566" w:name="ver_30074967"/>
      <w:bookmarkEnd w:id="1566"/>
    </w:p>
    <w:p w14:paraId="0FE0000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2.3.1.3.2.2.6. Condiciones de acceso a los servicios. Para obtener la conexión de los servicios de acueducto y alcantarillado, el inmueble deberá cumplir los siguientes requisitos: </w:t>
      </w:r>
    </w:p>
    <w:p w14:paraId="1F6CAAD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6E38FD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Estar ubicado dentro del perímetro de servicio, tal como lo dispone el parágrafo segundo del artículo 12 de la Ley 388 de 1997. </w:t>
      </w:r>
    </w:p>
    <w:p w14:paraId="0312F83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9CA05A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Contar con la Licencia de Construcción cuando se trate de edificaciones por construir, o la cédula catastral en el caso de obras terminadas. </w:t>
      </w:r>
    </w:p>
    <w:p w14:paraId="26482BD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9C7BDB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Estar ubicado en zonas que cuenten con vías de acceso o espacios públicos y redes de acueducto o alcantarillado requeridas para adelantar las redes locales y las conexiones domiciliarias que permitan atender las necesidades del inmueble. </w:t>
      </w:r>
    </w:p>
    <w:p w14:paraId="3EC579B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8DB696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Estar conectado al sistema público de alcantarillado, cuando se pretenda la conexión al servicio de acueducto, salvo lo establecido en el artículo 4o. de este decreto. </w:t>
      </w:r>
    </w:p>
    <w:p w14:paraId="54675AE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C180D0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5. Contar con un sistema de tratamiento y disposición final adecuada de aguas residuales debidamente aprobado por la autoridad ambiental competente, </w:t>
      </w:r>
      <w:proofErr w:type="gramStart"/>
      <w:r w:rsidRPr="009342F9">
        <w:rPr>
          <w:rFonts w:ascii="Arial" w:eastAsia="Times New Roman" w:hAnsi="Arial" w:cs="Arial"/>
          <w:color w:val="000000"/>
          <w:lang w:eastAsia="es-CO"/>
        </w:rPr>
        <w:t>cuando</w:t>
      </w:r>
      <w:proofErr w:type="gramEnd"/>
      <w:r w:rsidRPr="009342F9">
        <w:rPr>
          <w:rFonts w:ascii="Arial" w:eastAsia="Times New Roman" w:hAnsi="Arial" w:cs="Arial"/>
          <w:color w:val="000000"/>
          <w:lang w:eastAsia="es-CO"/>
        </w:rPr>
        <w:t xml:space="preserve"> no obstante, ser usuario o suscriptor de la red de acueducto, no existe red de alcantarillado en la zona del inmueble. </w:t>
      </w:r>
    </w:p>
    <w:p w14:paraId="61B820E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FD31E9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6. Los usuarios industriales y/o especiales de alcantarillado que manejen productos químicos y derivados del petróleo deberán contar con un plan de contingencia que garantice que bajo ninguna condición se corre el riesgo de que estas sustancias lleguen al sistema público de alcantarillado. </w:t>
      </w:r>
    </w:p>
    <w:p w14:paraId="1148D36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1E2125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7. La conexión al sistema de alcantarillado de los sótanos y </w:t>
      </w:r>
      <w:proofErr w:type="spellStart"/>
      <w:r w:rsidRPr="009342F9">
        <w:rPr>
          <w:rFonts w:ascii="Arial" w:eastAsia="Times New Roman" w:hAnsi="Arial" w:cs="Arial"/>
          <w:color w:val="000000"/>
          <w:lang w:eastAsia="es-CO"/>
        </w:rPr>
        <w:t>semi-sótanos</w:t>
      </w:r>
      <w:proofErr w:type="spellEnd"/>
      <w:r w:rsidRPr="009342F9">
        <w:rPr>
          <w:rFonts w:ascii="Arial" w:eastAsia="Times New Roman" w:hAnsi="Arial" w:cs="Arial"/>
          <w:color w:val="000000"/>
          <w:lang w:eastAsia="es-CO"/>
        </w:rPr>
        <w:t xml:space="preserve"> podrá realizarse previo el cumplimiento de las normas técnicas fijadas por la entidad prestadora de los servicios públicos. </w:t>
      </w:r>
    </w:p>
    <w:p w14:paraId="48E5A4B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CECBA8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8. Contar con tanque de almacenamiento de agua cuando la Entidad Prestadora de Servicios Públicos lo justifique por condiciones técnicas locales. Los tanques de almacenamiento deberán disponer de los elementos necesarios para evitar los desperdicios y la contaminación del agua y deberán ajustarse a las normas establecidas por la entidad. </w:t>
      </w:r>
    </w:p>
    <w:p w14:paraId="10BD844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1891F9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9. En edificaciones de tres (3) o más pisos, contar con los sistemas necesarios para permitir la utilización eficiente de los servicios. </w:t>
      </w:r>
    </w:p>
    <w:p w14:paraId="31537A97" w14:textId="5B1A3A3C"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567" w:name="ver_30074969"/>
      <w:bookmarkEnd w:id="1567"/>
    </w:p>
    <w:p w14:paraId="6A92B8C3" w14:textId="77777777" w:rsidR="00FC79C1"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2.3.1.3.2.2.7. Utilización de las redes. Los particulares no pueden utilizar la red pública o aquellas entregadas a la entidad prestadora de los servicios públicos, para su administración ni realizar obras sobre éstas, salvo con autorización expresa de la entidad prestadora de los servicios públicos. En todo caso, la entidad prestadora de los servicios públicos podrá realizar extensiones, derivaciones, modificaciones u otro tipo de trabajo en las redes de acueducto y alcantarillado recibidas de terceros. </w:t>
      </w:r>
    </w:p>
    <w:p w14:paraId="2EFF3A50" w14:textId="77777777" w:rsidR="009A3227" w:rsidRPr="009342F9" w:rsidRDefault="009A3227" w:rsidP="00FC79C1">
      <w:pPr>
        <w:spacing w:after="0" w:line="240" w:lineRule="auto"/>
        <w:jc w:val="both"/>
        <w:rPr>
          <w:rFonts w:ascii="Arial" w:eastAsia="Times New Roman" w:hAnsi="Arial" w:cs="Arial"/>
          <w:color w:val="000000"/>
          <w:lang w:eastAsia="es-CO"/>
        </w:rPr>
      </w:pPr>
    </w:p>
    <w:p w14:paraId="5EBD74E3" w14:textId="326E48B0" w:rsidR="009A3227" w:rsidRPr="009A3227" w:rsidRDefault="009A3227" w:rsidP="009A3227">
      <w:pPr>
        <w:spacing w:after="0" w:line="240" w:lineRule="auto"/>
        <w:jc w:val="center"/>
        <w:rPr>
          <w:rFonts w:ascii="Arial" w:eastAsia="Times New Roman" w:hAnsi="Arial" w:cs="Arial"/>
          <w:b/>
          <w:bCs/>
          <w:lang w:eastAsia="es-CO"/>
        </w:rPr>
      </w:pPr>
      <w:bookmarkStart w:id="1568" w:name="ver_30074971"/>
      <w:bookmarkEnd w:id="1568"/>
      <w:r w:rsidRPr="009A3227">
        <w:rPr>
          <w:rFonts w:ascii="Arial" w:hAnsi="Arial" w:cs="Arial"/>
          <w:b/>
          <w:bCs/>
          <w:sz w:val="23"/>
          <w:szCs w:val="23"/>
          <w:shd w:val="clear" w:color="auto" w:fill="FFFFFF"/>
        </w:rPr>
        <w:t>SUBSECCIÓN 3</w:t>
      </w:r>
    </w:p>
    <w:p w14:paraId="6EA941DD" w14:textId="3DBF7120" w:rsidR="00FC79C1" w:rsidRPr="009342F9" w:rsidRDefault="00FC79C1" w:rsidP="00F74103">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DEL RÉGIMEN DE ACOMETIDAS Y MEDIDORES</w:t>
      </w:r>
    </w:p>
    <w:p w14:paraId="6E50BFAE"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569" w:name="ver_30074974"/>
      <w:bookmarkEnd w:id="1569"/>
    </w:p>
    <w:p w14:paraId="2AD674E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2.3.1.3.2.3.8. Régimen de acometidas. La entidad prestadora de los servicios públicos establecerá las especificaciones de las acometidas de acueducto y alcantarillado, conforme a lo establecido en el Reglamento Técnico del Sector de Agua Potable y Saneamiento Básico. En todo caso, el costo de redes, equipos y demás elementos que constituyan la acometida estarán a cargo del usuario cuando se construya por primera vez. </w:t>
      </w:r>
    </w:p>
    <w:p w14:paraId="005014D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B3C622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Parágrafo. Los suscriptores o usuarios deberán comunicar a la entidad prestadora de los servicios públicos, cualquier modificación, división, aumento de unidad a la cual se le presta el servicio, para que evalúe la posibilidad técnica de la prestación de </w:t>
      </w:r>
      <w:proofErr w:type="gramStart"/>
      <w:r w:rsidRPr="009342F9">
        <w:rPr>
          <w:rFonts w:ascii="Arial" w:eastAsia="Times New Roman" w:hAnsi="Arial" w:cs="Arial"/>
          <w:color w:val="000000"/>
          <w:lang w:eastAsia="es-CO"/>
        </w:rPr>
        <w:t>los mismos</w:t>
      </w:r>
      <w:proofErr w:type="gramEnd"/>
      <w:r w:rsidRPr="009342F9">
        <w:rPr>
          <w:rFonts w:ascii="Arial" w:eastAsia="Times New Roman" w:hAnsi="Arial" w:cs="Arial"/>
          <w:color w:val="000000"/>
          <w:lang w:eastAsia="es-CO"/>
        </w:rPr>
        <w:t xml:space="preserve"> y determinen las modificaciones hidráulicas que se requieran. </w:t>
      </w:r>
    </w:p>
    <w:p w14:paraId="4BB4F18C" w14:textId="2DF46C93"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570" w:name="ver_30074976"/>
      <w:bookmarkEnd w:id="1570"/>
    </w:p>
    <w:p w14:paraId="77A3636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2.3.1.3.2.3.9. Unidad de acometida por usuario. La entidad prestadora de los servicios públicos sólo estará obligada a autorizar una acometida de acueducto y alcantarillado por unidad habitacional o unidad no residencial, salvo que por razones técnicas se requieran acometidas adicionales. La entidad prestadora de los servicios públicos podrá exigir la Independización de las acometidas cuando lo estime necesario. En edificios multifamiliares y multiusuarios, la entidad prestadora de los servicios públicos podrá autorizar acometidas para atender una o varias unidades independientes. </w:t>
      </w:r>
    </w:p>
    <w:p w14:paraId="071910A2" w14:textId="6FC96A40"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571" w:name="ver_30074977"/>
      <w:bookmarkEnd w:id="1571"/>
    </w:p>
    <w:p w14:paraId="679FDA3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2.3.1.3.2.3.10. Cambio de localización de la acometida. Es atribución exclusiva de la entidad prestadora de los servicios públicos, realizar cambios en la localización del medidor y de la acometida y en el diámetro de </w:t>
      </w:r>
      <w:proofErr w:type="gramStart"/>
      <w:r w:rsidRPr="009342F9">
        <w:rPr>
          <w:rFonts w:ascii="Arial" w:eastAsia="Times New Roman" w:hAnsi="Arial" w:cs="Arial"/>
          <w:color w:val="000000"/>
          <w:lang w:eastAsia="es-CO"/>
        </w:rPr>
        <w:t>la misma</w:t>
      </w:r>
      <w:proofErr w:type="gramEnd"/>
      <w:r w:rsidRPr="009342F9">
        <w:rPr>
          <w:rFonts w:ascii="Arial" w:eastAsia="Times New Roman" w:hAnsi="Arial" w:cs="Arial"/>
          <w:color w:val="000000"/>
          <w:lang w:eastAsia="es-CO"/>
        </w:rPr>
        <w:t>, así como efectuar las independizaciones del caso, previo el pago de los costos que se generen, por parte del usuario. </w:t>
      </w:r>
    </w:p>
    <w:p w14:paraId="7A832EC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5A61DA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Cuando, por reconstrucción o modificación de un inmueble, se dificulte la identificación del sitio de entrada de la acometida, el suscriptor o usuario deberá informar a la entidad prestadora de los servicios públicos, dentro de los treinta (30) días siguientes, para que se ejecuten con cargo al usuario, los cambios del caso. En esta circunstancia cuando el suscriptor o usuario sea diferente al propietario del inmueble se regirá por lo dispuesto en el Código Civil. </w:t>
      </w:r>
    </w:p>
    <w:p w14:paraId="20CC3A4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5E5835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Cuando por división del inmueble, alguna de sus partes que goce del servicio de acueducto o de alcantarillado, pase a dominio de otra persona; deberá hacerse constar en la respectiva escritura cuál porción se reserva el derecho al servicio. Si no lo hiciere así, el derecho al servicio quedará asignado a aquella sección del inmueble por donde se encuentre instalada la acometida. </w:t>
      </w:r>
    </w:p>
    <w:p w14:paraId="7717BD5C" w14:textId="5544FA66"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572" w:name="ver_30074979"/>
      <w:bookmarkEnd w:id="1572"/>
    </w:p>
    <w:p w14:paraId="64C8734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2.3.1.3.2.3.11. De los medidores. Los contratos de condiciones uniformes pueden exigir que los suscriptores o usuarios adquieran, instalen, mantengan y reparen los instrumentos necesarios para medir sus consumos de agua, en tal caso, los suscriptores o usuarios podrán adquirir los bienes y servicios respectivos a quien a bien tengan y la entidad prestadora de los servicios públicos deberá aceptarlo siempre que reúnan las características técnicas a las que se refiere el inciso siguiente. </w:t>
      </w:r>
    </w:p>
    <w:p w14:paraId="78FC14A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9B0658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 entidad prestadora de los servicios públicos podrá establecer en las condiciones uniformes del contrato las características técnicas de los medidores, las condiciones para su reemplazo y el mantenimiento que deba dárseles. </w:t>
      </w:r>
    </w:p>
    <w:p w14:paraId="7F334AB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DC5957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No será obligación del suscriptor o usuario cerciorarse que los medidores funcionen en forma adecuada; pero sí será obligación suya hacerlos reparar o reemplazarlos, a satisfacción de la entidad prestadora de los servicios públicos, cuando se establezca que el funcionamiento no permite determinar en forma adecuada los consumos o cuando el desarrollo tecnológico ponga a su disposición instrumentos de medida más precisos. </w:t>
      </w:r>
    </w:p>
    <w:p w14:paraId="5003A10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644E58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Cuando el usuario o suscriptor, pasado un período de facturación a partir de la comunicación de la necesidad del cambio no tome las acciones necesarias para reparar o remplazar los medidores, la entidad prestadora de los servicios públicos podrá hacerlo por cuenta del usuario o suscriptor. </w:t>
      </w:r>
    </w:p>
    <w:p w14:paraId="782467DD" w14:textId="50D62824"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573" w:name="ver_30074981"/>
      <w:bookmarkEnd w:id="1573"/>
    </w:p>
    <w:p w14:paraId="27B183C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2.3.1.3.2.3.12. De la obligatoriedad de los medidores de acueducto. De ser técnicamente posible cada acometida deberá contar con su correspondiente medidor de acueducto, el cual será instalado en cumplimiento de los programas de </w:t>
      </w:r>
      <w:proofErr w:type="spellStart"/>
      <w:r w:rsidRPr="009342F9">
        <w:rPr>
          <w:rFonts w:ascii="Arial" w:eastAsia="Times New Roman" w:hAnsi="Arial" w:cs="Arial"/>
          <w:color w:val="000000"/>
          <w:lang w:eastAsia="es-CO"/>
        </w:rPr>
        <w:t>micromedición</w:t>
      </w:r>
      <w:proofErr w:type="spellEnd"/>
      <w:r w:rsidRPr="009342F9">
        <w:rPr>
          <w:rFonts w:ascii="Arial" w:eastAsia="Times New Roman" w:hAnsi="Arial" w:cs="Arial"/>
          <w:color w:val="000000"/>
          <w:lang w:eastAsia="es-CO"/>
        </w:rPr>
        <w:t xml:space="preserve"> establecidos por la entidad prestadora de los servicios públicos de conformidad con la regulación expedida por la Comisión de Regulación de Agua Potable y Saneamiento Básico. Para el caso de edificios de propiedad horizontal o condominios, de ser técnicamente posible, cada uno de los inmuebles que lo constituyan deberá tener su medidor individual. </w:t>
      </w:r>
    </w:p>
    <w:p w14:paraId="6019DBF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B19393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 entidad prestadora de los servicios públicos determinará el sitio de colocación de los medidores, procurando que sea de fácil acceso para efecto de su mantenimiento y lectura y podrá instalar los medidores a los inmuebles que no lo tienen, en este caso el costo del medidor correrá por cuenta del suscriptor o usuario. </w:t>
      </w:r>
    </w:p>
    <w:p w14:paraId="71B42D8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84338E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La entidad prestadora de los servicios públicos debe ofrecer financiamiento a los suscriptores de uso residencial de los estratos 1, 2 y 3, para cubrir los costos del medidor, su instalación, obra civil, o reemplazo </w:t>
      </w:r>
      <w:proofErr w:type="gramStart"/>
      <w:r w:rsidRPr="009342F9">
        <w:rPr>
          <w:rFonts w:ascii="Arial" w:eastAsia="Times New Roman" w:hAnsi="Arial" w:cs="Arial"/>
          <w:color w:val="000000"/>
          <w:lang w:eastAsia="es-CO"/>
        </w:rPr>
        <w:t>del mismo</w:t>
      </w:r>
      <w:proofErr w:type="gramEnd"/>
      <w:r w:rsidRPr="009342F9">
        <w:rPr>
          <w:rFonts w:ascii="Arial" w:eastAsia="Times New Roman" w:hAnsi="Arial" w:cs="Arial"/>
          <w:color w:val="000000"/>
          <w:lang w:eastAsia="es-CO"/>
        </w:rPr>
        <w:t xml:space="preserve"> en caso de daño. Esta financiación debe ser de por lo menos treinta (36) (sic) meses, dando libertad al usuario de pactar períodos más cortos si así lo desea. Este cobro se hará junto con la factura de acueducto. </w:t>
      </w:r>
    </w:p>
    <w:p w14:paraId="35EB043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40D3CA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Para los usuarios temporales, la entidad prestadora de los servicios públicos podrá exigir una ubicación fija y visible de una cámara para el contador, con el fin de verificar la lectura y la revisión de control. </w:t>
      </w:r>
    </w:p>
    <w:p w14:paraId="5ADB71A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FA4285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 entidad prestadora de los servicios públicos podrá exigir la instalación de medidores o estructuras de aforo de aguas residuales, para aquellos usuarios que se abastecen de aguas provenientes de fuentes alternas pero que utilizan el servicio de alcantarillado. </w:t>
      </w:r>
    </w:p>
    <w:p w14:paraId="47ABE06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7CBB61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 entidad prestadora de los servicios públicos dará garantía de buen servicio del medidor por un lapso no inferior a tres (3) años, cuando el mismo sea suministrado directamente por la entidad. A igual disposición se someten las acometidas. En caso de falla del medidor dentro del período de garantía, el costo de reparación o reposición será asumido por la entidad prestadora del servicio, sin poder trasladarlo al usuario. Igualmente, no podrán cambiarse los medidores hasta tanto no se determine que su funcionamiento está por fuera del rango de error admisible. </w:t>
      </w:r>
    </w:p>
    <w:p w14:paraId="4C7977E9" w14:textId="570B9B76"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574" w:name="ver_30074983"/>
      <w:bookmarkEnd w:id="1574"/>
    </w:p>
    <w:p w14:paraId="6AFA134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2.3.1.3.2.3.13. De los medidores generales o de control. En el caso de edificios o unidades inmobiliarias cerradas podrá existir un medidor de control inmediatamente aguas abajo de la acometida. Deben existir medidores individuales en cada una de las unidades habitacionales o no residenciales que conforman el edificio o las unidades inmobiliarias o áreas comunes. </w:t>
      </w:r>
    </w:p>
    <w:p w14:paraId="16C1E79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7DDE48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Las áreas comunes de edificios o unidades inmobiliarias cerradas deben disponer de medición que permitan facturar los consumos correspondientes. De no ser técnicamente posible la medición individual del consumo de áreas comunes, se debe instalar un medidor general en la acometida y calcular el consumo de las áreas comunes como la diferencia entre el volumen registrado por el medidor general y la suma de los consumos registrados por los medidores individuales. </w:t>
      </w:r>
    </w:p>
    <w:p w14:paraId="50C22A82" w14:textId="02F80DBF"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575" w:name="ver_30074986"/>
      <w:bookmarkEnd w:id="1575"/>
    </w:p>
    <w:p w14:paraId="43E592D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2.3.1.3.2.3.14. Medidores para grandes consumidores no residenciales. Los grandes consumidores no residenciales, deberán instalar equipos de medición </w:t>
      </w:r>
      <w:proofErr w:type="gramStart"/>
      <w:r w:rsidRPr="009342F9">
        <w:rPr>
          <w:rFonts w:ascii="Arial" w:eastAsia="Times New Roman" w:hAnsi="Arial" w:cs="Arial"/>
          <w:color w:val="000000"/>
          <w:lang w:eastAsia="es-CO"/>
        </w:rPr>
        <w:t>de acuerdo a</w:t>
      </w:r>
      <w:proofErr w:type="gramEnd"/>
      <w:r w:rsidRPr="009342F9">
        <w:rPr>
          <w:rFonts w:ascii="Arial" w:eastAsia="Times New Roman" w:hAnsi="Arial" w:cs="Arial"/>
          <w:color w:val="000000"/>
          <w:lang w:eastAsia="es-CO"/>
        </w:rPr>
        <w:t xml:space="preserve"> los lineamientos que expedida la Comisión de Regulación de Agua Potable y Saneamiento Básico. </w:t>
      </w:r>
    </w:p>
    <w:p w14:paraId="1DFFEB94" w14:textId="692BD9F2"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576" w:name="ver_30074987"/>
      <w:bookmarkEnd w:id="1576"/>
    </w:p>
    <w:p w14:paraId="7DFD5DE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2.3.1.3.2.3.15. Medidores para multiusuario. Los suscriptores o usuarios de edificios catalogados como multiusuarios sometidos al régimen de propiedad horizontal, que cuenten con un medidor colectivo, podrán solicitar a la entidad prestadora de los servicios públicos la instalación de medidores individuales. En este caso, los suscriptores o usuarios deberán realizar a su cargo todas las obras requeridas por la entidad prestadora de los servicios públicos para la instalación de </w:t>
      </w:r>
      <w:proofErr w:type="gramStart"/>
      <w:r w:rsidRPr="009342F9">
        <w:rPr>
          <w:rFonts w:ascii="Arial" w:eastAsia="Times New Roman" w:hAnsi="Arial" w:cs="Arial"/>
          <w:color w:val="000000"/>
          <w:lang w:eastAsia="es-CO"/>
        </w:rPr>
        <w:t>los mismos</w:t>
      </w:r>
      <w:proofErr w:type="gramEnd"/>
      <w:r w:rsidRPr="009342F9">
        <w:rPr>
          <w:rFonts w:ascii="Arial" w:eastAsia="Times New Roman" w:hAnsi="Arial" w:cs="Arial"/>
          <w:color w:val="000000"/>
          <w:lang w:eastAsia="es-CO"/>
        </w:rPr>
        <w:t>. </w:t>
      </w:r>
    </w:p>
    <w:p w14:paraId="7C08A8F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347906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Parágrafo. La entidad prestadora de los servicios </w:t>
      </w:r>
      <w:proofErr w:type="gramStart"/>
      <w:r w:rsidRPr="009342F9">
        <w:rPr>
          <w:rFonts w:ascii="Arial" w:eastAsia="Times New Roman" w:hAnsi="Arial" w:cs="Arial"/>
          <w:color w:val="000000"/>
          <w:lang w:eastAsia="es-CO"/>
        </w:rPr>
        <w:t>públicos,</w:t>
      </w:r>
      <w:proofErr w:type="gramEnd"/>
      <w:r w:rsidRPr="009342F9">
        <w:rPr>
          <w:rFonts w:ascii="Arial" w:eastAsia="Times New Roman" w:hAnsi="Arial" w:cs="Arial"/>
          <w:color w:val="000000"/>
          <w:lang w:eastAsia="es-CO"/>
        </w:rPr>
        <w:t xml:space="preserve"> podrá autorizar la Independización del servicio en el caso de que la mayoría de los copropietarios la solicite, previo un acuerdo de pago de los saldos vigentes a la fecha de la Independización y la ejecución por los beneficiarios de las adecuaciones técnicas requeridas. </w:t>
      </w:r>
    </w:p>
    <w:p w14:paraId="57335F85" w14:textId="33E5F5A5"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577" w:name="ver_30074989"/>
      <w:bookmarkEnd w:id="1577"/>
    </w:p>
    <w:p w14:paraId="68E4547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2.3.1.3.2.3.16. Cambio de medidor. La entidad prestadora de los servicios </w:t>
      </w:r>
      <w:proofErr w:type="gramStart"/>
      <w:r w:rsidRPr="009342F9">
        <w:rPr>
          <w:rFonts w:ascii="Arial" w:eastAsia="Times New Roman" w:hAnsi="Arial" w:cs="Arial"/>
          <w:color w:val="000000"/>
          <w:lang w:eastAsia="es-CO"/>
        </w:rPr>
        <w:t>públicos,</w:t>
      </w:r>
      <w:proofErr w:type="gramEnd"/>
      <w:r w:rsidRPr="009342F9">
        <w:rPr>
          <w:rFonts w:ascii="Arial" w:eastAsia="Times New Roman" w:hAnsi="Arial" w:cs="Arial"/>
          <w:color w:val="000000"/>
          <w:lang w:eastAsia="es-CO"/>
        </w:rPr>
        <w:t xml:space="preserve"> podrá cambiar el medidor cuando éste no tenga el diámetro adecuado para el servicio que se presta. En tales casos, el suscriptor o usuario pagará a la entidad prestadora de los servicios públicos, según la diferencia entre el valor del medidor nuevo y el valor del medidor retirado, a los precios vigentes, así como de los materiales derivados de tales obras, a los precios vigentes, sea en su contra o a su favor en un plazo máximo de seis (6) meses. </w:t>
      </w:r>
    </w:p>
    <w:p w14:paraId="1A887F2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18361B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Cuando a juicio de la empresa el medidor no registre adecuadamente el consumo, la empresa podrá retirarlo temporalmente para verificar su estado. Si como resultado de esta actuación se determina una falla en el instrumento de medida, se dará al suscriptor o usuario la opción de repararlo, si técnica y económicamente esta resulta procedente. </w:t>
      </w:r>
    </w:p>
    <w:p w14:paraId="2848CC8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BDB141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En caso de requerirse el cambio del medidor, el suscriptor o usuario tendrá la opción de adquirirlo a quien a bien tenga, evento en el </w:t>
      </w:r>
      <w:proofErr w:type="gramStart"/>
      <w:r w:rsidRPr="009342F9">
        <w:rPr>
          <w:rFonts w:ascii="Arial" w:eastAsia="Times New Roman" w:hAnsi="Arial" w:cs="Arial"/>
          <w:color w:val="000000"/>
          <w:lang w:eastAsia="es-CO"/>
        </w:rPr>
        <w:t>cual</w:t>
      </w:r>
      <w:proofErr w:type="gramEnd"/>
      <w:r w:rsidRPr="009342F9">
        <w:rPr>
          <w:rFonts w:ascii="Arial" w:eastAsia="Times New Roman" w:hAnsi="Arial" w:cs="Arial"/>
          <w:color w:val="000000"/>
          <w:lang w:eastAsia="es-CO"/>
        </w:rPr>
        <w:t xml:space="preserve"> si éste reúne las características técnicas establecidas en el contrato de condiciones uniformes, la empresa deberá aceptarlo, o la empresa podrá suministrarlo previa autorización del suscriptor. </w:t>
      </w:r>
    </w:p>
    <w:p w14:paraId="6E9F5CE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2BD2E7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En todo caso, cuando el medidor sea retirado para su reemplazo, éste será entregado al suscriptor, en su condición de propietario </w:t>
      </w:r>
      <w:proofErr w:type="gramStart"/>
      <w:r w:rsidRPr="009342F9">
        <w:rPr>
          <w:rFonts w:ascii="Arial" w:eastAsia="Times New Roman" w:hAnsi="Arial" w:cs="Arial"/>
          <w:color w:val="000000"/>
          <w:lang w:eastAsia="es-CO"/>
        </w:rPr>
        <w:t>del mismo</w:t>
      </w:r>
      <w:proofErr w:type="gramEnd"/>
      <w:r w:rsidRPr="009342F9">
        <w:rPr>
          <w:rFonts w:ascii="Arial" w:eastAsia="Times New Roman" w:hAnsi="Arial" w:cs="Arial"/>
          <w:color w:val="000000"/>
          <w:lang w:eastAsia="es-CO"/>
        </w:rPr>
        <w:t>, salvo indicación expresa de éste en contrario. </w:t>
      </w:r>
    </w:p>
    <w:p w14:paraId="70437401" w14:textId="6AED38EF"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578" w:name="ver_30074990"/>
      <w:bookmarkEnd w:id="1578"/>
    </w:p>
    <w:p w14:paraId="66C6335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2.3.1.3.2.3.17. Mantenimiento de las acometidas y medidores. En ningún caso se permite derivar acometidas desde la red matriz o de la red local sin autorización previa de la entidad prestadora de los servicios públicos. </w:t>
      </w:r>
    </w:p>
    <w:p w14:paraId="5CAC568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A7FCB7C" w14:textId="006756DF" w:rsidR="00FC79C1"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El costo de reparación o reposición de las acometidas y medidores estará a cargo de los suscriptores o usuarios, una vez expirado el período de garantía en los términos del artículo 15 de este capítulo. </w:t>
      </w:r>
    </w:p>
    <w:p w14:paraId="177C5E70" w14:textId="77777777" w:rsidR="00377DAA" w:rsidRPr="009342F9" w:rsidRDefault="00377DAA" w:rsidP="00FC79C1">
      <w:pPr>
        <w:spacing w:after="0" w:line="240" w:lineRule="auto"/>
        <w:jc w:val="both"/>
        <w:rPr>
          <w:rFonts w:ascii="Arial" w:eastAsia="Times New Roman" w:hAnsi="Arial" w:cs="Arial"/>
          <w:color w:val="000000"/>
          <w:lang w:eastAsia="es-CO"/>
        </w:rPr>
      </w:pPr>
    </w:p>
    <w:p w14:paraId="73AE437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Es obligación del suscriptor o usuario mantener la cámara o cajilla de los medidores limpia de escombros, materiales, basuras u otros elementos. </w:t>
      </w:r>
    </w:p>
    <w:p w14:paraId="2BC68087" w14:textId="50CDC0B9" w:rsidR="00F74103" w:rsidRPr="009342F9" w:rsidRDefault="00FC79C1" w:rsidP="00377DAA">
      <w:pPr>
        <w:spacing w:after="0" w:line="240" w:lineRule="auto"/>
        <w:jc w:val="both"/>
        <w:rPr>
          <w:rFonts w:ascii="Arial" w:eastAsia="Times New Roman" w:hAnsi="Arial" w:cs="Arial"/>
          <w:b/>
          <w:bCs/>
          <w:color w:val="000000"/>
          <w:lang w:eastAsia="es-CO"/>
        </w:rPr>
      </w:pPr>
      <w:r w:rsidRPr="009342F9">
        <w:rPr>
          <w:rFonts w:ascii="Arial" w:eastAsia="Times New Roman" w:hAnsi="Arial" w:cs="Arial"/>
          <w:color w:val="000000"/>
          <w:lang w:eastAsia="es-CO"/>
        </w:rPr>
        <w:t>  </w:t>
      </w:r>
      <w:bookmarkStart w:id="1579" w:name="ver_30074991"/>
      <w:bookmarkEnd w:id="1579"/>
    </w:p>
    <w:p w14:paraId="5866733F" w14:textId="23310CD8" w:rsidR="00FC79C1" w:rsidRPr="009342F9" w:rsidRDefault="00FC79C1" w:rsidP="00F74103">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SUBSECCION 4</w:t>
      </w:r>
    </w:p>
    <w:p w14:paraId="6D601804" w14:textId="77777777" w:rsidR="00FC79C1" w:rsidRPr="009342F9" w:rsidRDefault="00FC79C1" w:rsidP="00F74103">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DEL MANTENIMIENTO DE LAS INSTALACIONES DOMICILIARIAS</w:t>
      </w:r>
    </w:p>
    <w:p w14:paraId="1A865362"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580" w:name="ver_30074992"/>
      <w:bookmarkEnd w:id="1580"/>
    </w:p>
    <w:p w14:paraId="2E3988E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2.3.1.3.2.4.18. Mantenimiento de las instalaciones domiciliarias. El mantenimiento de las redes internas de acueducto y alcantarillado no es responsabilidad de la entidad prestadora de los servicios públicos, pero ésta podrá revisar tales instalaciones y exigir las adecuaciones y reparaciones que estime necesarias para la correcta utilización del servicio. </w:t>
      </w:r>
    </w:p>
    <w:p w14:paraId="7044F50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0781C5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Cada usuario del servicio deberá mantener en buen estado la instalación domiciliaria del inmueble que ocupe y, en consecuencia, la entidad prestadora de los servicios públicos no asumirá responsabilidad alguna derivada de modificaciones realizadas en ella. De todas </w:t>
      </w:r>
      <w:proofErr w:type="gramStart"/>
      <w:r w:rsidRPr="009342F9">
        <w:rPr>
          <w:rFonts w:ascii="Arial" w:eastAsia="Times New Roman" w:hAnsi="Arial" w:cs="Arial"/>
          <w:color w:val="000000"/>
          <w:lang w:eastAsia="es-CO"/>
        </w:rPr>
        <w:t>formas</w:t>
      </w:r>
      <w:proofErr w:type="gramEnd"/>
      <w:r w:rsidRPr="009342F9">
        <w:rPr>
          <w:rFonts w:ascii="Arial" w:eastAsia="Times New Roman" w:hAnsi="Arial" w:cs="Arial"/>
          <w:color w:val="000000"/>
          <w:lang w:eastAsia="es-CO"/>
        </w:rPr>
        <w:t xml:space="preserve"> los usuarios deben preservar la presión mínima definida en el Reglamento Técnico del Sector de Agua Potable y Saneamiento Básico. </w:t>
      </w:r>
    </w:p>
    <w:p w14:paraId="3AE38AD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6517EF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Cuando el suscriptor o usuario lo solicite o cuando se presenten consumos de agua excesivos e injustificados, la entidad prestadora de los servicios públicos deberá efectuar una revisión de las redes internas a fin de establecer si hay deterioro en ellas y, de ser el caso, podrá hacer las sugerencias que considere oportunas para su reparación. </w:t>
      </w:r>
    </w:p>
    <w:p w14:paraId="79EAB5A5" w14:textId="7DB50FF1"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581" w:name="ver_30074994"/>
      <w:bookmarkEnd w:id="1581"/>
    </w:p>
    <w:p w14:paraId="3C47613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2.3.1.3.2.4.19. Mantenimiento de las redes públicas. La entidad prestadora de los servicios públicos está en la obligación de hacer el mantenimiento y reparación de las redes públicas de acueducto y alcantarillado. Así mismo deberá contar con un archivo referente a la fecha de construcción de las redes, especificaciones técnicas y demás información necesaria para el mantenimiento y reposición de </w:t>
      </w:r>
      <w:proofErr w:type="gramStart"/>
      <w:r w:rsidRPr="009342F9">
        <w:rPr>
          <w:rFonts w:ascii="Arial" w:eastAsia="Times New Roman" w:hAnsi="Arial" w:cs="Arial"/>
          <w:color w:val="000000"/>
          <w:lang w:eastAsia="es-CO"/>
        </w:rPr>
        <w:t>la misma</w:t>
      </w:r>
      <w:proofErr w:type="gramEnd"/>
      <w:r w:rsidRPr="009342F9">
        <w:rPr>
          <w:rFonts w:ascii="Arial" w:eastAsia="Times New Roman" w:hAnsi="Arial" w:cs="Arial"/>
          <w:color w:val="000000"/>
          <w:lang w:eastAsia="es-CO"/>
        </w:rPr>
        <w:t>. </w:t>
      </w:r>
    </w:p>
    <w:p w14:paraId="49911EC4" w14:textId="727CED79" w:rsidR="00F74103"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582" w:name="ver_30074996"/>
      <w:bookmarkEnd w:id="1582"/>
    </w:p>
    <w:p w14:paraId="2A9686C1" w14:textId="77777777" w:rsidR="002A08F3" w:rsidRPr="009342F9" w:rsidRDefault="002A08F3" w:rsidP="00FC79C1">
      <w:pPr>
        <w:spacing w:after="0" w:line="240" w:lineRule="auto"/>
        <w:jc w:val="both"/>
        <w:rPr>
          <w:rFonts w:ascii="Arial" w:eastAsia="Times New Roman" w:hAnsi="Arial" w:cs="Arial"/>
          <w:color w:val="000000"/>
          <w:lang w:eastAsia="es-CO"/>
        </w:rPr>
      </w:pPr>
    </w:p>
    <w:p w14:paraId="10688F0F" w14:textId="793D8E83" w:rsidR="00FC79C1" w:rsidRPr="009342F9" w:rsidRDefault="00FC79C1" w:rsidP="00F74103">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lastRenderedPageBreak/>
        <w:t>SUBSECCION 5</w:t>
      </w:r>
    </w:p>
    <w:p w14:paraId="1644F583" w14:textId="77777777" w:rsidR="00FC79C1" w:rsidRPr="009342F9" w:rsidRDefault="00FC79C1" w:rsidP="00F74103">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CAUSALES DE SUSPENSIÓN DE LOS SERVICIOS</w:t>
      </w:r>
    </w:p>
    <w:p w14:paraId="6E8B6BDE" w14:textId="77777777" w:rsidR="00FC79C1" w:rsidRPr="009342F9" w:rsidRDefault="00FC79C1" w:rsidP="00F74103">
      <w:pPr>
        <w:spacing w:after="0" w:line="240" w:lineRule="auto"/>
        <w:jc w:val="center"/>
        <w:rPr>
          <w:rFonts w:ascii="Arial" w:eastAsia="Times New Roman" w:hAnsi="Arial" w:cs="Arial"/>
          <w:b/>
          <w:bCs/>
          <w:color w:val="000000"/>
          <w:lang w:eastAsia="es-CO"/>
        </w:rPr>
      </w:pPr>
      <w:bookmarkStart w:id="1583" w:name="ver_30074998"/>
      <w:bookmarkEnd w:id="1583"/>
    </w:p>
    <w:p w14:paraId="75B6163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2.3.1.3.2.5.20. Suspensión de común acuerdo. En desarrollo del artículo 138 de la Ley 142 de 1994, podrán suspenderse los servicios de acueducto y alcantarillado cuando lo solicite un suscriptor o usuario, si convienen en ello la entidad prestadora de los servicios públicos y los terceros que puedan resultar afectados. De la misma manera podrán las partes terminar el contrato. </w:t>
      </w:r>
    </w:p>
    <w:p w14:paraId="7745964D" w14:textId="77777777" w:rsidR="00377DAA" w:rsidRDefault="00377DAA" w:rsidP="00FC79C1">
      <w:pPr>
        <w:spacing w:after="0" w:line="240" w:lineRule="auto"/>
        <w:jc w:val="both"/>
        <w:rPr>
          <w:rFonts w:ascii="Arial" w:eastAsia="Times New Roman" w:hAnsi="Arial" w:cs="Arial"/>
          <w:color w:val="000000"/>
          <w:lang w:eastAsia="es-CO"/>
        </w:rPr>
      </w:pPr>
      <w:bookmarkStart w:id="1584" w:name="ver_30075000"/>
      <w:bookmarkEnd w:id="1584"/>
    </w:p>
    <w:p w14:paraId="15EDE69D" w14:textId="1AEC5355"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2.3.1.3.2.5.21. Comunicación de la suspensión. La entidad prestadora de los servicios públicos deberá informar a la comunidad los términos y motivos de la suspensión de los servicios de acueducto y alcantarillado, con una anticipación no inferior a veinticuatro (24) horas de la suspensión. </w:t>
      </w:r>
    </w:p>
    <w:p w14:paraId="74477758" w14:textId="47BD3DF8"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585" w:name="ver_30075001"/>
      <w:bookmarkEnd w:id="1585"/>
    </w:p>
    <w:p w14:paraId="74BA4E6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2.3.1.3.2.5.22. Suspensión en interés del servicio. No es falla en la prestación del servicio la suspensión que haga la entidad prestadora de los servicios públicos con los siguientes fines: </w:t>
      </w:r>
    </w:p>
    <w:p w14:paraId="2A5E7A6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58A385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Realizar reparaciones técnicas, mantenimientos periódicos y racionamientos por motivos de fuerza mayor, siempre que de ello se dé aviso amplio y oportuno a los suscriptores o usuarios. </w:t>
      </w:r>
    </w:p>
    <w:p w14:paraId="22A0AF5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9742E0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Que se haya empleado toda la diligencia posible dentro de las circunstancias para que el suscriptor o usuario pueda hacer valer sus derechos. </w:t>
      </w:r>
    </w:p>
    <w:p w14:paraId="4916483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6DE1E8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La entidad prestadora de los servicios públicos deberá informar a la comunidad los términos de la suspensión del servicio, con una anticipación no inferior a veinticuatro (24) horas, salvo en caso fortuito o de fuerza mayor. </w:t>
      </w:r>
    </w:p>
    <w:p w14:paraId="12B407BC"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586" w:name="ver_30075003"/>
      <w:bookmarkEnd w:id="1586"/>
      <w:r w:rsidRPr="009342F9">
        <w:rPr>
          <w:rFonts w:ascii="Arial" w:eastAsia="Times New Roman" w:hAnsi="Arial" w:cs="Arial"/>
          <w:color w:val="000000"/>
          <w:lang w:eastAsia="es-CO"/>
        </w:rPr>
        <w:t>Artículo 2.3.1.3.2.5.23. Suspensión por incumplimiento del contrato de condiciones uniformes. El incumplimiento del contrato por parte del suscriptor o usuario da lugar a la suspensión unilateral del servicio por parte de la entidad prestadora de los servicios públicos, en los siguientes eventos: </w:t>
      </w:r>
    </w:p>
    <w:p w14:paraId="1F99608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A18315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La falta de pago por el término que fije la entidad prestadora de los servicios públicos, sin exceder en todo caso de tres (3) períodos de facturación del servicio, salvo que exista reclamación o recurso interpuesto. La reincidencia de esta conducta en un período de dos (2) años, dará lugar al corte del servicio. </w:t>
      </w:r>
    </w:p>
    <w:p w14:paraId="6D28E55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4F215B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La alteración inconsulta y unilateral, por parte del usuario o suscriptor, de las condiciones contractuales de prestación de los servicios que el presente decreto reglamenta. </w:t>
      </w:r>
    </w:p>
    <w:p w14:paraId="6636E2D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2AA47F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Realizar conexiones fraudulentas o sin autorización de la entidad prestadora de los servicios públicos. </w:t>
      </w:r>
    </w:p>
    <w:p w14:paraId="3998EA5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A61CF6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Dar al servicio público domiciliario un uso distinto del declarado o convenido con la entidad prestadora de los servicios públicos. </w:t>
      </w:r>
    </w:p>
    <w:p w14:paraId="555DD80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C34DD2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 Proporcionar un servicio público domiciliario a otro inmueble o usuario distinto del beneficiario del servicio. </w:t>
      </w:r>
    </w:p>
    <w:p w14:paraId="6314265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7107C6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6. Realizar modificaciones en las acometidas o conexiones, sin autorización previa de la Entidad Prestadora de los Servicios Públicos. </w:t>
      </w:r>
    </w:p>
    <w:p w14:paraId="6E8235B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454933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7. Aumentar, sin autorización de la entidad prestadora de los servicios públicos, los diámetros de las acometidas, la capacidad instalada y el número de derivaciones. </w:t>
      </w:r>
    </w:p>
    <w:p w14:paraId="0B9F784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FD5D51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8. Adulterar las conexiones y/o aparatos de medición o de control, o alterar su normal funcionamiento. </w:t>
      </w:r>
    </w:p>
    <w:p w14:paraId="495DC8D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DEFFF4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9. Dañar o retirar el aparato de medida; retirar, romper o adulterar cualquiera de los sellos instalados en los equipos de medida, protección, control o gabinete, o cuando se verifique que los existentes no correspondan a los reglamentados por la entidad prestadora de los servicios públicos. </w:t>
      </w:r>
    </w:p>
    <w:p w14:paraId="6B21590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962372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10. Efectuar, sin autorización, una reconexión cuando el servicio ha sido suspendido. </w:t>
      </w:r>
    </w:p>
    <w:p w14:paraId="47EA3DD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052376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11. Cancelar facturas con cheques que no sean pagados por el banco respectivo, salvo que exista causa justificada de no pago, sin perjuicio de las acciones legales pertinentes, o cuando se cancele el servicio con una cuenta de cobro adulterada. </w:t>
      </w:r>
    </w:p>
    <w:p w14:paraId="6D23E79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577A9A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12. Interferir en la utilización, operación o mantenimiento de las líneas, redes y demás equipos necesarios para suministrar el servicio público domiciliario, sean de propiedad de la entidad prestadora de los servicios públicos o de los suscriptores. </w:t>
      </w:r>
    </w:p>
    <w:p w14:paraId="2AB3426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A075D1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13. Impedir a los funcionarios, autorizados por la entidad prestadora de los servicios públicos y debidamente identificados, la inspección de las instalaciones internas, equipos de medida o de lectura de los medidores. </w:t>
      </w:r>
    </w:p>
    <w:p w14:paraId="478BC00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752C9F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14. No permitir el traslado del equipo de medición, la reparación o cambio justificado del mismo, cuando ello sea necesario para garantizar una correcta medición. </w:t>
      </w:r>
    </w:p>
    <w:p w14:paraId="1E1B31D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45403E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15. No ejecutar dentro del plazo fijado, la adecuación de las instalaciones internas a las normas vigentes y requeridas por razones técnicas o por seguridad en el suministro del servicio. </w:t>
      </w:r>
    </w:p>
    <w:p w14:paraId="7625DBD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56F2EF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16. Conectar equipos a las acometidas y redes sin la autorización de la entidad prestadora de los servicios públicos. </w:t>
      </w:r>
    </w:p>
    <w:p w14:paraId="356A1A7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28530E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17. Efectuar sin autorización de la entidad prestadora de los servicios públicos una reconexión cuando el servicio se encuentre suspendido. </w:t>
      </w:r>
    </w:p>
    <w:p w14:paraId="0AB2BFB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6711A6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18. Cuando el urbanizador destine un inmueble a un fin distinto del previsto en la respectiva licencia de construcción y/o urbanización, o cuando se construya un inmueble careciendo de ésta, estando los usuarios o suscriptores obligados a obtener la respectiva licencia. </w:t>
      </w:r>
    </w:p>
    <w:p w14:paraId="3C0FD71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6BB3AC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19. Interconectar las tuberías de acueducto atendidas por la entidad prestadora de los servicios públicos con cualquier otra fuente de agua. </w:t>
      </w:r>
    </w:p>
    <w:p w14:paraId="17CA278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15B33F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Parágrafo. El servicio a las pilas públicas, fuentes públicas ornamentales y parques </w:t>
      </w:r>
      <w:proofErr w:type="gramStart"/>
      <w:r w:rsidRPr="009342F9">
        <w:rPr>
          <w:rFonts w:ascii="Arial" w:eastAsia="Times New Roman" w:hAnsi="Arial" w:cs="Arial"/>
          <w:color w:val="000000"/>
          <w:lang w:eastAsia="es-CO"/>
        </w:rPr>
        <w:t>públicos,</w:t>
      </w:r>
      <w:proofErr w:type="gramEnd"/>
      <w:r w:rsidRPr="009342F9">
        <w:rPr>
          <w:rFonts w:ascii="Arial" w:eastAsia="Times New Roman" w:hAnsi="Arial" w:cs="Arial"/>
          <w:color w:val="000000"/>
          <w:lang w:eastAsia="es-CO"/>
        </w:rPr>
        <w:t xml:space="preserve"> se suspenderá cuando se realicen derivaciones para otros fines. </w:t>
      </w:r>
    </w:p>
    <w:p w14:paraId="07DD8021" w14:textId="77777777" w:rsidR="00377DAA" w:rsidRDefault="00377DAA" w:rsidP="00FC79C1">
      <w:pPr>
        <w:spacing w:after="0" w:line="240" w:lineRule="auto"/>
        <w:jc w:val="both"/>
        <w:rPr>
          <w:rFonts w:ascii="Arial" w:eastAsia="Times New Roman" w:hAnsi="Arial" w:cs="Arial"/>
          <w:color w:val="000000"/>
          <w:lang w:eastAsia="es-CO"/>
        </w:rPr>
      </w:pPr>
      <w:bookmarkStart w:id="1587" w:name="ver_30075005"/>
      <w:bookmarkEnd w:id="1587"/>
    </w:p>
    <w:p w14:paraId="31E1A089" w14:textId="330953B8" w:rsidR="00FC79C1" w:rsidRPr="009342F9" w:rsidRDefault="00FC79C1" w:rsidP="00FC79C1">
      <w:pPr>
        <w:spacing w:after="0" w:line="240" w:lineRule="auto"/>
        <w:jc w:val="both"/>
        <w:rPr>
          <w:rFonts w:ascii="Arial" w:eastAsia="Times New Roman" w:hAnsi="Arial" w:cs="Arial"/>
          <w:color w:val="000000"/>
          <w:lang w:eastAsia="es-CO"/>
        </w:rPr>
      </w:pPr>
      <w:r w:rsidRPr="231E957E">
        <w:rPr>
          <w:rFonts w:ascii="Arial" w:eastAsia="Times New Roman" w:hAnsi="Arial" w:cs="Arial"/>
          <w:color w:val="000000" w:themeColor="text1"/>
          <w:lang w:eastAsia="es-CO"/>
        </w:rPr>
        <w:t>Artículo 2.3.1.3.2.5.24. Derechos de los usuarios. Cuando ocurren fallas continuas en la prestación del servicio durante quince (15) días o más, dentro de un mismo período de facturación, la entidad prestadora de los servicios públicos no podrá facturar el cargo fijo de dicho período. </w:t>
      </w:r>
    </w:p>
    <w:p w14:paraId="6366C22B" w14:textId="5F5623B0" w:rsidR="00FC79C1" w:rsidRPr="009342F9" w:rsidRDefault="00FC79C1" w:rsidP="00F74103">
      <w:pPr>
        <w:spacing w:after="0" w:line="240" w:lineRule="auto"/>
        <w:jc w:val="center"/>
        <w:rPr>
          <w:rFonts w:ascii="Arial" w:eastAsia="Times New Roman" w:hAnsi="Arial" w:cs="Arial"/>
          <w:b/>
          <w:bCs/>
          <w:color w:val="000000"/>
          <w:lang w:eastAsia="es-CO"/>
        </w:rPr>
      </w:pPr>
      <w:bookmarkStart w:id="1588" w:name="ver_30075007"/>
      <w:bookmarkEnd w:id="1588"/>
      <w:r w:rsidRPr="009342F9">
        <w:rPr>
          <w:rFonts w:ascii="Arial" w:eastAsia="Times New Roman" w:hAnsi="Arial" w:cs="Arial"/>
          <w:b/>
          <w:bCs/>
          <w:color w:val="000000"/>
          <w:lang w:eastAsia="es-CO"/>
        </w:rPr>
        <w:lastRenderedPageBreak/>
        <w:t>SUBSECCION 6</w:t>
      </w:r>
    </w:p>
    <w:p w14:paraId="7833E7B3" w14:textId="77777777" w:rsidR="00FC79C1" w:rsidRPr="009342F9" w:rsidRDefault="00FC79C1" w:rsidP="00F74103">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CAUSALES DE CORTE Y TERMINACIÓN DEL CONTRATO</w:t>
      </w:r>
    </w:p>
    <w:p w14:paraId="7A4CB66F" w14:textId="77777777" w:rsidR="00FC79C1" w:rsidRPr="009342F9" w:rsidRDefault="00FC79C1" w:rsidP="00F74103">
      <w:pPr>
        <w:spacing w:after="0" w:line="240" w:lineRule="auto"/>
        <w:jc w:val="center"/>
        <w:rPr>
          <w:rFonts w:ascii="Arial" w:eastAsia="Times New Roman" w:hAnsi="Arial" w:cs="Arial"/>
          <w:b/>
          <w:bCs/>
          <w:color w:val="000000"/>
          <w:lang w:eastAsia="es-CO"/>
        </w:rPr>
      </w:pPr>
      <w:bookmarkStart w:id="1589" w:name="ver_30075009"/>
      <w:bookmarkEnd w:id="1589"/>
    </w:p>
    <w:p w14:paraId="6BFFBCA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2.3.1.3.2.6.25. De las causales de corte de los servicios. Son causales de corte del servicio, la reincidencia en las causales de suspensión establecidas en la subsección 5ta del presente decreto, durante un período no superior a dos (2) años. Adicionalmente, el incumplimiento reiterado del contrato de prestación de servicios, en las condiciones de tipo y frecuencia que determine la entidad prestadora de los servicios públicos, siempre y cuando no constituya una causal de suspensión del servicio. </w:t>
      </w:r>
    </w:p>
    <w:p w14:paraId="06A37575" w14:textId="3B423C03"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590" w:name="ver_30075011"/>
      <w:bookmarkEnd w:id="1590"/>
    </w:p>
    <w:p w14:paraId="47DDC8D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2.3.1.3.2.6.26. De las causales de terminación del contrato y corte del servicio. La entidad prestadora de los servicios </w:t>
      </w:r>
      <w:proofErr w:type="gramStart"/>
      <w:r w:rsidRPr="009342F9">
        <w:rPr>
          <w:rFonts w:ascii="Arial" w:eastAsia="Times New Roman" w:hAnsi="Arial" w:cs="Arial"/>
          <w:color w:val="000000"/>
          <w:lang w:eastAsia="es-CO"/>
        </w:rPr>
        <w:t>públicos,</w:t>
      </w:r>
      <w:proofErr w:type="gramEnd"/>
      <w:r w:rsidRPr="009342F9">
        <w:rPr>
          <w:rFonts w:ascii="Arial" w:eastAsia="Times New Roman" w:hAnsi="Arial" w:cs="Arial"/>
          <w:color w:val="000000"/>
          <w:lang w:eastAsia="es-CO"/>
        </w:rPr>
        <w:t xml:space="preserve"> solamente podrá incluir en el contrato de condiciones uniformes las siguientes causales de terminación del contrato y corte del servicio: </w:t>
      </w:r>
    </w:p>
    <w:p w14:paraId="226DE66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D2D97A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La falta de pago de tres (3) facturas de servicios o la reincidencia en una causal de suspensión dentro de un período de dos (2) años. </w:t>
      </w:r>
    </w:p>
    <w:p w14:paraId="0920848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F89811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Cuando se verifique la instalación de acometidas fraudulentas por reincidencia en el número de veces que establezca la Entidad Prestadora de los Servicios en virtud de este decreto. </w:t>
      </w:r>
    </w:p>
    <w:p w14:paraId="1929485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FC8D8F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La demolición del inmueble en el cual se prestaba el servicio, sin perjuicio de los derechos de la entidad prestadora de los servicios públicos a realizar los cobros a que haya lugar. </w:t>
      </w:r>
    </w:p>
    <w:p w14:paraId="37377D4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6CCE91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La suspensión del servicio por un período continúo superior a seis (6) meses, excepto cuando la suspensión haya sido solicitada por el suscriptor, y/o cuando la suspensión obedezca a causas provocadas por la entidad prestadora de los servicios públicos. </w:t>
      </w:r>
    </w:p>
    <w:p w14:paraId="5E165C2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ADA7E1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 La reconexión del servicio no autorizada, por más de dos (2) veces consecutivas, sin que se haya eliminado la causa que dio origen a la suspensión. </w:t>
      </w:r>
    </w:p>
    <w:p w14:paraId="4B231E9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D59DE4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6. La adulteración por más de dos (2) veces de las conexiones, aparatos de medición, equipos de control y sellos, o alteraciones que impidan el funcionamiento normal de los mismos. </w:t>
      </w:r>
    </w:p>
    <w:p w14:paraId="1BB1059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130236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7. Cuando el constructor o urbanizador haga uso indebido de la conexión temporal. (Modificado por el Decreto 229 de 2002, artículo 8º).  </w:t>
      </w:r>
    </w:p>
    <w:p w14:paraId="149738FE" w14:textId="269B37ED"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591" w:name="ver_30075012"/>
      <w:bookmarkEnd w:id="1591"/>
    </w:p>
    <w:p w14:paraId="08721C8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2.3.1.3.2.6.27. De la obligación de los constructores o urbanizadores. El constructor o urbanizador deberá informar a la entidad prestadora de los servicios públicos la terminación de la conexión temporal, so pena de la sanción establecida en el contrato que se lleva a cabo entre las partes para la conexión temporal, para que éste inicie la facturación individual del inmueble o de los inmuebles que se someten al reglamento de propiedad horizontal. </w:t>
      </w:r>
    </w:p>
    <w:p w14:paraId="1CBC252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8E9398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 Superintendencia de Servicios Públicos Domiciliarios, sancionará a la entidad prestadora de los servicios públicos, cuando a pesar de ser informada por el constructor o urbanizador responsable, no tome las medidas para la medición y la facturación de los usuarios o suscriptores. </w:t>
      </w:r>
    </w:p>
    <w:p w14:paraId="6BE5028F" w14:textId="01514298"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592" w:name="ver_30075013"/>
      <w:bookmarkEnd w:id="1592"/>
    </w:p>
    <w:p w14:paraId="4BA0135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2.3.1.3.2.6.28. Del restablecimiento del servicio en caso de corte. Para el restablecimiento del servicio, el interesado deberá cumplir con los requisitos para las solicitudes nuevas y pagar las deudas pendientes que a nombre de éste y del respectivo inmueble existan, así como las sanciones pecuniarias, los intereses moratorios de ley y las tarifas de reinstalación. </w:t>
      </w:r>
    </w:p>
    <w:p w14:paraId="3538CDE2" w14:textId="657B1C32"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w:t>
      </w:r>
      <w:bookmarkStart w:id="1593" w:name="ver_30075014"/>
      <w:bookmarkEnd w:id="1593"/>
    </w:p>
    <w:p w14:paraId="5F3F373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2.3.1.3.2.6.29. Del restablecimiento del servicio en caso de suspensión. Para restablecer el suministro del servicio es necesario que se elimine la causa que originó la suspensión, se cancelen las tarifas de reconexión y reinstalación, así como los demás pagos a que hubiere lugar. </w:t>
      </w:r>
    </w:p>
    <w:p w14:paraId="1736D45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D7DA5E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 reanudación del servicio deberá realizarse a más tardar dentro de los dos (2) días hábiles siguientes al pago, so pena de perder la empresa a favor del suscriptor y/o usuario el valor de la sanción por reconexión, el cual se deberá abonar a la cuenta de cobro inmediatamente posterior. </w:t>
      </w:r>
    </w:p>
    <w:p w14:paraId="4852C95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B02E57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todo caso, no podrá cobrarse suma alguna por concepto de reconexión, cuando el servicio no hubiere sido efectivamente suspendido. </w:t>
      </w:r>
    </w:p>
    <w:p w14:paraId="61A8DB63" w14:textId="5222CDA6" w:rsidR="00F74103"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594" w:name="ver_30075015"/>
      <w:bookmarkEnd w:id="1594"/>
    </w:p>
    <w:p w14:paraId="5CDE4DB7" w14:textId="5AA0B0BB" w:rsidR="00FC79C1" w:rsidRPr="009342F9" w:rsidRDefault="00FC79C1" w:rsidP="00F74103">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SUBSECCION 7</w:t>
      </w:r>
    </w:p>
    <w:p w14:paraId="57584B02" w14:textId="77777777" w:rsidR="00FC79C1" w:rsidRDefault="00FC79C1" w:rsidP="00F74103">
      <w:pPr>
        <w:spacing w:after="0" w:line="240" w:lineRule="auto"/>
        <w:jc w:val="center"/>
        <w:rPr>
          <w:rFonts w:ascii="Arial" w:eastAsia="Times New Roman" w:hAnsi="Arial" w:cs="Arial"/>
          <w:b/>
          <w:bCs/>
          <w:color w:val="000000"/>
          <w:lang w:eastAsia="es-CO"/>
        </w:rPr>
      </w:pPr>
      <w:r w:rsidRPr="231E957E">
        <w:rPr>
          <w:rFonts w:ascii="Arial" w:eastAsia="Times New Roman" w:hAnsi="Arial" w:cs="Arial"/>
          <w:b/>
          <w:color w:val="000000" w:themeColor="text1"/>
          <w:lang w:eastAsia="es-CO"/>
        </w:rPr>
        <w:t>DE LOS SERVICIOS COMUNITARIOS</w:t>
      </w:r>
    </w:p>
    <w:p w14:paraId="654CAF3A" w14:textId="77777777" w:rsidR="005C5EEB" w:rsidRPr="009342F9" w:rsidRDefault="005C5EEB" w:rsidP="00F74103">
      <w:pPr>
        <w:spacing w:after="0" w:line="240" w:lineRule="auto"/>
        <w:jc w:val="center"/>
        <w:rPr>
          <w:rFonts w:ascii="Arial" w:eastAsia="Times New Roman" w:hAnsi="Arial" w:cs="Arial"/>
          <w:b/>
          <w:bCs/>
          <w:color w:val="000000"/>
          <w:lang w:eastAsia="es-CO"/>
        </w:rPr>
      </w:pPr>
    </w:p>
    <w:p w14:paraId="71426A49" w14:textId="77777777" w:rsidR="00FC79C1" w:rsidRPr="009342F9" w:rsidRDefault="00FC79C1" w:rsidP="00F74103">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SUBSUBSECCION 1</w:t>
      </w:r>
    </w:p>
    <w:p w14:paraId="1BF45534" w14:textId="77777777" w:rsidR="00FC79C1" w:rsidRPr="009342F9" w:rsidRDefault="00FC79C1" w:rsidP="00F74103">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PILAS PÚBLICAS</w:t>
      </w:r>
    </w:p>
    <w:p w14:paraId="077567E9"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595" w:name="ver_30075016"/>
      <w:bookmarkEnd w:id="1595"/>
    </w:p>
    <w:p w14:paraId="3E201C1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2.3.1.3.2.7.1.30. Solicitud del servicio. A solicitud de la respectiva Junta de Acción Comunal o Entidad Asociativa legalmente constituida, la entidad prestadora de los servicios públicos instalará pilas públicas para atender las necesidades de asentamientos subnormales, sin urbanizador responsable y distante de una red local de acueducto. </w:t>
      </w:r>
    </w:p>
    <w:p w14:paraId="4EE5E4A8"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596" w:name="ver_30075017"/>
      <w:bookmarkEnd w:id="1596"/>
    </w:p>
    <w:p w14:paraId="6481D21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2.3.1.3.2.7.1.31. Costo de instalación. El costo de instalación, dotación, medidor, mantenimiento y consumo de la pila </w:t>
      </w:r>
      <w:proofErr w:type="gramStart"/>
      <w:r w:rsidRPr="009342F9">
        <w:rPr>
          <w:rFonts w:ascii="Arial" w:eastAsia="Times New Roman" w:hAnsi="Arial" w:cs="Arial"/>
          <w:color w:val="000000"/>
          <w:lang w:eastAsia="es-CO"/>
        </w:rPr>
        <w:t>pública</w:t>
      </w:r>
      <w:proofErr w:type="gramEnd"/>
      <w:r w:rsidRPr="009342F9">
        <w:rPr>
          <w:rFonts w:ascii="Arial" w:eastAsia="Times New Roman" w:hAnsi="Arial" w:cs="Arial"/>
          <w:color w:val="000000"/>
          <w:lang w:eastAsia="es-CO"/>
        </w:rPr>
        <w:t xml:space="preserve"> así como el drenaje de sus aguas, estará a cargo de la respectiva junta de acción comunal o entidad asociativa. </w:t>
      </w:r>
    </w:p>
    <w:p w14:paraId="63661DD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9454996"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597" w:name="ver_30075018"/>
      <w:bookmarkEnd w:id="1597"/>
      <w:r w:rsidRPr="009342F9">
        <w:rPr>
          <w:rFonts w:ascii="Arial" w:eastAsia="Times New Roman" w:hAnsi="Arial" w:cs="Arial"/>
          <w:color w:val="000000"/>
          <w:lang w:eastAsia="es-CO"/>
        </w:rPr>
        <w:t>Artículo 2.3.1.3.2.7.1.32. Registro de las pilas públicas. La entidad prestadora de los servicios públicos mantendrá actualizado el registro de las pilas públicas y de los medidores colectivos en servicio, con los datos sobre su ubicación y características. </w:t>
      </w:r>
    </w:p>
    <w:p w14:paraId="4C20FA63" w14:textId="6BDCF479" w:rsidR="00F74103"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598" w:name="ver_30075019"/>
      <w:bookmarkEnd w:id="1598"/>
    </w:p>
    <w:p w14:paraId="0377EAB3" w14:textId="25F53C8F" w:rsidR="00FC79C1" w:rsidRPr="009342F9" w:rsidRDefault="00FC79C1" w:rsidP="00F74103">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SUBSUBSECCIÓN 2</w:t>
      </w:r>
    </w:p>
    <w:p w14:paraId="2A738C53" w14:textId="77777777" w:rsidR="00FC79C1" w:rsidRPr="009342F9" w:rsidRDefault="00FC79C1" w:rsidP="00F74103">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HIDRANTES</w:t>
      </w:r>
    </w:p>
    <w:p w14:paraId="2DDB27F1"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599" w:name="ver_30075020"/>
      <w:bookmarkEnd w:id="1599"/>
    </w:p>
    <w:p w14:paraId="4B980F9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2.3.1.3.2.7.2.33. Instalación de hidrantes públicos. Los hidrantes deben instalarse de acuerdo con las normas que para el efecto determine la Oficina de Planeación Municipal respectiva o el reglamento interno de prestación del servicio adoptado por la entidad, según lo establecido en el parágrafo del artículo 2.3.1.3.1.1.1 del presente Capítulo. </w:t>
      </w:r>
    </w:p>
    <w:p w14:paraId="239AA87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F3D8ED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Debe consultarse con el cuerpo de bomberos local con el fin de definir y estandarizar el tipo y diámetro de las conexiones para manguera que va a utilizar. </w:t>
      </w:r>
    </w:p>
    <w:p w14:paraId="779D64A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C2B74C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Los hidrantes públicos serán instalados oficiosamente por la entidad prestadora de los servicios públicos o a solicitud del interesado, conforme a las determinaciones que en cuanto a su ubicación adopte la Oficina de Planeación, para lo cual definirá las especificaciones y forma de conexión de acuerdo con lo establecido por el Reglamento Técnico del Sector de Agua Potable y Saneamiento Básico. </w:t>
      </w:r>
    </w:p>
    <w:p w14:paraId="5A2C820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884871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Cuando un suscriptor o usuario solicite la instalación de un hidrante público, los costos de las obras y equipos requeridos serán asumidos por éste. Aunque por razón de interés social, la entidad prestadora de los servicios públicos podrá asumir estos costos. </w:t>
      </w:r>
    </w:p>
    <w:p w14:paraId="1EF06EA8" w14:textId="439BE1B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w:t>
      </w:r>
      <w:bookmarkStart w:id="1600" w:name="ver_30075021"/>
      <w:bookmarkEnd w:id="1600"/>
    </w:p>
    <w:p w14:paraId="08D1E7E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2.3.1.3.2.7.2.34. Costo de instalación de los hidrantes públicos. Los hidrantes públicos forman parte integral de la red de acueducto y sus costos de instalación se distribuirán en forma similar a como se distribuyen los costos de las redes locales, salvo lo dispuesto en el inciso final del artículo anterior. </w:t>
      </w:r>
    </w:p>
    <w:p w14:paraId="542AAB41" w14:textId="0D160492"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601" w:name="ver_30075022"/>
      <w:bookmarkEnd w:id="1601"/>
    </w:p>
    <w:p w14:paraId="03F8CA5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2.3.1.3.2.7.2.35. Uso de los hidrantes públicos. Los hidrantes públicos sólo podrán ser utilizados por parte de la entidad prestadora de los servicios públicos y el cuerpo de bomberos. Sin embargo, por motivo de interés general, la entidad prestadora de los servicios públicos podrá autorizar su uso para otros fines, debiendo para ello definir con la entidad solicitante el mecanismo de estimación de los consumos respectivos y los cobros correspondientes. </w:t>
      </w:r>
    </w:p>
    <w:p w14:paraId="742E71BF" w14:textId="3987D888"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602" w:name="ver_30075023"/>
      <w:bookmarkEnd w:id="1602"/>
    </w:p>
    <w:p w14:paraId="34CE9FE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2.3.1.3.2.7.2.36. Condiciones para la instalación de hidrantes privados. La instalación de una red interna de hidrantes para un inmueble estará sujeta a las siguientes condiciones: </w:t>
      </w:r>
    </w:p>
    <w:p w14:paraId="75DA248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CB862A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 Que sea independiente de las instalaciones internas de acueducto del inmueble; </w:t>
      </w:r>
    </w:p>
    <w:p w14:paraId="58AD743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15029C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b) Que tenga acometida diferente con las de las instalaciones internas de acueducto del inmueble. </w:t>
      </w:r>
    </w:p>
    <w:p w14:paraId="4B5EF82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561DF1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 Que esté provista de medidor; </w:t>
      </w:r>
    </w:p>
    <w:p w14:paraId="66B8F5D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0BBE33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d) Que el solicitante cubra los costos de la red y la tarifa de conexión correspondiente a una unidad habitacional en el caso residencial o a una instalación de diámetro de media (1/2) pulgada en el caso no residencial. De todas </w:t>
      </w:r>
      <w:proofErr w:type="gramStart"/>
      <w:r w:rsidRPr="009342F9">
        <w:rPr>
          <w:rFonts w:ascii="Arial" w:eastAsia="Times New Roman" w:hAnsi="Arial" w:cs="Arial"/>
          <w:color w:val="000000"/>
          <w:lang w:eastAsia="es-CO"/>
        </w:rPr>
        <w:t>formas</w:t>
      </w:r>
      <w:proofErr w:type="gramEnd"/>
      <w:r w:rsidRPr="009342F9">
        <w:rPr>
          <w:rFonts w:ascii="Arial" w:eastAsia="Times New Roman" w:hAnsi="Arial" w:cs="Arial"/>
          <w:color w:val="000000"/>
          <w:lang w:eastAsia="es-CO"/>
        </w:rPr>
        <w:t xml:space="preserve"> la instalación debe realizarse bajo la supervisión de la entidad prestadora de los servicios públicos; </w:t>
      </w:r>
    </w:p>
    <w:p w14:paraId="230891F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AD49A8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 Todo consumo originado y registrado en los hidrantes privados que hayan sido causados para atender emergencias y catástrofes naturales, no deberá ocasionar cargo al usuario; previa justificación de la entidad competente. </w:t>
      </w:r>
    </w:p>
    <w:p w14:paraId="356ABBA4" w14:textId="113F387B"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603" w:name="ver_30075024"/>
      <w:bookmarkEnd w:id="1603"/>
    </w:p>
    <w:p w14:paraId="5AAD5F7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2.3.1.3.2.7.2.37. Mantenimiento de los hidrantes. La conservación y reparación de los hidrantes públicos será por cuenta de la entidad prestadora de los servicios públicos, para lo cual el cuerpo de bomberos deberá mantenerla informada de los daños, escapes y condiciones de funcionamiento en los que se encuentre cada uno de ellos. </w:t>
      </w:r>
    </w:p>
    <w:p w14:paraId="432D7A01" w14:textId="107E9121"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604" w:name="ver_30075025"/>
      <w:bookmarkEnd w:id="1604"/>
    </w:p>
    <w:p w14:paraId="42AE4D2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2.3.1.3.2.7.2.38. Facturación del consumo a través de hidrantes. El consumo realizado a través de la red interna de hidrantes del inmueble no dará lugar a cobro alguno cuando se demuestre que el agua fue utilizada para apagar incendios. En caso contrario, el consumo registrado en el medidor de la red interna de hidrantes del inmueble se liquidará con base en las tarifas autorizadas para servicio comercial. </w:t>
      </w:r>
    </w:p>
    <w:p w14:paraId="35E0FF8B" w14:textId="6583D359" w:rsidR="00F74103"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605" w:name="ver_30075026"/>
      <w:bookmarkEnd w:id="1605"/>
    </w:p>
    <w:p w14:paraId="27B07908" w14:textId="283289E6" w:rsidR="00FC79C1" w:rsidRPr="009342F9" w:rsidRDefault="00FC79C1" w:rsidP="00F74103">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SUBSUBSECCION 3</w:t>
      </w:r>
    </w:p>
    <w:p w14:paraId="381FF96E" w14:textId="77777777" w:rsidR="00FC79C1" w:rsidRPr="009342F9" w:rsidRDefault="00FC79C1" w:rsidP="00F74103">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RIEGO DE PARQUES PÚBLICOS</w:t>
      </w:r>
    </w:p>
    <w:p w14:paraId="3DB0BC6A"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606" w:name="ver_30075027"/>
      <w:bookmarkEnd w:id="1606"/>
    </w:p>
    <w:p w14:paraId="403904F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2.3.1.3.2.7.3.39. Registro y control. La entidad prestadora de los servicios públicos mantendrá un censo completo de las acometidas para riego y llevará un registro de </w:t>
      </w:r>
      <w:proofErr w:type="gramStart"/>
      <w:r w:rsidRPr="009342F9">
        <w:rPr>
          <w:rFonts w:ascii="Arial" w:eastAsia="Times New Roman" w:hAnsi="Arial" w:cs="Arial"/>
          <w:color w:val="000000"/>
          <w:lang w:eastAsia="es-CO"/>
        </w:rPr>
        <w:t>las mismas</w:t>
      </w:r>
      <w:proofErr w:type="gramEnd"/>
      <w:r w:rsidRPr="009342F9">
        <w:rPr>
          <w:rFonts w:ascii="Arial" w:eastAsia="Times New Roman" w:hAnsi="Arial" w:cs="Arial"/>
          <w:color w:val="000000"/>
          <w:lang w:eastAsia="es-CO"/>
        </w:rPr>
        <w:t>. </w:t>
      </w:r>
    </w:p>
    <w:p w14:paraId="1D8E8A86" w14:textId="5536CF1D" w:rsidR="00F74103"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607" w:name="ver_30075028"/>
      <w:bookmarkEnd w:id="1607"/>
    </w:p>
    <w:p w14:paraId="1EC0D437" w14:textId="13B839D0" w:rsidR="00FC79C1" w:rsidRDefault="00FC79C1" w:rsidP="00F74103">
      <w:pPr>
        <w:spacing w:after="0" w:line="240" w:lineRule="auto"/>
        <w:jc w:val="center"/>
        <w:rPr>
          <w:rFonts w:ascii="Arial" w:eastAsia="Times New Roman" w:hAnsi="Arial" w:cs="Arial"/>
          <w:b/>
          <w:bCs/>
          <w:color w:val="000000"/>
          <w:lang w:eastAsia="es-CO"/>
        </w:rPr>
      </w:pPr>
      <w:r w:rsidRPr="231E957E">
        <w:rPr>
          <w:rFonts w:ascii="Arial" w:eastAsia="Times New Roman" w:hAnsi="Arial" w:cs="Arial"/>
          <w:b/>
          <w:color w:val="000000" w:themeColor="text1"/>
          <w:lang w:eastAsia="es-CO"/>
        </w:rPr>
        <w:t>SECCION 3</w:t>
      </w:r>
    </w:p>
    <w:p w14:paraId="60C9AD0F" w14:textId="77777777" w:rsidR="005C5EEB" w:rsidRPr="009342F9" w:rsidRDefault="005C5EEB" w:rsidP="00F74103">
      <w:pPr>
        <w:spacing w:after="0" w:line="240" w:lineRule="auto"/>
        <w:jc w:val="center"/>
        <w:rPr>
          <w:rFonts w:ascii="Arial" w:eastAsia="Times New Roman" w:hAnsi="Arial" w:cs="Arial"/>
          <w:b/>
          <w:bCs/>
          <w:color w:val="000000"/>
          <w:lang w:eastAsia="es-CO"/>
        </w:rPr>
      </w:pPr>
    </w:p>
    <w:p w14:paraId="669A12D3" w14:textId="77777777" w:rsidR="00FC79C1" w:rsidRPr="009342F9" w:rsidRDefault="00FC79C1" w:rsidP="00F74103">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SUBSECCION 1</w:t>
      </w:r>
    </w:p>
    <w:p w14:paraId="3FD1287B" w14:textId="77777777" w:rsidR="00FC79C1" w:rsidRPr="009342F9" w:rsidRDefault="00FC79C1" w:rsidP="00F74103">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lastRenderedPageBreak/>
        <w:t>DISPOSICIONES VARIAS</w:t>
      </w:r>
    </w:p>
    <w:p w14:paraId="560ACBE0" w14:textId="77777777" w:rsidR="00FC79C1" w:rsidRPr="009342F9" w:rsidRDefault="00FC79C1" w:rsidP="00F74103">
      <w:pPr>
        <w:spacing w:after="0" w:line="240" w:lineRule="auto"/>
        <w:jc w:val="center"/>
        <w:rPr>
          <w:rFonts w:ascii="Arial" w:eastAsia="Times New Roman" w:hAnsi="Arial" w:cs="Arial"/>
          <w:b/>
          <w:bCs/>
          <w:color w:val="000000"/>
          <w:lang w:eastAsia="es-CO"/>
        </w:rPr>
      </w:pPr>
      <w:bookmarkStart w:id="1608" w:name="ver_30075029"/>
      <w:bookmarkEnd w:id="1608"/>
    </w:p>
    <w:p w14:paraId="773C3E5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2.3.1.3.3.1.40. Sujeción al régimen. Por el hecho de solicitar el servicio de acueducto y alcantarillado, el usuario acepta las condiciones establecidas en el reglamento interno de la entidad. La entidad prestadora de los servicios públicos deberá informar al usuario al momento de recibir el formulario de solicitud del servicio sobre las condiciones </w:t>
      </w:r>
      <w:proofErr w:type="gramStart"/>
      <w:r w:rsidRPr="009342F9">
        <w:rPr>
          <w:rFonts w:ascii="Arial" w:eastAsia="Times New Roman" w:hAnsi="Arial" w:cs="Arial"/>
          <w:color w:val="000000"/>
          <w:lang w:eastAsia="es-CO"/>
        </w:rPr>
        <w:t>del mismo</w:t>
      </w:r>
      <w:proofErr w:type="gramEnd"/>
      <w:r w:rsidRPr="009342F9">
        <w:rPr>
          <w:rFonts w:ascii="Arial" w:eastAsia="Times New Roman" w:hAnsi="Arial" w:cs="Arial"/>
          <w:color w:val="000000"/>
          <w:lang w:eastAsia="es-CO"/>
        </w:rPr>
        <w:t>. </w:t>
      </w:r>
    </w:p>
    <w:p w14:paraId="01DD2D18" w14:textId="1CAC4DF3"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609" w:name="ver_30075030"/>
      <w:bookmarkEnd w:id="1609"/>
    </w:p>
    <w:p w14:paraId="1D179EC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2.3.1.3.3.1.41. Cumplimiento de normas ambientales. Las entidades prestadoras de los servicios públicos domiciliarios de acueducto y alcantarillado, así como sus usuarios o suscriptores, deberán cumplir las normas ambientales vigentes. </w:t>
      </w:r>
    </w:p>
    <w:p w14:paraId="48B80C6F" w14:textId="4C6BD3CB"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610" w:name="ver_30075031"/>
      <w:bookmarkEnd w:id="1610"/>
    </w:p>
    <w:p w14:paraId="57C1ED3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2.3.1.3.3.1.42. La difusión del reglamento. La entidad prestadora de los servicios públicos deberá tomar las medidas necesarias para que sus usuarios conozcan el contenido del presente reglamento, así como de su reglamento interno. </w:t>
      </w:r>
    </w:p>
    <w:p w14:paraId="3E99A29D" w14:textId="6342F41B" w:rsidR="00F74103"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611" w:name="ver_30075032"/>
      <w:bookmarkEnd w:id="1611"/>
    </w:p>
    <w:p w14:paraId="3F394D66" w14:textId="006505BC" w:rsidR="00FC79C1" w:rsidRPr="009342F9" w:rsidRDefault="00FC79C1" w:rsidP="00F74103">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CAPÍTULO 4</w:t>
      </w:r>
    </w:p>
    <w:p w14:paraId="145B15C1" w14:textId="77777777" w:rsidR="00FC79C1" w:rsidRPr="009342F9" w:rsidRDefault="00FC79C1" w:rsidP="00F74103">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CRITERIOS PARA EL USO DE LOS BIOSÓLIDOS GENERADOS EN PLANTAS DE TRATAMIENTO DE AGUAS RESIDUALES MUNICIPALES.</w:t>
      </w:r>
    </w:p>
    <w:p w14:paraId="055E3C79"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612" w:name="ver_30075033"/>
      <w:bookmarkEnd w:id="1612"/>
    </w:p>
    <w:p w14:paraId="0B4299A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2.3.1.4.1. Objeto. El presente capítulo tiene por objeto establecer los criterios para el uso de los Biosólidos producidos a partir de los lodos generados en las plantas de tratamiento de aguas residuales municipales. </w:t>
      </w:r>
    </w:p>
    <w:p w14:paraId="150CFE7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E8A3B6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Este Capítulo no aplica a los lodos que tengan características de peligrosidad. </w:t>
      </w:r>
    </w:p>
    <w:p w14:paraId="377FBE7F" w14:textId="2F46601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613" w:name="ver_30075034"/>
      <w:bookmarkEnd w:id="1613"/>
    </w:p>
    <w:p w14:paraId="3ABBEC0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2.3.1.4.2. Ámbito de aplicación. El presente Capítulo aplica a todas las personas prestadoras del servicio público domiciliario de alcantarillado en el componente de tratamiento de aguas residuales municipales como productores de </w:t>
      </w:r>
      <w:proofErr w:type="gramStart"/>
      <w:r w:rsidRPr="009342F9">
        <w:rPr>
          <w:rFonts w:ascii="Arial" w:eastAsia="Times New Roman" w:hAnsi="Arial" w:cs="Arial"/>
          <w:color w:val="000000"/>
          <w:lang w:eastAsia="es-CO"/>
        </w:rPr>
        <w:t>biosólidos</w:t>
      </w:r>
      <w:proofErr w:type="gramEnd"/>
      <w:r w:rsidRPr="009342F9">
        <w:rPr>
          <w:rFonts w:ascii="Arial" w:eastAsia="Times New Roman" w:hAnsi="Arial" w:cs="Arial"/>
          <w:color w:val="000000"/>
          <w:lang w:eastAsia="es-CO"/>
        </w:rPr>
        <w:t xml:space="preserve"> así como a los distribuidores y a los usuarios de los mismos en el territorio nacional. </w:t>
      </w:r>
    </w:p>
    <w:p w14:paraId="663AFE6E" w14:textId="13060675"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614" w:name="ver_30075035"/>
      <w:bookmarkEnd w:id="1614"/>
    </w:p>
    <w:p w14:paraId="003FB5B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2.3.1.4.3. Caracterización de los biosólidos. Los biosólidos deberán caracterizarse de conformidad con lo dispuesto en la Tabla 1: </w:t>
      </w:r>
    </w:p>
    <w:p w14:paraId="272B6C6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7EA580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Tabla 1. Variables de caracterización de Biosólidos para su uso </w:t>
      </w:r>
    </w:p>
    <w:p w14:paraId="043EE32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B9CF8E6" w14:textId="395F38E0" w:rsidR="00FC79C1" w:rsidRPr="009342F9" w:rsidRDefault="48ABE02E" w:rsidP="00FC79C1">
      <w:pPr>
        <w:spacing w:after="0" w:line="240" w:lineRule="auto"/>
        <w:jc w:val="both"/>
        <w:rPr>
          <w:rFonts w:ascii="Arial" w:eastAsia="Times New Roman" w:hAnsi="Arial" w:cs="Arial"/>
          <w:color w:val="000000"/>
          <w:lang w:eastAsia="es-CO"/>
        </w:rPr>
      </w:pPr>
      <w:r>
        <w:rPr>
          <w:noProof/>
        </w:rPr>
        <w:lastRenderedPageBreak/>
        <w:drawing>
          <wp:inline distT="0" distB="0" distL="0" distR="0" wp14:anchorId="782FDC16" wp14:editId="6ADE2F3A">
            <wp:extent cx="5469255" cy="2682875"/>
            <wp:effectExtent l="0" t="0" r="0" b="31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27">
                      <a:extLst>
                        <a:ext uri="{28A0092B-C50C-407E-A947-70E740481C1C}">
                          <a14:useLocalDpi xmlns:a14="http://schemas.microsoft.com/office/drawing/2010/main" val="0"/>
                        </a:ext>
                      </a:extLst>
                    </a:blip>
                    <a:stretch>
                      <a:fillRect/>
                    </a:stretch>
                  </pic:blipFill>
                  <pic:spPr>
                    <a:xfrm>
                      <a:off x="0" y="0"/>
                      <a:ext cx="5469255" cy="2682875"/>
                    </a:xfrm>
                    <a:prstGeom prst="rect">
                      <a:avLst/>
                    </a:prstGeom>
                  </pic:spPr>
                </pic:pic>
              </a:graphicData>
            </a:graphic>
          </wp:inline>
        </w:drawing>
      </w:r>
      <w:r w:rsidR="00FC79C1" w:rsidRPr="3DD719FF">
        <w:rPr>
          <w:rFonts w:ascii="Arial" w:eastAsia="Times New Roman" w:hAnsi="Arial" w:cs="Arial"/>
          <w:color w:val="000000" w:themeColor="text1"/>
          <w:lang w:eastAsia="es-CO"/>
        </w:rPr>
        <w:t> </w:t>
      </w:r>
    </w:p>
    <w:p w14:paraId="5005966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168ABA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Como variable alterna al de Virus Entéricos, se podrá utilizar el de Fagos Somáticos. </w:t>
      </w:r>
    </w:p>
    <w:p w14:paraId="2D370278" w14:textId="1CA22143"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615" w:name="ver_30075036"/>
      <w:bookmarkEnd w:id="1615"/>
    </w:p>
    <w:p w14:paraId="32666E1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2.3.1.4.4. Valores máximos permisibles para la categorización de los biosólidos. Los biosólidos deberán cumplir con los valores máximos permisibles establecidos en la tabla 2 y se clasifican en una de las siguientes categorías: Categoría A y Categoría B. </w:t>
      </w:r>
    </w:p>
    <w:p w14:paraId="1E9A408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312568A" w14:textId="25525AEE"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Tabla 2. Valores máximos permisibles de categorización de biosólidos para su uso.   </w:t>
      </w:r>
    </w:p>
    <w:p w14:paraId="118EB21E" w14:textId="079E4E73" w:rsidR="00FC79C1" w:rsidRPr="009342F9" w:rsidRDefault="48ABE02E" w:rsidP="00FC79C1">
      <w:pPr>
        <w:spacing w:after="0" w:line="240" w:lineRule="auto"/>
        <w:jc w:val="both"/>
        <w:rPr>
          <w:rFonts w:ascii="Arial" w:eastAsia="Times New Roman" w:hAnsi="Arial" w:cs="Arial"/>
          <w:color w:val="000000"/>
          <w:lang w:eastAsia="es-CO"/>
        </w:rPr>
      </w:pPr>
      <w:r>
        <w:rPr>
          <w:noProof/>
        </w:rPr>
        <w:lastRenderedPageBreak/>
        <w:drawing>
          <wp:inline distT="0" distB="0" distL="0" distR="0" wp14:anchorId="5F1B332C" wp14:editId="0BB13382">
            <wp:extent cx="5460367" cy="5900335"/>
            <wp:effectExtent l="0" t="0" r="6985" b="57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28">
                      <a:extLst>
                        <a:ext uri="{28A0092B-C50C-407E-A947-70E740481C1C}">
                          <a14:useLocalDpi xmlns:a14="http://schemas.microsoft.com/office/drawing/2010/main" val="0"/>
                        </a:ext>
                      </a:extLst>
                    </a:blip>
                    <a:stretch>
                      <a:fillRect/>
                    </a:stretch>
                  </pic:blipFill>
                  <pic:spPr>
                    <a:xfrm>
                      <a:off x="0" y="0"/>
                      <a:ext cx="5460367" cy="5900335"/>
                    </a:xfrm>
                    <a:prstGeom prst="rect">
                      <a:avLst/>
                    </a:prstGeom>
                  </pic:spPr>
                </pic:pic>
              </a:graphicData>
            </a:graphic>
          </wp:inline>
        </w:drawing>
      </w:r>
      <w:r w:rsidR="00FC79C1" w:rsidRPr="3DD719FF">
        <w:rPr>
          <w:rFonts w:ascii="Arial" w:eastAsia="Times New Roman" w:hAnsi="Arial" w:cs="Arial"/>
          <w:color w:val="000000" w:themeColor="text1"/>
          <w:lang w:eastAsia="es-CO"/>
        </w:rPr>
        <w:t> </w:t>
      </w:r>
    </w:p>
    <w:p w14:paraId="2A53F56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1FA355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Para efectos del cumplimiento de los valores máximos para la variable de Coliformes Fecales definidos dentro de los criterios de uso microbiológicos para las diferentes categorías de biosólidos, se realizarán ensayos de laboratorio a partir de la media geométrica de los resultados de análisis de por lo menos siete (7) muestras tomadas en cada lote de producción, para establecer las condiciones de calidad </w:t>
      </w:r>
      <w:proofErr w:type="gramStart"/>
      <w:r w:rsidRPr="009342F9">
        <w:rPr>
          <w:rFonts w:ascii="Arial" w:eastAsia="Times New Roman" w:hAnsi="Arial" w:cs="Arial"/>
          <w:color w:val="000000"/>
          <w:lang w:eastAsia="es-CO"/>
        </w:rPr>
        <w:t>del mismo</w:t>
      </w:r>
      <w:proofErr w:type="gramEnd"/>
      <w:r w:rsidRPr="009342F9">
        <w:rPr>
          <w:rFonts w:ascii="Arial" w:eastAsia="Times New Roman" w:hAnsi="Arial" w:cs="Arial"/>
          <w:color w:val="000000"/>
          <w:lang w:eastAsia="es-CO"/>
        </w:rPr>
        <w:t>. </w:t>
      </w:r>
    </w:p>
    <w:p w14:paraId="26DD9BB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EAC2D4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Cuando se utilice como parámetro alterno al de Virus Entéricos el de Fagos Somáticos el valor </w:t>
      </w:r>
      <w:proofErr w:type="gramStart"/>
      <w:r w:rsidRPr="009342F9">
        <w:rPr>
          <w:rFonts w:ascii="Arial" w:eastAsia="Times New Roman" w:hAnsi="Arial" w:cs="Arial"/>
          <w:color w:val="000000"/>
          <w:lang w:eastAsia="es-CO"/>
        </w:rPr>
        <w:t>del mismo</w:t>
      </w:r>
      <w:proofErr w:type="gramEnd"/>
      <w:r w:rsidRPr="009342F9">
        <w:rPr>
          <w:rFonts w:ascii="Arial" w:eastAsia="Times New Roman" w:hAnsi="Arial" w:cs="Arial"/>
          <w:color w:val="000000"/>
          <w:lang w:eastAsia="es-CO"/>
        </w:rPr>
        <w:t xml:space="preserve"> para los Biosólidos Categoría A deberá ser menor a ·5,00 E (+4) UFC por gramo de biosólido (base seca). </w:t>
      </w:r>
    </w:p>
    <w:p w14:paraId="4E51B63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FC72E8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1°. Para efecto de la reducción de la capacidad de fermentación, atracción de vectores y patógenos, se deberá cumplir con al menos una de las opciones enumerados en el Anexo 1. </w:t>
      </w:r>
    </w:p>
    <w:p w14:paraId="0750916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8E754F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Parágrafo 2. Los biosólidos que no cumplan con los valores máximos permisibles establecidos para su clasificación en las Categorías A y S, podrán usarse en: </w:t>
      </w:r>
    </w:p>
    <w:p w14:paraId="1DB3702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7E3767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 En la operación de rellenos sanitarios como cobertura diaria. </w:t>
      </w:r>
    </w:p>
    <w:p w14:paraId="3C459B3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55F4AF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b) En la disposición conjunta con residuos sólidos municipales en rellenos sanitarios y de manera independiente en sitios autorizados. </w:t>
      </w:r>
    </w:p>
    <w:p w14:paraId="43CCC1D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13577E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 En procesos de valorización energética. </w:t>
      </w:r>
    </w:p>
    <w:p w14:paraId="1B468DA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CB3F46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Los biosólidos que no se usen de acuerdo con lo aquí dispuesto, deberán disponerse o ser tratados hasta cumplir con los valores establecidos en las categorías A y B para viabilizar su uso. </w:t>
      </w:r>
    </w:p>
    <w:p w14:paraId="1EB35BD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1D669D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3°. Para prevenir la distribución y uso de material que no cumpla con los valores máximos permisibles definidos en la Tabla 2 del presente decreto, el productor deberá establecer y aplicar un mecanismo de correlación entre la caracterización de las aguas residuales afluentes y la caracterización de los biosólidos. Cuando se detecte la presencia anómala de sustancias de interés sanitario en las aguas residuales afluentes, se aplicarán las medidas previstas en el plan de prevención y gestión del riesgo. </w:t>
      </w:r>
    </w:p>
    <w:p w14:paraId="0EF25851" w14:textId="4931EF8D" w:rsidR="00FC79C1" w:rsidRPr="009342F9" w:rsidRDefault="00FC79C1" w:rsidP="00377DAA">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616" w:name="ver_30075038"/>
      <w:bookmarkEnd w:id="1616"/>
    </w:p>
    <w:p w14:paraId="0232E31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2.3.1.4.5. Tasa Máxima Anual de Aplicación (TMAA). Los valores límites de metales que se podrán introducir en el suelo por el uso de biosólidos de Categoría A o B, son los establecidos en las siguientes Tablas. </w:t>
      </w:r>
    </w:p>
    <w:p w14:paraId="753D82C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3CFCFD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Tabla 3. Tasa Máxima Anual de Aplicación. </w:t>
      </w:r>
    </w:p>
    <w:p w14:paraId="66651BB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FE5D0B7" w14:textId="7B8CC2D8" w:rsidR="00FC79C1" w:rsidRPr="009342F9" w:rsidRDefault="48ABE02E" w:rsidP="00FC79C1">
      <w:pPr>
        <w:spacing w:after="0" w:line="240" w:lineRule="auto"/>
        <w:jc w:val="both"/>
        <w:rPr>
          <w:rFonts w:ascii="Arial" w:eastAsia="Times New Roman" w:hAnsi="Arial" w:cs="Arial"/>
          <w:color w:val="000000"/>
          <w:lang w:eastAsia="es-CO"/>
        </w:rPr>
      </w:pPr>
      <w:r>
        <w:rPr>
          <w:noProof/>
        </w:rPr>
        <w:drawing>
          <wp:inline distT="0" distB="0" distL="0" distR="0" wp14:anchorId="31871080" wp14:editId="47BAC934">
            <wp:extent cx="5391787" cy="395097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29">
                      <a:extLst>
                        <a:ext uri="{28A0092B-C50C-407E-A947-70E740481C1C}">
                          <a14:useLocalDpi xmlns:a14="http://schemas.microsoft.com/office/drawing/2010/main" val="0"/>
                        </a:ext>
                      </a:extLst>
                    </a:blip>
                    <a:stretch>
                      <a:fillRect/>
                    </a:stretch>
                  </pic:blipFill>
                  <pic:spPr>
                    <a:xfrm>
                      <a:off x="0" y="0"/>
                      <a:ext cx="5391787" cy="3950970"/>
                    </a:xfrm>
                    <a:prstGeom prst="rect">
                      <a:avLst/>
                    </a:prstGeom>
                  </pic:spPr>
                </pic:pic>
              </a:graphicData>
            </a:graphic>
          </wp:inline>
        </w:drawing>
      </w:r>
      <w:r w:rsidR="00FC79C1" w:rsidRPr="3DD719FF">
        <w:rPr>
          <w:rFonts w:ascii="Arial" w:eastAsia="Times New Roman" w:hAnsi="Arial" w:cs="Arial"/>
          <w:color w:val="000000" w:themeColor="text1"/>
          <w:lang w:eastAsia="es-CO"/>
        </w:rPr>
        <w:t> </w:t>
      </w:r>
    </w:p>
    <w:p w14:paraId="3E84D90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w:t>
      </w:r>
    </w:p>
    <w:p w14:paraId="098654C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1°. Los usuarios deberán tener en cuenta el tipo de suelo y de cultivo para definir la tasa agronómica de conformidad con lo que determine el ICA y en todo caso, no se deberán sobrepasar las tasas anteriormente indicadas. </w:t>
      </w:r>
    </w:p>
    <w:p w14:paraId="0170415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A86C28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Parágrafo 2°. El productor de </w:t>
      </w:r>
      <w:proofErr w:type="gramStart"/>
      <w:r w:rsidRPr="009342F9">
        <w:rPr>
          <w:rFonts w:ascii="Arial" w:eastAsia="Times New Roman" w:hAnsi="Arial" w:cs="Arial"/>
          <w:color w:val="000000"/>
          <w:lang w:eastAsia="es-CO"/>
        </w:rPr>
        <w:t>biosólidos,</w:t>
      </w:r>
      <w:proofErr w:type="gramEnd"/>
      <w:r w:rsidRPr="009342F9">
        <w:rPr>
          <w:rFonts w:ascii="Arial" w:eastAsia="Times New Roman" w:hAnsi="Arial" w:cs="Arial"/>
          <w:color w:val="000000"/>
          <w:lang w:eastAsia="es-CO"/>
        </w:rPr>
        <w:t xml:space="preserve"> deberá establecer en la ficha técnica la Tasa Anual de Aplicación de Biosólidos (TAAB) para no exceder los parámetros establecidos en la tabla tres (3), correspondiente a la Tasa Máxima Anual de Aplicación (TMAA). El procedimiento para determinar la Tasa Anual de Aplicación de Biosólidos (TAAB) se establecen en el Anexo 2 del presente capítulo. </w:t>
      </w:r>
    </w:p>
    <w:p w14:paraId="2EE08EE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7D80B0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3°. No se deben sobrepasar la tasa acumulativa de aplicación de la tabla 4 para cada uno de los parámetros establecidos. De igual forma no debe exceder la Tasa Anual de Aplicación de Biosólidos (TAAB) calculada para el biosólidos. </w:t>
      </w:r>
    </w:p>
    <w:p w14:paraId="2A9EBD7C" w14:textId="41D37A49"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617" w:name="ver_30075039"/>
      <w:bookmarkEnd w:id="1617"/>
    </w:p>
    <w:p w14:paraId="26D7F71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2.3.1.4.6. Almacenamiento. Los biosólidos que cumplan con lo establecido en el presente capítulo podrán ser almacenados hasta por un período máximo de seis (6) meses, en condiciones que garanticen el control de las emisiones de gases, manejo de lixiviados y el control a la proliferación de vectores. El sitio de almacenamiento deberá contar con un sistema de gestión de aguas residuales. </w:t>
      </w:r>
    </w:p>
    <w:p w14:paraId="462E29C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405B8F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El almacenamiento no será un requisito para la caracterización de los biosólidos. </w:t>
      </w:r>
    </w:p>
    <w:p w14:paraId="054E0CE2" w14:textId="1069E3E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618" w:name="ver_30075040"/>
      <w:bookmarkEnd w:id="1618"/>
    </w:p>
    <w:p w14:paraId="1E50DD8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2.3.1.4.7. Alternativas de uso de los biosólidos. De acuerdo con la categoría y clasificación, los biosólidos pueden destinarse para los siguientes usos: </w:t>
      </w:r>
    </w:p>
    <w:p w14:paraId="1F4FF41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954D57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Categoría A.  </w:t>
      </w:r>
    </w:p>
    <w:p w14:paraId="268E741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208C79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 En zonas verdes tales como cementerios, separadores viales, campos de golf y lotes vacíos. </w:t>
      </w:r>
    </w:p>
    <w:p w14:paraId="65DCA90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D4DDAA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b) Como producto para uso en áreas privadas tales como jardines, antejardines, patios, plantas ornamentales y arborización. </w:t>
      </w:r>
    </w:p>
    <w:p w14:paraId="0EC9C90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E30F5C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 En agricultura. </w:t>
      </w:r>
    </w:p>
    <w:p w14:paraId="6751483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44BD13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d) Los mismos usos de la Categoría B. </w:t>
      </w:r>
    </w:p>
    <w:p w14:paraId="5BA66BD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A842C2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Categoría B.  </w:t>
      </w:r>
    </w:p>
    <w:p w14:paraId="5B9E1F6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C282A8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 En agricultura, se aplicará al suelo. </w:t>
      </w:r>
    </w:p>
    <w:p w14:paraId="0BF3808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795FFC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b) En plantaciones forestales. </w:t>
      </w:r>
    </w:p>
    <w:p w14:paraId="7082352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E3D29E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 En la recuperación, restauración o mejoramiento de suelos degradados. </w:t>
      </w:r>
    </w:p>
    <w:p w14:paraId="1B7D409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F2380C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d) Como insumo en procesos de elaboración de abonos o fertilizantes orgánicos o productos acondicionadores para suelos a través de tratamientos físicos, químicos y biológicos que modifiquen su calidad original. Los procesos de elaboración y características de los productos finales y su uso, queda sujeto a la regulación establecida por el ICA. ‘. </w:t>
      </w:r>
    </w:p>
    <w:p w14:paraId="0010144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3E7CF2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e) Para remediación de suelos contaminados, lechos biológicos para el tratamiento de emisiones y vertimientos, soporte físico y sustrato biológico en sistemas de filtración, absorción y adsorción. </w:t>
      </w:r>
    </w:p>
    <w:p w14:paraId="6F02C45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833157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f) Como insumo en la fabricación de materiales de construcción. </w:t>
      </w:r>
    </w:p>
    <w:p w14:paraId="3ACA5D9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075B6B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g) En la estabilización de taludes de proyectos de la red vial nacional, red vial secundaria o terciaria. </w:t>
      </w:r>
    </w:p>
    <w:p w14:paraId="3EEF2ED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8E40BC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h) En la operación de rellenos sanitarios tomo: cobertura diaria, cobertura final de cierre y de clausura de plataformas y en actividades de </w:t>
      </w:r>
      <w:proofErr w:type="spellStart"/>
      <w:r w:rsidRPr="009342F9">
        <w:rPr>
          <w:rFonts w:ascii="Arial" w:eastAsia="Times New Roman" w:hAnsi="Arial" w:cs="Arial"/>
          <w:color w:val="000000"/>
          <w:lang w:eastAsia="es-CO"/>
        </w:rPr>
        <w:t>revegetalización</w:t>
      </w:r>
      <w:proofErr w:type="spellEnd"/>
      <w:r w:rsidRPr="009342F9">
        <w:rPr>
          <w:rFonts w:ascii="Arial" w:eastAsia="Times New Roman" w:hAnsi="Arial" w:cs="Arial"/>
          <w:color w:val="000000"/>
          <w:lang w:eastAsia="es-CO"/>
        </w:rPr>
        <w:t xml:space="preserve"> y paisajismo. </w:t>
      </w:r>
    </w:p>
    <w:p w14:paraId="5FA590C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DB05CA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i) Actividades de </w:t>
      </w:r>
      <w:proofErr w:type="spellStart"/>
      <w:r w:rsidRPr="009342F9">
        <w:rPr>
          <w:rFonts w:ascii="Arial" w:eastAsia="Times New Roman" w:hAnsi="Arial" w:cs="Arial"/>
          <w:color w:val="000000"/>
          <w:lang w:eastAsia="es-CO"/>
        </w:rPr>
        <w:t>revegetalización</w:t>
      </w:r>
      <w:proofErr w:type="spellEnd"/>
      <w:r w:rsidRPr="009342F9">
        <w:rPr>
          <w:rFonts w:ascii="Arial" w:eastAsia="Times New Roman" w:hAnsi="Arial" w:cs="Arial"/>
          <w:color w:val="000000"/>
          <w:lang w:eastAsia="es-CO"/>
        </w:rPr>
        <w:t xml:space="preserve"> y paisajismo de escombreras. </w:t>
      </w:r>
    </w:p>
    <w:p w14:paraId="21DECF7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BC960E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j) En procesos de valorización energética. </w:t>
      </w:r>
    </w:p>
    <w:p w14:paraId="70AC5832" w14:textId="74E5C70F"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619" w:name="ver_30075041"/>
      <w:bookmarkEnd w:id="1619"/>
    </w:p>
    <w:p w14:paraId="1EC070F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2.3.1.4.8. Restricciones para el uso del suelo después de la aplicación de los biosólidos categoría B. Se establecen las siguientes restricciones para el uso del suelo en el cual se apliquen biosólidos categoría B: </w:t>
      </w:r>
    </w:p>
    <w:p w14:paraId="57BACF3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4ABFA6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 No se podrán aplicar biosólidos en cultivos hortícolas y frutícolas durante el período de vegetación (formación de tallos y hojas), con la excepción de los cultivos de árboles frutales. </w:t>
      </w:r>
    </w:p>
    <w:p w14:paraId="44B2D6B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BE4811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b) No se podrán aplicar biosólidos durante un período de un (1) año antes de la cosecha y durante la cosecha misma de cultivos hortícolas o frutícolas que estén en contacto directo con el suelo y que se consuman en estado crudo. </w:t>
      </w:r>
    </w:p>
    <w:p w14:paraId="2838982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E312F3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 En cultivos de raíz, sólo se permitirá cosechar después de veinte (20) meses, si los biosólidos permanecieron sobre el suelo por cuatro (4) meses o más, antes de su incorporación al terreno. </w:t>
      </w:r>
    </w:p>
    <w:p w14:paraId="5FED02C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291910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d) En cultivos de raíz, sólo se permitirá cosechar después de tres (3) años, si los biosólidos permanecieron sobre el suelo menos de cuatro (4) meses, antes de su incorporación a.1 terreno. </w:t>
      </w:r>
    </w:p>
    <w:p w14:paraId="4575542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129D56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 Forraje para ganado y cultivos agroindustriales no destinados a consumo humano directo, deberán considerar que la última aplicación de biosólidos al suelo debe hacerse por lo menos tres (3) meses antes de la cosecha. </w:t>
      </w:r>
    </w:p>
    <w:p w14:paraId="7CED831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ECB416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f) Solo se podrán poner a pastar animales domésticos después de tres (3) meses de la última aplicación de biosólidos al terreno. </w:t>
      </w:r>
    </w:p>
    <w:p w14:paraId="1698044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0E8C9B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g) En suelos de uso forestal, restringiendo el acceso al área durante el mes siguiente a la última aplicación. </w:t>
      </w:r>
    </w:p>
    <w:p w14:paraId="1A2387B1" w14:textId="7E69993E"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620" w:name="ver_30075042"/>
      <w:bookmarkEnd w:id="1620"/>
    </w:p>
    <w:p w14:paraId="60195A4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2.3.1.4.9. Inaplicación de los biosólidos en el suelo. No se </w:t>
      </w:r>
      <w:proofErr w:type="gramStart"/>
      <w:r w:rsidRPr="009342F9">
        <w:rPr>
          <w:rFonts w:ascii="Arial" w:eastAsia="Times New Roman" w:hAnsi="Arial" w:cs="Arial"/>
          <w:color w:val="000000"/>
          <w:lang w:eastAsia="es-CO"/>
        </w:rPr>
        <w:t>aplicaran</w:t>
      </w:r>
      <w:proofErr w:type="gramEnd"/>
      <w:r w:rsidRPr="009342F9">
        <w:rPr>
          <w:rFonts w:ascii="Arial" w:eastAsia="Times New Roman" w:hAnsi="Arial" w:cs="Arial"/>
          <w:color w:val="000000"/>
          <w:lang w:eastAsia="es-CO"/>
        </w:rPr>
        <w:t xml:space="preserve"> biosólidos: </w:t>
      </w:r>
    </w:p>
    <w:p w14:paraId="47A952D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5DC2EB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 En Playas, páramos y cuerpos de agua. </w:t>
      </w:r>
    </w:p>
    <w:p w14:paraId="2AF9F5A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252F91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b) En suelos saturados como vegas. </w:t>
      </w:r>
    </w:p>
    <w:p w14:paraId="5429C76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1D2DC0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 En suelos cuyo nivel freático máximo se encuentre a menos de un (1) metro de profundidad con respecto a la superficie del terreno y en aquellos suelos en los que se genere un efecto de nivel freático colgante. </w:t>
      </w:r>
    </w:p>
    <w:p w14:paraId="714F17A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w:t>
      </w:r>
    </w:p>
    <w:p w14:paraId="024B8D8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d) En zonas aledañas a fuentes de captación subterráneas de agua para consumo humano o animal, en un radio inferior de cien (100) metros. </w:t>
      </w:r>
    </w:p>
    <w:p w14:paraId="27824E7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D07EDF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 En zonas aledañas a fuentes superficiales de captación de agua para consumo humano o animal, en una franja mínima de treinta (30) metros medidos en paralelas a las líneas de mareas máximas. En el caso de los nacimientos de fuentes de agua, en una extensión de por lo menos cien (100) metros a la redonda, medidos a partir de su periferia. </w:t>
      </w:r>
    </w:p>
    <w:p w14:paraId="4440EDF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9F57F9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f) En </w:t>
      </w:r>
      <w:proofErr w:type="gramStart"/>
      <w:r w:rsidRPr="009342F9">
        <w:rPr>
          <w:rFonts w:ascii="Arial" w:eastAsia="Times New Roman" w:hAnsi="Arial" w:cs="Arial"/>
          <w:color w:val="000000"/>
          <w:lang w:eastAsia="es-CO"/>
        </w:rPr>
        <w:t>la zonas</w:t>
      </w:r>
      <w:proofErr w:type="gramEnd"/>
      <w:r w:rsidRPr="009342F9">
        <w:rPr>
          <w:rFonts w:ascii="Arial" w:eastAsia="Times New Roman" w:hAnsi="Arial" w:cs="Arial"/>
          <w:color w:val="000000"/>
          <w:lang w:eastAsia="es-CO"/>
        </w:rPr>
        <w:t xml:space="preserve"> de rondas. </w:t>
      </w:r>
    </w:p>
    <w:p w14:paraId="2A2C5E1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322152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g) Suelos con alto riesgo de inundación. </w:t>
      </w:r>
    </w:p>
    <w:p w14:paraId="4D919A7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5DF63E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h) Clase B, a menos de trescientos (300) metros de distancia de áreas residenciales urbanas, hospitales, locales de expendio de alimentos, escuelas, y parques. Valores inferiores deberán ser soportados en estudios de impacto ante las Autoridades Ambientales Competentes</w:t>
      </w:r>
      <w:proofErr w:type="gramStart"/>
      <w:r w:rsidRPr="009342F9">
        <w:rPr>
          <w:rFonts w:ascii="Arial" w:eastAsia="Times New Roman" w:hAnsi="Arial" w:cs="Arial"/>
          <w:color w:val="000000"/>
          <w:lang w:eastAsia="es-CO"/>
        </w:rPr>
        <w:t>. .</w:t>
      </w:r>
      <w:proofErr w:type="gramEnd"/>
      <w:r w:rsidRPr="009342F9">
        <w:rPr>
          <w:rFonts w:ascii="Arial" w:eastAsia="Times New Roman" w:hAnsi="Arial" w:cs="Arial"/>
          <w:color w:val="000000"/>
          <w:lang w:eastAsia="es-CO"/>
        </w:rPr>
        <w:t> </w:t>
      </w:r>
    </w:p>
    <w:p w14:paraId="460981B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5C33F8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i) En suelo rural a menos de 100 metros de viviendas aisladas. </w:t>
      </w:r>
    </w:p>
    <w:p w14:paraId="5E68C7E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4CABD9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j) En terrenos agrícolas en tasas mayores a la tasa agronómica, considerando la clase de cultivos en que sean empleados. </w:t>
      </w:r>
    </w:p>
    <w:p w14:paraId="20D92D2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6A68B4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k) En suelos donde se encuentren especies de fauna y flora amenazados para la aplicación de biosólidos de categoría B. </w:t>
      </w:r>
    </w:p>
    <w:p w14:paraId="29035DDA" w14:textId="231D11FC"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621" w:name="ver_30075043"/>
      <w:bookmarkEnd w:id="1621"/>
    </w:p>
    <w:p w14:paraId="013440E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2.3.1.4.10. Mezcla. La mezcla de biosólidos con materiales de complemento, deberán cumplir con los valores máximos permisibles para la categorización de los biosólidos establecidos en el artículo 2.3.1.4.4 del presente capítulo. </w:t>
      </w:r>
    </w:p>
    <w:p w14:paraId="4CAB779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917141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Los materiales de complemento deberán caracterizarse antes mezclarse con los biosólidos. </w:t>
      </w:r>
    </w:p>
    <w:p w14:paraId="21625BFC" w14:textId="6696B85B"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622" w:name="ver_30075044"/>
      <w:bookmarkEnd w:id="1622"/>
    </w:p>
    <w:p w14:paraId="556F8B1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2.3.1.4.11. Disposición final de biosólidos. Los biosólidos que no sean objeto de uso deberán ser dispuestos cumpliendo con la normatividad vigente. </w:t>
      </w:r>
    </w:p>
    <w:p w14:paraId="3338DD0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785562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En caso de disposición final en rellenos sanitarios los operadores recibirán los biosólidos. Estos deberán cumplir con las condiciones para su manipulación y disposición final. </w:t>
      </w:r>
    </w:p>
    <w:p w14:paraId="35453633" w14:textId="52A07A90"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623" w:name="ver_30075045"/>
      <w:bookmarkEnd w:id="1623"/>
    </w:p>
    <w:p w14:paraId="3B3D095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2.3.1.4.12. Obligaciones de los productores. Los productores de biosólidos deberán cumplir, entre otras, las siguientes obligaciones: </w:t>
      </w:r>
    </w:p>
    <w:p w14:paraId="2F9BF4A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D06287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 Caracterizar por lotes los biosólidos de acuerdo con los métodos certificados internacionales, nacionales y reglamentaciones técnicas vigentes. </w:t>
      </w:r>
    </w:p>
    <w:p w14:paraId="404AA5E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ACC99B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b) Tener a disposición de las autoridades competentes, información detallada sobre la caracterización y las cantidades de biosólidos producidos y entregados. </w:t>
      </w:r>
    </w:p>
    <w:p w14:paraId="6631DDC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216863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 Contar con un plan de prevención y gestión del riesgo. </w:t>
      </w:r>
    </w:p>
    <w:p w14:paraId="5526F0A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1EAEAE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xml:space="preserve">d) Reportar al Sistema Único de Información – SUI – la información sobre cantidades generadas y caracterizaciones de </w:t>
      </w:r>
      <w:proofErr w:type="gramStart"/>
      <w:r w:rsidRPr="009342F9">
        <w:rPr>
          <w:rFonts w:ascii="Arial" w:eastAsia="Times New Roman" w:hAnsi="Arial" w:cs="Arial"/>
          <w:color w:val="000000"/>
          <w:lang w:eastAsia="es-CO"/>
        </w:rPr>
        <w:t>los mismos</w:t>
      </w:r>
      <w:proofErr w:type="gramEnd"/>
      <w:r w:rsidRPr="009342F9">
        <w:rPr>
          <w:rFonts w:ascii="Arial" w:eastAsia="Times New Roman" w:hAnsi="Arial" w:cs="Arial"/>
          <w:color w:val="000000"/>
          <w:lang w:eastAsia="es-CO"/>
        </w:rPr>
        <w:t xml:space="preserve"> de acuerdo con lo que determine la Superintendencia de Servicios Públicos Domiciliarios. </w:t>
      </w:r>
    </w:p>
    <w:p w14:paraId="3C421DD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F7ED7D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Parágrafo. La caracterización de los biosólidos de las que trata este </w:t>
      </w:r>
      <w:proofErr w:type="gramStart"/>
      <w:r w:rsidRPr="009342F9">
        <w:rPr>
          <w:rFonts w:ascii="Arial" w:eastAsia="Times New Roman" w:hAnsi="Arial" w:cs="Arial"/>
          <w:color w:val="000000"/>
          <w:lang w:eastAsia="es-CO"/>
        </w:rPr>
        <w:t>capítulo,</w:t>
      </w:r>
      <w:proofErr w:type="gramEnd"/>
      <w:r w:rsidRPr="009342F9">
        <w:rPr>
          <w:rFonts w:ascii="Arial" w:eastAsia="Times New Roman" w:hAnsi="Arial" w:cs="Arial"/>
          <w:color w:val="000000"/>
          <w:lang w:eastAsia="es-CO"/>
        </w:rPr>
        <w:t xml:space="preserve"> deberá realizarse en un laboratorio acreditado por el IDEAM, en aquellos casos en los cuales la información de éstos vaya dirigida a las autoridades ambientales competentes para el ejercicio de sus funciones. </w:t>
      </w:r>
    </w:p>
    <w:p w14:paraId="502AD85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6BAC39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aquellos casos en los cuales la información vaya dirigida a las autoridades agropecuarias, la caracterización de los biosólidos deberá realizarse en un laboratorio acreditado por el Organismo Nacional de Acreditación de Colombia ONAC. </w:t>
      </w:r>
    </w:p>
    <w:p w14:paraId="7E938EAB" w14:textId="3C44A32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624" w:name="ver_30075046"/>
      <w:bookmarkEnd w:id="1624"/>
    </w:p>
    <w:p w14:paraId="7DD537D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2.3.1.4.13. Registro de productor y/o distribuidor de biosólidos como insumo agrícola. El registro de Productor y/o Distribuidor de biosólidos como insumo agrícola, deberá realizarse ante el ICA, de conformidad con las normas vigentes sobre la materia, cumpliendo los parámetros, criterios de calidad, requerimientos, valores máximos permisibles y valores límites definidos en el presente capítulo. </w:t>
      </w:r>
    </w:p>
    <w:p w14:paraId="77CB5D4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FC7A0C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El registro ante el ICA, de que trata el presente artículo, es requisito previo para el uso como insumo agrícola. </w:t>
      </w:r>
    </w:p>
    <w:p w14:paraId="0F3EFF70" w14:textId="78DC5649"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625" w:name="ver_30075047"/>
      <w:bookmarkEnd w:id="1625"/>
    </w:p>
    <w:p w14:paraId="7EDA33E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2.3.1.4.14. Registro de productor de biosólidos para usos ambientales. El registro del productor de biosólidos para los usos ambientales de que tratan los literales b, c, e, i de la categoría B del artículo 2.3.1.4.7 del presente capítulo, deberá realizarse ante la autoridad ambiental competente. </w:t>
      </w:r>
    </w:p>
    <w:p w14:paraId="14069C1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C9F9AA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El Ministerio de Ambiente y Desarrollo Sostenible establecerá el contenido del registro de información de biosólidos de uso ambiental del que trata el presente artículo. </w:t>
      </w:r>
    </w:p>
    <w:p w14:paraId="71FC4F7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781191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Mientras se expide el registro, el productor deberá informar semestralmente a la autoridad ambiental competente sobre la categoría y cantidad de los biosólidos que está produciendo y lo relacionado con su distribución. </w:t>
      </w:r>
    </w:p>
    <w:p w14:paraId="4F185A38" w14:textId="5A9F0961"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626" w:name="ver_30075048"/>
      <w:bookmarkEnd w:id="1626"/>
    </w:p>
    <w:p w14:paraId="7449EE1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2.3.1.4.15. Ficha técnica e instructivo para biosólidos en usos diferentes al agrícola. La ficha técnica y el instructivo de uso de biosólidos, que deberá elaborar el productor y que acompañará al producto, contendrá como mínimo la siguiente información: </w:t>
      </w:r>
    </w:p>
    <w:p w14:paraId="533F905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8923FF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 Categorización del biosólido. </w:t>
      </w:r>
    </w:p>
    <w:p w14:paraId="2DAD9E9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8A9938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b) Caracterización del biosólido con los respectivos valores de los parámetros. </w:t>
      </w:r>
    </w:p>
    <w:p w14:paraId="1C8D238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D99573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 Técnica aplicada para reducir la atracción de vectores (según el Anexo 1). </w:t>
      </w:r>
    </w:p>
    <w:p w14:paraId="2EB4FE3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089D81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d) Usos recomendados del biosólido, </w:t>
      </w:r>
      <w:proofErr w:type="gramStart"/>
      <w:r w:rsidRPr="009342F9">
        <w:rPr>
          <w:rFonts w:ascii="Arial" w:eastAsia="Times New Roman" w:hAnsi="Arial" w:cs="Arial"/>
          <w:color w:val="000000"/>
          <w:lang w:eastAsia="es-CO"/>
        </w:rPr>
        <w:t>de acuerdo a</w:t>
      </w:r>
      <w:proofErr w:type="gramEnd"/>
      <w:r w:rsidRPr="009342F9">
        <w:rPr>
          <w:rFonts w:ascii="Arial" w:eastAsia="Times New Roman" w:hAnsi="Arial" w:cs="Arial"/>
          <w:color w:val="000000"/>
          <w:lang w:eastAsia="es-CO"/>
        </w:rPr>
        <w:t xml:space="preserve"> su categorización. </w:t>
      </w:r>
    </w:p>
    <w:p w14:paraId="73343FE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6844E7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 Instrucciones sobre manipulación, almacenamiento, transporte, empaque y embalaje del biosólido. </w:t>
      </w:r>
    </w:p>
    <w:p w14:paraId="0CC32B7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66612F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f) Métodos recomendados y formas de aplicación al suelo (superficial, incorporación, inyección u otras), cuando corresponda. </w:t>
      </w:r>
    </w:p>
    <w:p w14:paraId="04F39A0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068CCC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xml:space="preserve">g) Restricciones y prohibiciones del uso, </w:t>
      </w:r>
      <w:proofErr w:type="gramStart"/>
      <w:r w:rsidRPr="009342F9">
        <w:rPr>
          <w:rFonts w:ascii="Arial" w:eastAsia="Times New Roman" w:hAnsi="Arial" w:cs="Arial"/>
          <w:color w:val="000000"/>
          <w:lang w:eastAsia="es-CO"/>
        </w:rPr>
        <w:t>de acuerdo a</w:t>
      </w:r>
      <w:proofErr w:type="gramEnd"/>
      <w:r w:rsidRPr="009342F9">
        <w:rPr>
          <w:rFonts w:ascii="Arial" w:eastAsia="Times New Roman" w:hAnsi="Arial" w:cs="Arial"/>
          <w:color w:val="000000"/>
          <w:lang w:eastAsia="es-CO"/>
        </w:rPr>
        <w:t xml:space="preserve"> su categorización teniendo en cuenta lo previsto en el presente decreto. </w:t>
      </w:r>
    </w:p>
    <w:p w14:paraId="02D77617" w14:textId="435112EF"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627" w:name="ver_30075049"/>
      <w:bookmarkEnd w:id="1627"/>
    </w:p>
    <w:p w14:paraId="1ED9FE8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2.3.1.4.16. Métodos de laboratorio y frecuencias de análisis. Para la toma de muestras y la determinación de los valores máximos permisibles establecidos en este capítulo, se deberán seguir los métodos de análisis definidos por el Instituto Colombiano Agropecuario -ICA para los efectos de uso agrícola. </w:t>
      </w:r>
    </w:p>
    <w:p w14:paraId="2C05BD3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33988E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Para los casos en que la información vaya dirigida a las autoridades ambientales competentes, se podrán tomar como referencia básica los métodos de muestreo y análisis reconocidos internacionalmente (EPA </w:t>
      </w:r>
      <w:proofErr w:type="spellStart"/>
      <w:r w:rsidRPr="009342F9">
        <w:rPr>
          <w:rFonts w:ascii="Arial" w:eastAsia="Times New Roman" w:hAnsi="Arial" w:cs="Arial"/>
          <w:color w:val="000000"/>
          <w:lang w:eastAsia="es-CO"/>
        </w:rPr>
        <w:t>Environmental</w:t>
      </w:r>
      <w:proofErr w:type="spellEnd"/>
      <w:r w:rsidRPr="009342F9">
        <w:rPr>
          <w:rFonts w:ascii="Arial" w:eastAsia="Times New Roman" w:hAnsi="Arial" w:cs="Arial"/>
          <w:color w:val="000000"/>
          <w:lang w:eastAsia="es-CO"/>
        </w:rPr>
        <w:t xml:space="preserve"> </w:t>
      </w:r>
      <w:proofErr w:type="spellStart"/>
      <w:r w:rsidRPr="009342F9">
        <w:rPr>
          <w:rFonts w:ascii="Arial" w:eastAsia="Times New Roman" w:hAnsi="Arial" w:cs="Arial"/>
          <w:color w:val="000000"/>
          <w:lang w:eastAsia="es-CO"/>
        </w:rPr>
        <w:t>Protection</w:t>
      </w:r>
      <w:proofErr w:type="spellEnd"/>
      <w:r w:rsidRPr="009342F9">
        <w:rPr>
          <w:rFonts w:ascii="Arial" w:eastAsia="Times New Roman" w:hAnsi="Arial" w:cs="Arial"/>
          <w:color w:val="000000"/>
          <w:lang w:eastAsia="es-CO"/>
        </w:rPr>
        <w:t xml:space="preserve"> Agency </w:t>
      </w:r>
      <w:proofErr w:type="spellStart"/>
      <w:r w:rsidRPr="009342F9">
        <w:rPr>
          <w:rFonts w:ascii="Arial" w:eastAsia="Times New Roman" w:hAnsi="Arial" w:cs="Arial"/>
          <w:color w:val="000000"/>
          <w:lang w:eastAsia="es-CO"/>
        </w:rPr>
        <w:t>part</w:t>
      </w:r>
      <w:proofErr w:type="spellEnd"/>
      <w:r w:rsidRPr="009342F9">
        <w:rPr>
          <w:rFonts w:ascii="Arial" w:eastAsia="Times New Roman" w:hAnsi="Arial" w:cs="Arial"/>
          <w:color w:val="000000"/>
          <w:lang w:eastAsia="es-CO"/>
        </w:rPr>
        <w:t xml:space="preserve"> 503, ASTM -American </w:t>
      </w:r>
      <w:proofErr w:type="spellStart"/>
      <w:r w:rsidRPr="009342F9">
        <w:rPr>
          <w:rFonts w:ascii="Arial" w:eastAsia="Times New Roman" w:hAnsi="Arial" w:cs="Arial"/>
          <w:color w:val="000000"/>
          <w:lang w:eastAsia="es-CO"/>
        </w:rPr>
        <w:t>Society</w:t>
      </w:r>
      <w:proofErr w:type="spellEnd"/>
      <w:r w:rsidRPr="009342F9">
        <w:rPr>
          <w:rFonts w:ascii="Arial" w:eastAsia="Times New Roman" w:hAnsi="Arial" w:cs="Arial"/>
          <w:color w:val="000000"/>
          <w:lang w:eastAsia="es-CO"/>
        </w:rPr>
        <w:t xml:space="preserve"> </w:t>
      </w:r>
      <w:proofErr w:type="spellStart"/>
      <w:r w:rsidRPr="009342F9">
        <w:rPr>
          <w:rFonts w:ascii="Arial" w:eastAsia="Times New Roman" w:hAnsi="Arial" w:cs="Arial"/>
          <w:color w:val="000000"/>
          <w:lang w:eastAsia="es-CO"/>
        </w:rPr>
        <w:t>for</w:t>
      </w:r>
      <w:proofErr w:type="spellEnd"/>
      <w:r w:rsidRPr="009342F9">
        <w:rPr>
          <w:rFonts w:ascii="Arial" w:eastAsia="Times New Roman" w:hAnsi="Arial" w:cs="Arial"/>
          <w:color w:val="000000"/>
          <w:lang w:eastAsia="es-CO"/>
        </w:rPr>
        <w:t xml:space="preserve"> </w:t>
      </w:r>
      <w:proofErr w:type="spellStart"/>
      <w:r w:rsidRPr="009342F9">
        <w:rPr>
          <w:rFonts w:ascii="Arial" w:eastAsia="Times New Roman" w:hAnsi="Arial" w:cs="Arial"/>
          <w:color w:val="000000"/>
          <w:lang w:eastAsia="es-CO"/>
        </w:rPr>
        <w:t>testing</w:t>
      </w:r>
      <w:proofErr w:type="spellEnd"/>
      <w:r w:rsidRPr="009342F9">
        <w:rPr>
          <w:rFonts w:ascii="Arial" w:eastAsia="Times New Roman" w:hAnsi="Arial" w:cs="Arial"/>
          <w:color w:val="000000"/>
          <w:lang w:eastAsia="es-CO"/>
        </w:rPr>
        <w:t xml:space="preserve"> and </w:t>
      </w:r>
      <w:proofErr w:type="spellStart"/>
      <w:r w:rsidRPr="009342F9">
        <w:rPr>
          <w:rFonts w:ascii="Arial" w:eastAsia="Times New Roman" w:hAnsi="Arial" w:cs="Arial"/>
          <w:color w:val="000000"/>
          <w:lang w:eastAsia="es-CO"/>
        </w:rPr>
        <w:t>Materials</w:t>
      </w:r>
      <w:proofErr w:type="spellEnd"/>
      <w:r w:rsidRPr="009342F9">
        <w:rPr>
          <w:rFonts w:ascii="Arial" w:eastAsia="Times New Roman" w:hAnsi="Arial" w:cs="Arial"/>
          <w:color w:val="000000"/>
          <w:lang w:eastAsia="es-CO"/>
        </w:rPr>
        <w:t>, APHA -AWWA -</w:t>
      </w:r>
      <w:proofErr w:type="spellStart"/>
      <w:r w:rsidRPr="009342F9">
        <w:rPr>
          <w:rFonts w:ascii="Arial" w:eastAsia="Times New Roman" w:hAnsi="Arial" w:cs="Arial"/>
          <w:color w:val="000000"/>
          <w:lang w:eastAsia="es-CO"/>
        </w:rPr>
        <w:t>WEFStandard</w:t>
      </w:r>
      <w:proofErr w:type="spellEnd"/>
      <w:r w:rsidRPr="009342F9">
        <w:rPr>
          <w:rFonts w:ascii="Arial" w:eastAsia="Times New Roman" w:hAnsi="Arial" w:cs="Arial"/>
          <w:color w:val="000000"/>
          <w:lang w:eastAsia="es-CO"/>
        </w:rPr>
        <w:t xml:space="preserve"> </w:t>
      </w:r>
      <w:proofErr w:type="spellStart"/>
      <w:r w:rsidRPr="009342F9">
        <w:rPr>
          <w:rFonts w:ascii="Arial" w:eastAsia="Times New Roman" w:hAnsi="Arial" w:cs="Arial"/>
          <w:color w:val="000000"/>
          <w:lang w:eastAsia="es-CO"/>
        </w:rPr>
        <w:t>Methods</w:t>
      </w:r>
      <w:proofErr w:type="spellEnd"/>
      <w:r w:rsidRPr="009342F9">
        <w:rPr>
          <w:rFonts w:ascii="Arial" w:eastAsia="Times New Roman" w:hAnsi="Arial" w:cs="Arial"/>
          <w:color w:val="000000"/>
          <w:lang w:eastAsia="es-CO"/>
        </w:rPr>
        <w:t xml:space="preserve">, NTC-Normas Técnicas Colombianas, ISO-IEC-International </w:t>
      </w:r>
      <w:proofErr w:type="spellStart"/>
      <w:r w:rsidRPr="009342F9">
        <w:rPr>
          <w:rFonts w:ascii="Arial" w:eastAsia="Times New Roman" w:hAnsi="Arial" w:cs="Arial"/>
          <w:color w:val="000000"/>
          <w:lang w:eastAsia="es-CO"/>
        </w:rPr>
        <w:t>Electrotechnical</w:t>
      </w:r>
      <w:proofErr w:type="spellEnd"/>
      <w:r w:rsidRPr="009342F9">
        <w:rPr>
          <w:rFonts w:ascii="Arial" w:eastAsia="Times New Roman" w:hAnsi="Arial" w:cs="Arial"/>
          <w:color w:val="000000"/>
          <w:lang w:eastAsia="es-CO"/>
        </w:rPr>
        <w:t xml:space="preserve"> </w:t>
      </w:r>
      <w:proofErr w:type="spellStart"/>
      <w:r w:rsidRPr="009342F9">
        <w:rPr>
          <w:rFonts w:ascii="Arial" w:eastAsia="Times New Roman" w:hAnsi="Arial" w:cs="Arial"/>
          <w:color w:val="000000"/>
          <w:lang w:eastAsia="es-CO"/>
        </w:rPr>
        <w:t>Commission</w:t>
      </w:r>
      <w:proofErr w:type="spellEnd"/>
      <w:r w:rsidRPr="009342F9">
        <w:rPr>
          <w:rFonts w:ascii="Arial" w:eastAsia="Times New Roman" w:hAnsi="Arial" w:cs="Arial"/>
          <w:color w:val="000000"/>
          <w:lang w:eastAsia="es-CO"/>
        </w:rPr>
        <w:t xml:space="preserve"> y los métodos publicados aplicados a biosólidos establecidos por el Instituto de Hidrología, Meteorología y Estudios Ambientales IDEAM). </w:t>
      </w:r>
    </w:p>
    <w:p w14:paraId="0144F0A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CD163D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1. Para usos diferentes al agrícola, el productor deberá realizar la caracterización por lotes. Si la caracterización por lotes resulta con una frecuencia menor a la establecida en la Tabla 5, se aplicará lo dispuesto en dicha tabla. </w:t>
      </w:r>
    </w:p>
    <w:p w14:paraId="17EF8D1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C047ED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Tabla 5. Producción de biosólidos y frecuencia de análisis. </w:t>
      </w:r>
    </w:p>
    <w:p w14:paraId="32324458" w14:textId="2FAE09DA"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628" w:name="ver_30075050"/>
      <w:bookmarkEnd w:id="1628"/>
    </w:p>
    <w:p w14:paraId="4D74A82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2.3.1.4.17. Base de cálculo para los análisis de laboratorio. Los métodos de análisis de laboratorio para los parámetros de los </w:t>
      </w:r>
      <w:proofErr w:type="gramStart"/>
      <w:r w:rsidRPr="009342F9">
        <w:rPr>
          <w:rFonts w:ascii="Arial" w:eastAsia="Times New Roman" w:hAnsi="Arial" w:cs="Arial"/>
          <w:color w:val="000000"/>
          <w:lang w:eastAsia="es-CO"/>
        </w:rPr>
        <w:t>biosólidos,</w:t>
      </w:r>
      <w:proofErr w:type="gramEnd"/>
      <w:r w:rsidRPr="009342F9">
        <w:rPr>
          <w:rFonts w:ascii="Arial" w:eastAsia="Times New Roman" w:hAnsi="Arial" w:cs="Arial"/>
          <w:color w:val="000000"/>
          <w:lang w:eastAsia="es-CO"/>
        </w:rPr>
        <w:t xml:space="preserve"> se llevarán a cabo sobre la muestra seca, molida y tamizada, y los resultados de los análisis se expresarán en base seca. </w:t>
      </w:r>
    </w:p>
    <w:p w14:paraId="7A351E0A" w14:textId="2920031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629" w:name="ver_30075051"/>
      <w:bookmarkEnd w:id="1629"/>
    </w:p>
    <w:p w14:paraId="62CE6C0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2.3.1.4.18. Laboratorios. Los laboratorios que realicen muestreo y análisis físicos, químicos y microbiológicos a los que se refiere el presente capítulo tendrán plazo de un (1) año, contado a partir del 10 de julio de 2014 para que sean autorizados ante el ICA para la realización de ensayos de tipo agrícola. </w:t>
      </w:r>
    </w:p>
    <w:p w14:paraId="2414353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64A80E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De la misma manera, contarán con un periodo de dos (2) años, contados a partir del 10 de julio de 2014 para que sean acreditados ante el IDEAM para los muestreos y ensayos de laboratorio cuyos resultados vayan dirigidos a las autoridades ambientales competentes. Una vez vencido el plazo establecido en el presente artículo, no se aceptarán resultados de laboratorios que no cuenten con la debida acreditación. </w:t>
      </w:r>
    </w:p>
    <w:p w14:paraId="63401CC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D9C9F4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La toma de muestras debe ser realizada por personal certificado por el SENA en competencias laborales para desarrollar dicha labor. En el período de transición, mientras se certifica el personal de que trata el presente artículo, esta actividad se podrá continuar realizando siempre y cuando se cumpla con estándares internacionales y las empresas demuestren que el personal que realiza dicha labor ha sido capacitado para tal fin. </w:t>
      </w:r>
    </w:p>
    <w:p w14:paraId="37DC3A84" w14:textId="1D5B3D25"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630" w:name="ver_30075052"/>
      <w:bookmarkEnd w:id="1630"/>
    </w:p>
    <w:p w14:paraId="16BDA722" w14:textId="77777777" w:rsidR="00FC79C1"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2.3.1.4.19. Fomento al uso de biosólidos. Los municipios, distritos, áreas metropolitanas, departamentos y las entidades públicas del orden nacional que adelanten acciones de recuperación, mejoramiento o restauración de suelos degradados, escombreras, cierre y clausura de rellenos sanitarios podrán promover el uso de los biosólidos, de acuerdo con las alternativas de uso establecidas en el presente capítulo. </w:t>
      </w:r>
    </w:p>
    <w:p w14:paraId="79ACB37E" w14:textId="77777777" w:rsidR="00452CA3" w:rsidRDefault="00452CA3" w:rsidP="00FC79C1">
      <w:pPr>
        <w:spacing w:after="0" w:line="240" w:lineRule="auto"/>
        <w:jc w:val="both"/>
        <w:rPr>
          <w:rFonts w:ascii="Arial" w:eastAsia="Times New Roman" w:hAnsi="Arial" w:cs="Arial"/>
          <w:color w:val="000000"/>
          <w:lang w:eastAsia="es-CO"/>
        </w:rPr>
      </w:pPr>
    </w:p>
    <w:p w14:paraId="43A53655" w14:textId="77777777" w:rsidR="00452CA3" w:rsidRPr="009342F9" w:rsidRDefault="00452CA3" w:rsidP="00FC79C1">
      <w:pPr>
        <w:spacing w:after="0" w:line="240" w:lineRule="auto"/>
        <w:jc w:val="both"/>
        <w:rPr>
          <w:rFonts w:ascii="Arial" w:eastAsia="Times New Roman" w:hAnsi="Arial" w:cs="Arial"/>
          <w:color w:val="000000"/>
          <w:lang w:eastAsia="es-CO"/>
        </w:rPr>
      </w:pPr>
    </w:p>
    <w:p w14:paraId="3C3941E9" w14:textId="77777777" w:rsidR="00377DAA" w:rsidRDefault="00FC79C1" w:rsidP="00377DAA">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B3C9712" w14:textId="5ED2133F" w:rsidR="00FC79C1" w:rsidRPr="009342F9" w:rsidRDefault="00FC79C1" w:rsidP="00377DAA">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lastRenderedPageBreak/>
        <w:t>ANEXO 1</w:t>
      </w:r>
    </w:p>
    <w:p w14:paraId="2E7C50C1" w14:textId="3628AEDD" w:rsidR="00FC79C1" w:rsidRPr="009342F9" w:rsidRDefault="00FC79C1" w:rsidP="00F74103">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REQUERIMIENTOS PARA LA REDUCCIÓN DE LA CAPACIDAD DE FERMENTACIÓN, ATRACCIÓN DE VECTORES Y PATÓGENOS</w:t>
      </w:r>
    </w:p>
    <w:p w14:paraId="7232C3F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094866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Para la reducción de la capacidad de fermentación, atracción de vectores y patógenos se deberá cumplir con una de las nueve (9) opciones definidas. </w:t>
      </w:r>
    </w:p>
    <w:p w14:paraId="7CF3F68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6466BB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Ensayos:  </w:t>
      </w:r>
    </w:p>
    <w:p w14:paraId="469F4C4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83E493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Opción 1: Reducción del contenido de sólidos volátiles. Reducir mínimo a un 38% el contenido de sólidos volátiles en los lodos, mediante digestión aeróbica o anaeróbica. Para biosólidos generados en lagunas de tratamiento, la reducción será calculada y comparada, a partir de los sólidos volátiles presentes en el agua, en el afluente a la planta. </w:t>
      </w:r>
    </w:p>
    <w:p w14:paraId="388B7B6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A09EFA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Opción 2: Digestión adicional de los lodos digeridos anaeróbicamente. En el caso de que no resulte factible reducir al 38% el contenido de sólidos volátiles mediante la Opción 1, se deberá demostrar en una unidad a escala de laboratorio, que una porción de los biosólidos, que previamente fueron digeridos, con una digestión anaeróbica por cuarenta (40) días adicionales, a una temperatura entre 30°C y 37°C, su reducción del contenido de sólidos volátiles es menor de 17%. </w:t>
      </w:r>
    </w:p>
    <w:p w14:paraId="4A3B3C8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D8DA14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Opción 3: Digestión adicional de los biosólidos digeridos aeróbicamente. Esta prueba solamente es aplicable a los biosólidos con alto contenido de humedad digeridos aeróbicamente. Se considera que los biosólidos digeridos aeróbicamente con 2% de sólidos o menos, han logrado la reducción de atracción de vectores si después de treinta (30) días de digestión aeróbica en una prueba de laboratorio a 20°C, su reducción del contenido de sólidos volátiles es menor de 15%. </w:t>
      </w:r>
    </w:p>
    <w:p w14:paraId="1D709D9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459CB2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Opción 4: Tasa específica de absorción de oxígeno (TEAO) para biosólidos digeridos aeróbicamente. Esta prueba solamente es aplicable a los biosólidos con alto contenido de humedad, o sea aquel que puede comportarse como un líquido, los cuales han sido digeridos aeróbicamente. Se demuestra si la TEAO de los biosólidos que son aplicados, determinada a 20°C, es igual o menor de 1,5 mg de O2 /hora - g de sólidos totales (base seca). </w:t>
      </w:r>
    </w:p>
    <w:p w14:paraId="03D333D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87994E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Procesos:  </w:t>
      </w:r>
    </w:p>
    <w:p w14:paraId="4B533AA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2FE5B2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Opción 5: Procesos aeróbicos a más de 40°C. Aplica primordialmente a biosólidos compostados que contienen agentes abultadores orgánicos parcialmente descompuestos. Los biosólidos deben ser tratados aeróbicamente por catorce (14) días o más, tiempo durante el cual la temperatura deberá rebasar siempre los 40°C y el promedio deberá ser mayor de 45°C. </w:t>
      </w:r>
    </w:p>
    <w:p w14:paraId="02FCE23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A7FC83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Opción 6: Adición de materia alcalina. Adicionar suficiente materia alcalina para: </w:t>
      </w:r>
    </w:p>
    <w:p w14:paraId="5330336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B30F65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Elevar el pH hasta por lo menos el valor de 12, a 25°C, y, sin añadir más materia alcalina, mantenerlo por dos (2) horas; luego - Mantener el pH por lo menos en 11,5 sin la adición de más materia alcalina durante otras veintidós (22) horas. </w:t>
      </w:r>
    </w:p>
    <w:p w14:paraId="206683F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7E0EB4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Opción 7: Reducción del contenido de humedad en biosólidos que no contienen sólidos sin estabilizar. Incrementar el contenido de sólidos al 75% en los biosólidos cuando estos no contienen lodos no estabilizados del tratamiento primario. En el caso de que los biosólidos contengan lodos no estabilizados del tratamiento primario, se debe incrementar el contenido de </w:t>
      </w:r>
      <w:r w:rsidRPr="009342F9">
        <w:rPr>
          <w:rFonts w:ascii="Arial" w:eastAsia="Times New Roman" w:hAnsi="Arial" w:cs="Arial"/>
          <w:color w:val="000000"/>
          <w:lang w:eastAsia="es-CO"/>
        </w:rPr>
        <w:lastRenderedPageBreak/>
        <w:t>sólidos al 90%. El incremento en el contenido de sólidos debe conseguirse removiéndoles agua y no mediante la dilución con sólidos inertes. </w:t>
      </w:r>
    </w:p>
    <w:p w14:paraId="2AAFC3A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3F115D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Aplicación:  </w:t>
      </w:r>
    </w:p>
    <w:p w14:paraId="42DE9EF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185FBE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Opción 8: Inyección de biosólidos al suelo. Inyectar los biosólidos por debajo de la superficie del terreno, de tal manera que no se observe encharcamiento sobre la superficie una (1) hora después de la inyección. Si los biosólidos son categoría A con respecto a patógenos, deben ser inyectados dentro de las ocho (8) horas siguientes al descargue para su aplicación. </w:t>
      </w:r>
    </w:p>
    <w:p w14:paraId="3C1D4B9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AE8EFB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Opción 9: Incorporación de biosólidos al suelo. Incorporar al suelo los biosólidos dentro de las seis (6) horas posteriores a su descarga o aplicación sobre el terreno. La incorporación se consigue arando o mediante algún otro método que mezcle los biosólidos con el suelo. Si los biosólidos son categoría A con respecto a patógenos, el tiempo entre la aplicación y el procesado no debe exceder de las ocho (8) horas al igual que en el caso de la inyección. </w:t>
      </w:r>
    </w:p>
    <w:p w14:paraId="65400FF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5B29A67" w14:textId="51C929A1" w:rsidR="00FC79C1" w:rsidRPr="009342F9" w:rsidRDefault="00FC79C1" w:rsidP="00F74103">
      <w:pPr>
        <w:spacing w:after="0" w:line="240" w:lineRule="auto"/>
        <w:jc w:val="center"/>
        <w:rPr>
          <w:rFonts w:ascii="Arial" w:eastAsia="Times New Roman" w:hAnsi="Arial" w:cs="Arial"/>
          <w:b/>
          <w:bCs/>
          <w:color w:val="000000"/>
          <w:lang w:eastAsia="es-CO"/>
        </w:rPr>
      </w:pPr>
      <w:r w:rsidRPr="231E957E">
        <w:rPr>
          <w:rFonts w:ascii="Arial" w:eastAsia="Times New Roman" w:hAnsi="Arial" w:cs="Arial"/>
          <w:b/>
          <w:color w:val="000000" w:themeColor="text1"/>
          <w:lang w:eastAsia="es-CO"/>
        </w:rPr>
        <w:t>ANEXO 2</w:t>
      </w:r>
    </w:p>
    <w:p w14:paraId="443F6C35" w14:textId="4536928F" w:rsidR="00FC79C1" w:rsidRPr="009342F9" w:rsidRDefault="00FC79C1" w:rsidP="00F74103">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DETERMINACIÓN DE LA TASA ANUAL DE APLICACIÓN DE BIOSÓLIDOS</w:t>
      </w:r>
    </w:p>
    <w:p w14:paraId="5026FB0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2792A3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El procedimiento para determinar la Tasa Anual de Aplicación de Biosólidos (TAAB) se describe a continuación. </w:t>
      </w:r>
    </w:p>
    <w:p w14:paraId="7D553E5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A44AE6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1. Analizar una muestra de los biosólidos para determinar la concentración de cada </w:t>
      </w:r>
      <w:proofErr w:type="gramStart"/>
      <w:r w:rsidRPr="009342F9">
        <w:rPr>
          <w:rFonts w:ascii="Arial" w:eastAsia="Times New Roman" w:hAnsi="Arial" w:cs="Arial"/>
          <w:color w:val="000000"/>
          <w:lang w:eastAsia="es-CO"/>
        </w:rPr>
        <w:t>uno</w:t>
      </w:r>
      <w:proofErr w:type="gramEnd"/>
      <w:r w:rsidRPr="009342F9">
        <w:rPr>
          <w:rFonts w:ascii="Arial" w:eastAsia="Times New Roman" w:hAnsi="Arial" w:cs="Arial"/>
          <w:color w:val="000000"/>
          <w:lang w:eastAsia="es-CO"/>
        </w:rPr>
        <w:t xml:space="preserve"> de las variables que figuran en la tabla No 3 del presente decreto. </w:t>
      </w:r>
    </w:p>
    <w:p w14:paraId="47E465E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0258A9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Usando las concentraciones de contaminantes del paso 1 y la TMAA de la Tabla No 3, calcular la TAAB para cada contaminante utilizando la ecuación (1). </w:t>
      </w:r>
    </w:p>
    <w:p w14:paraId="5B425D2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BFC980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La TAAB para el uso del biosólido, es la TAAB más baja calculada en el Paso 2. </w:t>
      </w:r>
    </w:p>
    <w:p w14:paraId="44603B5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 relación entre la TMAA para un parámetro y la TAAB para alguna categoría de biosólido, se muestra en la ecuación 1. </w:t>
      </w:r>
    </w:p>
    <w:p w14:paraId="1938711D" w14:textId="59A1560F"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5581D22" w14:textId="77777777" w:rsidR="00FC79C1" w:rsidRPr="009342F9" w:rsidRDefault="00FC79C1" w:rsidP="00F74103">
      <w:pPr>
        <w:spacing w:after="0" w:line="240" w:lineRule="auto"/>
        <w:jc w:val="center"/>
        <w:rPr>
          <w:rFonts w:ascii="Arial" w:eastAsia="Times New Roman" w:hAnsi="Arial" w:cs="Arial"/>
          <w:b/>
          <w:bCs/>
          <w:color w:val="000000"/>
          <w:lang w:eastAsia="es-CO"/>
        </w:rPr>
      </w:pPr>
      <w:bookmarkStart w:id="1631" w:name="ver_30176724"/>
      <w:bookmarkEnd w:id="1631"/>
      <w:r w:rsidRPr="009342F9">
        <w:rPr>
          <w:rFonts w:ascii="Arial" w:eastAsia="Times New Roman" w:hAnsi="Arial" w:cs="Arial"/>
          <w:b/>
          <w:bCs/>
          <w:color w:val="000000"/>
          <w:lang w:eastAsia="es-CO"/>
        </w:rPr>
        <w:t>CAPÍTULO 5</w:t>
      </w:r>
    </w:p>
    <w:p w14:paraId="406272A6" w14:textId="77777777" w:rsidR="00FC79C1" w:rsidRPr="009342F9" w:rsidRDefault="00FC79C1" w:rsidP="00F74103">
      <w:pPr>
        <w:spacing w:after="0" w:line="240" w:lineRule="auto"/>
        <w:jc w:val="center"/>
        <w:rPr>
          <w:rFonts w:ascii="Arial" w:eastAsia="Times New Roman" w:hAnsi="Arial" w:cs="Arial"/>
          <w:b/>
          <w:bCs/>
          <w:color w:val="000000"/>
          <w:lang w:eastAsia="es-CO"/>
        </w:rPr>
      </w:pPr>
      <w:r w:rsidRPr="231E957E">
        <w:rPr>
          <w:rFonts w:ascii="Arial" w:eastAsia="Times New Roman" w:hAnsi="Arial" w:cs="Arial"/>
          <w:b/>
          <w:color w:val="000000" w:themeColor="text1"/>
          <w:lang w:eastAsia="es-CO"/>
        </w:rPr>
        <w:t>DE LAS INVERSIONES AMBIENTALES</w:t>
      </w:r>
    </w:p>
    <w:p w14:paraId="5B4E4BCF"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632" w:name="ver_30176725"/>
      <w:bookmarkEnd w:id="1632"/>
    </w:p>
    <w:p w14:paraId="65BF347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2.3.1.5.1. Objeto. El presente capítulo tiene por objeto establecer el mecanismo para la inclusión de costos adicionales a los establecidos por las normas ambientales, destinados a garantizar la adecuada protección de las cuencas y fuentes de agua, por parte de las personas prestadoras de los servicios públicos de acueducto y alcantarillado.  </w:t>
      </w:r>
    </w:p>
    <w:p w14:paraId="6D964149" w14:textId="1D6F5CAF" w:rsidR="00FC79C1" w:rsidRPr="009342F9" w:rsidRDefault="00FC79C1" w:rsidP="00F74103">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633" w:name="ver_30176727"/>
      <w:bookmarkEnd w:id="1633"/>
    </w:p>
    <w:p w14:paraId="3853856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2.3.1.5.2 Ámbito de aplicación. El presente Capítulo aplica a todas las personas prestadoras de los servicios públicos domiciliarios de acueducto y alcantarillado en el territorio nacional, a la Comisión de Regulación de Agua potable y Saneamiento Básico y a la Superintendencia de Servicios Públicos Domiciliarios. </w:t>
      </w:r>
    </w:p>
    <w:p w14:paraId="7731B23B" w14:textId="77777777" w:rsidR="00FC79C1" w:rsidRPr="009342F9" w:rsidRDefault="00FC79C1" w:rsidP="00FC79C1">
      <w:pPr>
        <w:spacing w:after="0" w:line="240" w:lineRule="auto"/>
        <w:jc w:val="both"/>
        <w:rPr>
          <w:rFonts w:ascii="Arial" w:eastAsia="Times New Roman" w:hAnsi="Arial" w:cs="Arial"/>
          <w:color w:val="000000"/>
          <w:lang w:eastAsia="es-CO"/>
        </w:rPr>
      </w:pPr>
    </w:p>
    <w:p w14:paraId="4678CF84"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634" w:name="ver_30176729"/>
      <w:bookmarkEnd w:id="1634"/>
      <w:r w:rsidRPr="009342F9">
        <w:rPr>
          <w:rFonts w:ascii="Arial" w:eastAsia="Times New Roman" w:hAnsi="Arial" w:cs="Arial"/>
          <w:color w:val="000000"/>
          <w:lang w:eastAsia="es-CO"/>
        </w:rPr>
        <w:t>Artículo 2.3.1.5.3 Inversiones ambientales. Para los efectos del presente capitulo, se permitirá reconocer los costos de protección de las fuentes de agua tendientes a garantizar la adecuada protección de las cuencas y fuentes de agua.  </w:t>
      </w:r>
    </w:p>
    <w:p w14:paraId="23BDD67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4D87E9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Parágrafo 1°. El Ministerio de Vivienda, Ciudad y Territorio señalará a través de acto administrativo de carácter general, las inversiones que permitan reconocer los costos de que trata el presente artículo.  </w:t>
      </w:r>
    </w:p>
    <w:p w14:paraId="407C98D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700E00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Los costos así reconocidos deberán estar articulados con los instrumentos de planificación ambiental del recurso hídrico.  </w:t>
      </w:r>
    </w:p>
    <w:p w14:paraId="479F378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222C8E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2°. También se podrán reconocer las inversiones en las modalidades de pagos por servicios ambientales, enfocadas directamente a garantizar la adecuada protección de las cuencas y fuentes de agua, de acuerdo con las reglas contenidas en el Decreto-ley 870 de 2017 y sus normas reglamentarias.  </w:t>
      </w:r>
    </w:p>
    <w:p w14:paraId="4B81437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906235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3°. Las inversiones que en el marco de este decreto se realicen en monitoreo de cuencas y fuentes abastecedoras de agua, serán coordinadas con el Instituto de Hidrología, Meteorología y estudios Ambientales (</w:t>
      </w:r>
      <w:proofErr w:type="spellStart"/>
      <w:r w:rsidRPr="009342F9">
        <w:rPr>
          <w:rFonts w:ascii="Arial" w:eastAsia="Times New Roman" w:hAnsi="Arial" w:cs="Arial"/>
          <w:color w:val="000000"/>
          <w:lang w:eastAsia="es-CO"/>
        </w:rPr>
        <w:t>Ideam</w:t>
      </w:r>
      <w:proofErr w:type="spellEnd"/>
      <w:r w:rsidRPr="009342F9">
        <w:rPr>
          <w:rFonts w:ascii="Arial" w:eastAsia="Times New Roman" w:hAnsi="Arial" w:cs="Arial"/>
          <w:color w:val="000000"/>
          <w:lang w:eastAsia="es-CO"/>
        </w:rPr>
        <w:t xml:space="preserve">). La información generada por dicho </w:t>
      </w:r>
      <w:proofErr w:type="gramStart"/>
      <w:r w:rsidRPr="009342F9">
        <w:rPr>
          <w:rFonts w:ascii="Arial" w:eastAsia="Times New Roman" w:hAnsi="Arial" w:cs="Arial"/>
          <w:color w:val="000000"/>
          <w:lang w:eastAsia="es-CO"/>
        </w:rPr>
        <w:t>monitoreo,</w:t>
      </w:r>
      <w:proofErr w:type="gramEnd"/>
      <w:r w:rsidRPr="009342F9">
        <w:rPr>
          <w:rFonts w:ascii="Arial" w:eastAsia="Times New Roman" w:hAnsi="Arial" w:cs="Arial"/>
          <w:color w:val="000000"/>
          <w:lang w:eastAsia="es-CO"/>
        </w:rPr>
        <w:t xml:space="preserve"> deberá ser reportada al </w:t>
      </w:r>
      <w:proofErr w:type="spellStart"/>
      <w:r w:rsidRPr="009342F9">
        <w:rPr>
          <w:rFonts w:ascii="Arial" w:eastAsia="Times New Roman" w:hAnsi="Arial" w:cs="Arial"/>
          <w:color w:val="000000"/>
          <w:lang w:eastAsia="es-CO"/>
        </w:rPr>
        <w:t>Ideam</w:t>
      </w:r>
      <w:proofErr w:type="spellEnd"/>
      <w:r w:rsidRPr="009342F9">
        <w:rPr>
          <w:rFonts w:ascii="Arial" w:eastAsia="Times New Roman" w:hAnsi="Arial" w:cs="Arial"/>
          <w:color w:val="000000"/>
          <w:lang w:eastAsia="es-CO"/>
        </w:rPr>
        <w:t>. </w:t>
      </w:r>
    </w:p>
    <w:p w14:paraId="359972AC" w14:textId="3BB5801B"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635" w:name="ver_30176730"/>
      <w:bookmarkEnd w:id="1635"/>
    </w:p>
    <w:p w14:paraId="5AD0FC1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2.3.1.5.4 Incorporación de los costos relacionados con las inversiones ambientales. Los costos encaminados a garantizar la adecuada protección de las cuencas y fuentes de </w:t>
      </w:r>
      <w:proofErr w:type="gramStart"/>
      <w:r w:rsidRPr="009342F9">
        <w:rPr>
          <w:rFonts w:ascii="Arial" w:eastAsia="Times New Roman" w:hAnsi="Arial" w:cs="Arial"/>
          <w:color w:val="000000"/>
          <w:lang w:eastAsia="es-CO"/>
        </w:rPr>
        <w:t>agua,</w:t>
      </w:r>
      <w:proofErr w:type="gramEnd"/>
      <w:r w:rsidRPr="009342F9">
        <w:rPr>
          <w:rFonts w:ascii="Arial" w:eastAsia="Times New Roman" w:hAnsi="Arial" w:cs="Arial"/>
          <w:color w:val="000000"/>
          <w:lang w:eastAsia="es-CO"/>
        </w:rPr>
        <w:t xml:space="preserve"> serán incorporados en las tarifas de los servicios públicos domiciliarios de acueducto y alcantarillado, siguiendo los criterios definidos por la Comisión de Regulación de Agua Potable y Saneamiento Básico.  </w:t>
      </w:r>
    </w:p>
    <w:p w14:paraId="1E63BC6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33F57D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1°. El Ministerio de Vivienda, Ciudad y Territorio señalará el lapso en que la Comisión de Regulación de Agua Potable y Saneamiento Básico (CRA), deberá expedir la regulación necesaria para incorporar los costos de que trata el presente capítulo.  </w:t>
      </w:r>
    </w:p>
    <w:p w14:paraId="6018C0B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0A5498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2°. Una vez la Comisión de Regulación de Agua Potable y Saneamiento Básico (CRA), expida la regulación señalada en el parágrafo anterior, la Superintendencia de Servicios Públicos Domiciliarios definirá el mecanismo de inspección, vigilancia y control.  </w:t>
      </w:r>
    </w:p>
    <w:p w14:paraId="66E5B0C9" w14:textId="3D004EA5"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8626BC7" w14:textId="77777777" w:rsidR="00FC79C1" w:rsidRPr="009342F9" w:rsidRDefault="00FC79C1" w:rsidP="00F74103">
      <w:pPr>
        <w:spacing w:after="0" w:line="240" w:lineRule="auto"/>
        <w:jc w:val="center"/>
        <w:rPr>
          <w:rFonts w:ascii="Arial" w:eastAsia="Times New Roman" w:hAnsi="Arial" w:cs="Arial"/>
          <w:b/>
          <w:bCs/>
          <w:color w:val="000000"/>
          <w:lang w:eastAsia="es-CO"/>
        </w:rPr>
      </w:pPr>
      <w:bookmarkStart w:id="1636" w:name="ver_30075053"/>
      <w:bookmarkEnd w:id="1636"/>
      <w:r w:rsidRPr="009342F9">
        <w:rPr>
          <w:rFonts w:ascii="Arial" w:eastAsia="Times New Roman" w:hAnsi="Arial" w:cs="Arial"/>
          <w:b/>
          <w:bCs/>
          <w:color w:val="000000"/>
          <w:lang w:eastAsia="es-CO"/>
        </w:rPr>
        <w:t>TÍTULO 2</w:t>
      </w:r>
    </w:p>
    <w:p w14:paraId="42CD6AB0" w14:textId="77777777" w:rsidR="00FC79C1" w:rsidRDefault="00FC79C1" w:rsidP="00F74103">
      <w:pPr>
        <w:spacing w:after="0" w:line="240" w:lineRule="auto"/>
        <w:jc w:val="center"/>
        <w:rPr>
          <w:rFonts w:ascii="Arial" w:eastAsia="Times New Roman" w:hAnsi="Arial" w:cs="Arial"/>
          <w:b/>
          <w:bCs/>
          <w:color w:val="000000"/>
          <w:lang w:eastAsia="es-CO"/>
        </w:rPr>
      </w:pPr>
      <w:r w:rsidRPr="231E957E">
        <w:rPr>
          <w:rFonts w:ascii="Arial" w:eastAsia="Times New Roman" w:hAnsi="Arial" w:cs="Arial"/>
          <w:b/>
          <w:color w:val="000000" w:themeColor="text1"/>
          <w:lang w:eastAsia="es-CO"/>
        </w:rPr>
        <w:t>SERVICIO PÚBLICO DE ASEO</w:t>
      </w:r>
    </w:p>
    <w:p w14:paraId="49975E12" w14:textId="77777777" w:rsidR="005C5EEB" w:rsidRPr="009342F9" w:rsidRDefault="005C5EEB" w:rsidP="00F74103">
      <w:pPr>
        <w:spacing w:after="0" w:line="240" w:lineRule="auto"/>
        <w:jc w:val="center"/>
        <w:rPr>
          <w:rFonts w:ascii="Arial" w:eastAsia="Times New Roman" w:hAnsi="Arial" w:cs="Arial"/>
          <w:b/>
          <w:bCs/>
          <w:color w:val="000000"/>
          <w:lang w:eastAsia="es-CO"/>
        </w:rPr>
      </w:pPr>
    </w:p>
    <w:p w14:paraId="5D82C105" w14:textId="77777777" w:rsidR="00FC79C1" w:rsidRPr="009342F9" w:rsidRDefault="00FC79C1" w:rsidP="00F74103">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CAPÍTULO 1</w:t>
      </w:r>
    </w:p>
    <w:p w14:paraId="7C33C9E9" w14:textId="77777777" w:rsidR="00FC79C1" w:rsidRPr="009342F9" w:rsidRDefault="00FC79C1" w:rsidP="00F74103">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DEFINICIONES</w:t>
      </w:r>
    </w:p>
    <w:p w14:paraId="69D5DB77" w14:textId="77777777" w:rsidR="00FC79C1" w:rsidRPr="009342F9" w:rsidRDefault="00FC79C1" w:rsidP="00F74103">
      <w:pPr>
        <w:spacing w:after="0" w:line="240" w:lineRule="auto"/>
        <w:jc w:val="center"/>
        <w:rPr>
          <w:rFonts w:ascii="Arial" w:eastAsia="Times New Roman" w:hAnsi="Arial" w:cs="Arial"/>
          <w:b/>
          <w:bCs/>
          <w:color w:val="000000"/>
          <w:lang w:eastAsia="es-CO"/>
        </w:rPr>
      </w:pPr>
      <w:bookmarkStart w:id="1637" w:name="ver_30137376"/>
      <w:bookmarkStart w:id="1638" w:name="ver_30110803"/>
      <w:bookmarkStart w:id="1639" w:name="ver_30110805"/>
      <w:bookmarkEnd w:id="1637"/>
    </w:p>
    <w:p w14:paraId="4C514CC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2.3.2.1.1. Definiciones. Adóptense las siguientes definiciones: </w:t>
      </w:r>
    </w:p>
    <w:p w14:paraId="65FA70D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3C8A59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Aforo. Es el resultado de las mediciones puntuales, que realiza un aforador debidamente autorizado por la persona prestadora, respecto de la cantidad de residuos sólidos que produce y presenta un usuario de manera individual o conjunta al prestador del servicio de aseo. </w:t>
      </w:r>
    </w:p>
    <w:p w14:paraId="5EAEDD54" w14:textId="23684E24"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56DD64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Aforo extraordinario de aseo para multiusuarios. Es el resultado de las mediciones puntuales realizadas por la persona prestadora del servicio público de aseo, de oficio o a petición del multiusuario, cuando alguno de ellos considere que ha variado la cantidad de residuos producidos con respecto al aforo vigente. </w:t>
      </w:r>
    </w:p>
    <w:p w14:paraId="5D32E0A5" w14:textId="520613FE"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3E0FB6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3. Aforo ordinario de aseo para multiusuarios. Es el resultado de las mediciones puntuales realizadas por la persona prestadora del servicio público de aseo, para categorizar y cobrar como multiusuarios a aquellos suscriptores que optaron por </w:t>
      </w:r>
      <w:proofErr w:type="gramStart"/>
      <w:r w:rsidRPr="009342F9">
        <w:rPr>
          <w:rFonts w:ascii="Arial" w:eastAsia="Times New Roman" w:hAnsi="Arial" w:cs="Arial"/>
          <w:color w:val="000000"/>
          <w:lang w:eastAsia="es-CO"/>
        </w:rPr>
        <w:t>ésta</w:t>
      </w:r>
      <w:proofErr w:type="gramEnd"/>
      <w:r w:rsidRPr="009342F9">
        <w:rPr>
          <w:rFonts w:ascii="Arial" w:eastAsia="Times New Roman" w:hAnsi="Arial" w:cs="Arial"/>
          <w:color w:val="000000"/>
          <w:lang w:eastAsia="es-CO"/>
        </w:rPr>
        <w:t xml:space="preserve"> opción tarifaria. </w:t>
      </w:r>
    </w:p>
    <w:p w14:paraId="691A442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w:t>
      </w:r>
    </w:p>
    <w:p w14:paraId="0E269C9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Aforo permanente de aseo. Es el que realiza la persona prestadora del servicio público de aseo a los suscriptores grandes productores o pequeños productores de residuos sólidos, cuando efectúa la recolección de los residuos presentados por el usuario. </w:t>
      </w:r>
    </w:p>
    <w:p w14:paraId="6ADDCB0B" w14:textId="6542F8D4"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9C3447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 Almacenamiento de residuos sólidos. Es la acción del usuario de guardar temporalmente los residuos sólidos en depósitos, recipientes o cajas de almacenamiento, retornables o desechables, para su recolección por la persona prestadora con fines de aprovechamiento o de disposición final. </w:t>
      </w:r>
    </w:p>
    <w:p w14:paraId="465EF8C5" w14:textId="2778E566"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47A6E7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6. Aprovechamiento. Actividad complementaria del servicio público de aseo que comprende la recolección de residuos aprovechables, el transporte selectivo hasta la estación de clasificación y aprovechamiento o hasta la planta de aprovechamiento, así como su clasificación y pesaje por parte de la persona prestadora.  </w:t>
      </w:r>
    </w:p>
    <w:p w14:paraId="1C198881" w14:textId="3B6ACEF1"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A9685B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7. Área de prestación de servicio. Corresponde a la zona geográfica del municipio o distrito debidamente delimitada donde la persona prestadora ofrece y presta el servicio de aseo. Esta deberá consignarse en el contrato de condiciones uniformes. </w:t>
      </w:r>
    </w:p>
    <w:p w14:paraId="3A8BAF17" w14:textId="7B1CA6FB"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BC8CAE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8. Área pública. Es aquella destinada al uso, recreo o tránsito público, como parques, plazas, plazoletas y playas salvo aquellas con restricciones de acceso. </w:t>
      </w:r>
    </w:p>
    <w:p w14:paraId="1FE5C0A1" w14:textId="2DEE9753"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C1BB2F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9. Barrido y limpieza de vías y áreas públicas. Es la actividad del servicio público de aseo que consiste en el conjunto de acciones tendientes a dejar las áreas y </w:t>
      </w:r>
      <w:proofErr w:type="gramStart"/>
      <w:r w:rsidRPr="009342F9">
        <w:rPr>
          <w:rFonts w:ascii="Arial" w:eastAsia="Times New Roman" w:hAnsi="Arial" w:cs="Arial"/>
          <w:color w:val="000000"/>
          <w:lang w:eastAsia="es-CO"/>
        </w:rPr>
        <w:t>la vías públicas libres</w:t>
      </w:r>
      <w:proofErr w:type="gramEnd"/>
      <w:r w:rsidRPr="009342F9">
        <w:rPr>
          <w:rFonts w:ascii="Arial" w:eastAsia="Times New Roman" w:hAnsi="Arial" w:cs="Arial"/>
          <w:color w:val="000000"/>
          <w:lang w:eastAsia="es-CO"/>
        </w:rPr>
        <w:t xml:space="preserve"> de todo residuo sólido, esparcido o acumulado, de manera que dichas áreas queden libres de papeles, hojas, arenilla y similares y de cualquier otro objeto o material susceptible de ser removido manualmente o mediante el uso de equipos mecánicos. </w:t>
      </w:r>
    </w:p>
    <w:p w14:paraId="3C4ECB5F" w14:textId="7537CB3E"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5DCC71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10. Barrido y limpieza manual. Es la labor realizada manualmente para retirar de las vías y áreas públicas papeles, hojas, arenilla acumulada y cualquier otro objeto o material. </w:t>
      </w:r>
    </w:p>
    <w:p w14:paraId="47272C6A" w14:textId="5648E6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4DFC90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11. Barrido y limpieza mecánica. Es la labor realizada mediante el uso de equipos mecánicos para retirar de las vías y áreas públicas, papeles, hojas, arenilla acumulada y cualquier otro objeto o material. </w:t>
      </w:r>
    </w:p>
    <w:p w14:paraId="73663A8D" w14:textId="31734A7E"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3E139B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12. Báscula. Instrumento técnico de medida mecánico o electrónico debidamente calibrado y certificado por la entidad competente, acorde con las normas vigentes que regulan la materia, para determinar el peso de los residuos sólidos. </w:t>
      </w:r>
    </w:p>
    <w:p w14:paraId="4BE81FA7" w14:textId="4EA23AFE"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31320E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13. Caja de almacenamiento. Es el recipiente técnicamente apropiado, para el depósito temporal de residuos sólidos de origen comunitario, en condiciones de aislamiento que facilite el manejo o remoción por medios mecánicos o manuales. </w:t>
      </w:r>
    </w:p>
    <w:p w14:paraId="2072827A" w14:textId="16B4E1E2"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404562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14. Corte de césped. Es la actividad del servicio público de aseo que consiste en cortar el pasto ubicado en áreas verdes públicas sin restricción de acceso, mediante el uso de equipos manuales o mecánicos que incluye el bordeo y plateo. Comprende la recolección y transporte del material obtenido hasta los sitios de aprovechamiento prioritariamente o de disposición final. </w:t>
      </w:r>
    </w:p>
    <w:p w14:paraId="0C35002F" w14:textId="7DE86351"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854BDA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15. Cuneta. Zanja, revestida o no, ubicada a cada lado de las vías, destinadas a facilitar el drenaje superficial longitudinal de las mismas y que son objeto de barrido o limpieza por parte del prestador del servicio de aseo en su área de atención. </w:t>
      </w:r>
    </w:p>
    <w:p w14:paraId="15FC7A7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w:t>
      </w:r>
    </w:p>
    <w:p w14:paraId="66C4826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16. Estación de clasificación y aprovechamiento. Son instalaciones técnicamente diseñadas con criterios de ingeniería y eficiencia económica, dedicadas al pesaje y clasificación de los residuos sólidos aprovechables, mediante procesos manuales, mecánicos o mixtos y que cuenten con las autorizaciones ambientales a que haya lugar. </w:t>
      </w:r>
    </w:p>
    <w:p w14:paraId="667536E5" w14:textId="0D634FA2"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9C7CD8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17. Estaciones de transferencia. Son las instalaciones dedicadas al traslado de residuos sólidos de un vehículo recolector a otro con mayor capacidad de carga, que los transporta hasta su sitio de tratamiento o disposición final. </w:t>
      </w:r>
    </w:p>
    <w:p w14:paraId="639D34EC" w14:textId="1AFB9BA8"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104205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18. Frecuencia del servicio. Es el número de veces en un periodo definido que se presta el servicio público de aseo en sus actividades de barrido, limpieza, recolección y transporte, corte de césped y poda de árboles. </w:t>
      </w:r>
    </w:p>
    <w:p w14:paraId="2209AA73" w14:textId="1612D68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7DCCE5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19. Generador o productor. Persona que produce y presenta sus residuos sólidos a la persona prestadora del servicio público de aseo para su recolección y por tanto es usuario del servicio público de aseo. </w:t>
      </w:r>
    </w:p>
    <w:p w14:paraId="6C34088A" w14:textId="24A8872D"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33896F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20. Gestión integral de residuos sólidos: Es el conjunto de actividades encaminadas a reducir la generación de residuos, a realizar el aprovechamiento teniendo en cuenta sus características, volumen, procedencia, costos, tratamiento con fines de valorización energética, posibilidades de aprovechamiento y comercialización. También incluye el tratamiento y disposición final de los residuos no aprovechables. </w:t>
      </w:r>
    </w:p>
    <w:p w14:paraId="354646CB" w14:textId="2762C8D4"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416B01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21. Grandes generadores o productores. Son los suscriptores y/o usuarios no residenciales que generan y presentan para la recolección residuos sólidos en volumen igual o superior a un metro cúbico mensual. </w:t>
      </w:r>
    </w:p>
    <w:p w14:paraId="788B33FF" w14:textId="34C27A2B"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F56BBD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22. Inmueble desocupado. Son aquellos inmuebles </w:t>
      </w:r>
      <w:proofErr w:type="gramStart"/>
      <w:r w:rsidRPr="009342F9">
        <w:rPr>
          <w:rFonts w:ascii="Arial" w:eastAsia="Times New Roman" w:hAnsi="Arial" w:cs="Arial"/>
          <w:color w:val="000000"/>
          <w:lang w:eastAsia="es-CO"/>
        </w:rPr>
        <w:t>que</w:t>
      </w:r>
      <w:proofErr w:type="gramEnd"/>
      <w:r w:rsidRPr="009342F9">
        <w:rPr>
          <w:rFonts w:ascii="Arial" w:eastAsia="Times New Roman" w:hAnsi="Arial" w:cs="Arial"/>
          <w:color w:val="000000"/>
          <w:lang w:eastAsia="es-CO"/>
        </w:rPr>
        <w:t xml:space="preserve"> a pesar de tener las condiciones para recibir la prestación del servicio de aseo, se encuentran deshabitados o en ellos no se realiza ninguna actividad comercial, industrial o de otra índole. </w:t>
      </w:r>
    </w:p>
    <w:p w14:paraId="1A577354" w14:textId="53DE948C"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7F0154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23. Inquilinato. Es una edificación clasificada en estratos 1, 2 o 3, con una entrada común desde la calle, que aloja varios hogares y comparten servicios públicos domiciliarios. Para efectos del cobro del servicio de aseo el inquilinato en su conjunto se considera como un solo suscriptor. </w:t>
      </w:r>
    </w:p>
    <w:p w14:paraId="507BDC1E" w14:textId="3E3B57B1"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AB8541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24. Lavado de áreas públicas. Es la actividad de remoción de residuos sólidos en áreas públicas, mediante el empleo de agua a presión. </w:t>
      </w:r>
    </w:p>
    <w:p w14:paraId="195D74DD" w14:textId="13BF4DF8"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158EEA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25. Lixiviado. Es el líquido residual generado por la descomposición biológica de la parte orgánica o biodegradable de los residuos sólidos bajo condiciones aeróbicas o anaeróbicas y/o como resultado de la percolación de agua a través de los residuos en proceso de degradación. </w:t>
      </w:r>
    </w:p>
    <w:p w14:paraId="47519D25" w14:textId="35BBFAFA"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1067BD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26. </w:t>
      </w:r>
      <w:proofErr w:type="spellStart"/>
      <w:r w:rsidRPr="009342F9">
        <w:rPr>
          <w:rFonts w:ascii="Arial" w:eastAsia="Times New Roman" w:hAnsi="Arial" w:cs="Arial"/>
          <w:color w:val="000000"/>
          <w:lang w:eastAsia="es-CO"/>
        </w:rPr>
        <w:t>Macrorruta</w:t>
      </w:r>
      <w:proofErr w:type="spellEnd"/>
      <w:r w:rsidRPr="009342F9">
        <w:rPr>
          <w:rFonts w:ascii="Arial" w:eastAsia="Times New Roman" w:hAnsi="Arial" w:cs="Arial"/>
          <w:color w:val="000000"/>
          <w:lang w:eastAsia="es-CO"/>
        </w:rPr>
        <w:t>. Es la división geográfica de una ciudad, zona o área de prestación del servicio para la distribución de los recursos y equipos a fin de optimizar la actividad de recolección de residuos, barrido y limpieza de vías y áreas públicas y/o corte de césped y poda de árboles ubicados en las vías y áreas públicas. </w:t>
      </w:r>
    </w:p>
    <w:p w14:paraId="03D7A0FC" w14:textId="4B46EED3"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247844B" w14:textId="77777777" w:rsidR="00FC79C1" w:rsidRDefault="00FC79C1" w:rsidP="00FC79C1">
      <w:pPr>
        <w:spacing w:after="0" w:line="240" w:lineRule="auto"/>
        <w:jc w:val="both"/>
        <w:rPr>
          <w:rFonts w:ascii="Arial" w:eastAsia="Times New Roman" w:hAnsi="Arial" w:cs="Arial"/>
          <w:color w:val="000000"/>
          <w:lang w:eastAsia="es-CO"/>
        </w:rPr>
      </w:pPr>
      <w:r w:rsidRPr="231E957E">
        <w:rPr>
          <w:rFonts w:ascii="Arial" w:eastAsia="Times New Roman" w:hAnsi="Arial" w:cs="Arial"/>
          <w:color w:val="000000" w:themeColor="text1"/>
          <w:lang w:eastAsia="es-CO"/>
        </w:rPr>
        <w:t>27. </w:t>
      </w:r>
      <w:proofErr w:type="spellStart"/>
      <w:r w:rsidRPr="231E957E">
        <w:rPr>
          <w:rFonts w:ascii="Arial" w:eastAsia="Times New Roman" w:hAnsi="Arial" w:cs="Arial"/>
          <w:color w:val="000000" w:themeColor="text1"/>
          <w:lang w:eastAsia="es-CO"/>
        </w:rPr>
        <w:t>Microrruta</w:t>
      </w:r>
      <w:proofErr w:type="spellEnd"/>
      <w:r w:rsidRPr="231E957E">
        <w:rPr>
          <w:rFonts w:ascii="Arial" w:eastAsia="Times New Roman" w:hAnsi="Arial" w:cs="Arial"/>
          <w:color w:val="000000" w:themeColor="text1"/>
          <w:lang w:eastAsia="es-CO"/>
        </w:rPr>
        <w:t xml:space="preserve">. Es la descripción detallada a nivel de las calles y manzanas del trayecto de un vehículo o cuadrilla, para la prestación del servicio público de recolección de residuos; de barrido </w:t>
      </w:r>
      <w:r w:rsidRPr="231E957E">
        <w:rPr>
          <w:rFonts w:ascii="Arial" w:eastAsia="Times New Roman" w:hAnsi="Arial" w:cs="Arial"/>
          <w:color w:val="000000" w:themeColor="text1"/>
          <w:lang w:eastAsia="es-CO"/>
        </w:rPr>
        <w:lastRenderedPageBreak/>
        <w:t>y limpieza de vías y áreas públicas; y/o corte de césped y poda de árboles ubicados en las vías y áreas públicas, dentro de una frecuencia predeterminada. </w:t>
      </w:r>
    </w:p>
    <w:p w14:paraId="66EDBA3F" w14:textId="77777777" w:rsidR="005C5EEB" w:rsidRPr="009342F9" w:rsidRDefault="005C5EEB" w:rsidP="00FC79C1">
      <w:pPr>
        <w:spacing w:after="0" w:line="240" w:lineRule="auto"/>
        <w:jc w:val="both"/>
        <w:rPr>
          <w:rFonts w:ascii="Arial" w:eastAsia="Times New Roman" w:hAnsi="Arial" w:cs="Arial"/>
          <w:color w:val="000000"/>
          <w:lang w:eastAsia="es-CO"/>
        </w:rPr>
      </w:pPr>
    </w:p>
    <w:p w14:paraId="48A9CEA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28. Minimización de residuos sólidos en procesos productivos. Es la optimización de los procesos productivos tendiente a disminuir la generación de residuos sólidos. </w:t>
      </w:r>
    </w:p>
    <w:p w14:paraId="66B67674" w14:textId="2E07611C" w:rsidR="00FC79C1" w:rsidRPr="009342F9" w:rsidRDefault="00FC79C1" w:rsidP="00D569FF">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0EB1CA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29. Multiusuarios del servicio público de aseo. Son todos aquellos suscriptores agrupados en unidades inmobiliarias, centros habitacionales, conjuntos residenciales, condominios o similares bajo el régimen de propiedad horizontal vigente o concentrados en centros comerciales o similares, que se caracterizan porque presentan en forma conjunta sus residuos sólidos a la persona prestadora del servicio en los términos del presente decreto o las normas que lo modifiquen, sustituyan o adicionen y que hayan solicitado el aforo de sus residuos para que esta medición sea la base de la facturación del servicio público de aseo. La persona prestadora del servicio facturará a cada inmueble en forma individual, en un todo de acuerdo con la regulación que se expida para este fin. </w:t>
      </w:r>
    </w:p>
    <w:p w14:paraId="2BAD2845" w14:textId="006E5EEE" w:rsidR="00FC79C1" w:rsidRPr="009342F9" w:rsidRDefault="00FC79C1" w:rsidP="00D569FF">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CEE973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30. Pequeños generadores o productores. Son los suscriptores y/o usuarios no residenciales que generan y presentan para la recolección residuos sólidos en volumen menor a un (1) metro cúbico mensual. </w:t>
      </w:r>
    </w:p>
    <w:p w14:paraId="325F1CE3" w14:textId="4BA5CF2A" w:rsidR="00FC79C1" w:rsidRPr="009342F9" w:rsidRDefault="00FC79C1" w:rsidP="00D569FF">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5E4081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31. Persona prestadora del servicio público de aseo. Es aquella encargada de una o varias actividades de la prestación del servicio público de aseo, en los términos del artículo 15 de la Ley 142 de 1994 y demás que la modifiquen o complementen. </w:t>
      </w:r>
    </w:p>
    <w:p w14:paraId="7E3F7741" w14:textId="2DC5B1DB"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3CEF46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32. Plan de gestión integral de residuos sólidos (PGIRS). Es el instrumento de planeación municipal o regional que contiene un conjunto ordenado de objetivos, metas, programas, proyectos, actividades y recursos definidos por uno o más entes territoriales para el manejo de los residuos sólidos, basado en la política de gestión integral de los mismos, el cual se ejecutará durante un período determinado, basándose en un diagnóstico inicial, en su proyección hacia el futuro y en un plan financiero viable que permita garantizar el mejoramiento continuo del manejo de residuos y la prestación del servicio de aseo a nivel municipal o regional, evaluado a través de la medición de resultados. Corresponde a la entidad territorial la formulación, implementación, evaluación, seguimiento y control y actualización del PGIRS. </w:t>
      </w:r>
    </w:p>
    <w:p w14:paraId="0057AAA9" w14:textId="0A4142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E3AC98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33. Poda de árboles. Es la actividad del servicio público de aseo que consiste en el corte de ramas de los árboles, ubicado en áreas públicas sin restricciones de acceso, mediante el uso de equipos manuales o mecánicos. Se incluye la recolección y transporte del material obtenido hasta las estaciones de clasificación y aprovechamiento o disposición final. </w:t>
      </w:r>
    </w:p>
    <w:p w14:paraId="1DE5191A" w14:textId="0009063F"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900C2D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34. Presentación de los residuos sólidos. Es la actividad del usuario de colocar los residuos sólidos debidamente almacenados, para la recolección por parte de la persona prestadora del servicio público de aseo. La presentación debe hacerse, en el lugar e infraestructura prevista para ello, bien sea en el área pública correspondiente o en el sitio de presentación conjunta en el caso de multiusuarios y grandes productores. </w:t>
      </w:r>
    </w:p>
    <w:p w14:paraId="3CC349A7" w14:textId="76DBE228"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AED623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35. Puntos críticos. Son aquellos lugares donde se acumulan residuos sólidos, generando afectación y deterioro sanitario que conlleva la afectación de la limpieza del área, por la generación de malos olores, focos de propagación de vectores, y enfermedades, entre otros. </w:t>
      </w:r>
    </w:p>
    <w:p w14:paraId="5525FE4B" w14:textId="752879A2" w:rsidR="00FC79C1" w:rsidRPr="009342F9" w:rsidRDefault="00FC79C1" w:rsidP="00D569FF">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D99577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36. Reciclador de oficio: Persona natural que realiza de manera habitual las actividades de recuperación, recolección, transporte, o clasificación de residuos sólidos para su posterior </w:t>
      </w:r>
      <w:r w:rsidRPr="009342F9">
        <w:rPr>
          <w:rFonts w:ascii="Arial" w:eastAsia="Times New Roman" w:hAnsi="Arial" w:cs="Arial"/>
          <w:color w:val="000000"/>
          <w:lang w:eastAsia="es-CO"/>
        </w:rPr>
        <w:lastRenderedPageBreak/>
        <w:t>reincorporación en el ciclo económico productivo como materia prima; que deriva el sustento propio y familiar de esta actividad”.  </w:t>
      </w:r>
    </w:p>
    <w:p w14:paraId="6EBD505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FC0DB5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4ABBDF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BA3CEC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37. Recolección y transporte de residuos aprovechables. Son las actividades que realiza la persona prestadora del servicio público de aseo consistente en recoger y transportar los residuos aprovechables hasta las estaciones de clasificación y aprovechamiento. </w:t>
      </w:r>
    </w:p>
    <w:p w14:paraId="0F34EFEC" w14:textId="616FE26C"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CE4E99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38. Recolección puerta a puerta. Es el servicio de recolección de los residuos sólidos en el andén de la vía pública frente al predio del usuario. </w:t>
      </w:r>
    </w:p>
    <w:p w14:paraId="26EE2F12" w14:textId="3B7DF94A"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A909F0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39. Residuos de construcción y demolición. Es todo residuo sólido resultante de las actividades de construcción, reparación o demolición, de las obras civiles o de otras actividades conexas, complementarias o análogas. </w:t>
      </w:r>
    </w:p>
    <w:p w14:paraId="2FF98F7B" w14:textId="3572163C"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4023F0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40. Residuo sólido. Es cualquier objeto, material, sustancia o elemento principalmente sólido resultante del consumo o uso de un bien en actividades domésticas, industriales, comerciales, institucionales o de servicios, que el generador presenta para su recolección por parte de la persona prestadora del servicio público de aseo. Igualmente, se considera como residuo sólido, aquel proveniente del barrido y limpieza de áreas y vías públicas, corte de césped y poda de árboles. Los residuos sólidos que no tienen características de peligrosidad se dividen en aprovechables y no aprovechables. </w:t>
      </w:r>
    </w:p>
    <w:p w14:paraId="6B2DCEBF" w14:textId="2CAFF4EF" w:rsidR="00FC79C1" w:rsidRPr="009342F9" w:rsidRDefault="00FC79C1" w:rsidP="00D569FF">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7615B8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41. Residuo sólido aprovechable. Es cualquier material, objeto, sustancia o elemento sólido que no tiene valor de uso para quien lo genere, pero que es susceptible de aprovechamiento para su reincorporación a un proceso productivo. </w:t>
      </w:r>
    </w:p>
    <w:p w14:paraId="20F0E2E1" w14:textId="61D8B39D"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43C9BC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42. Residuo sólido especial. Es todo residuo sólido </w:t>
      </w:r>
      <w:proofErr w:type="gramStart"/>
      <w:r w:rsidRPr="009342F9">
        <w:rPr>
          <w:rFonts w:ascii="Arial" w:eastAsia="Times New Roman" w:hAnsi="Arial" w:cs="Arial"/>
          <w:color w:val="000000"/>
          <w:lang w:eastAsia="es-CO"/>
        </w:rPr>
        <w:t>que</w:t>
      </w:r>
      <w:proofErr w:type="gramEnd"/>
      <w:r w:rsidRPr="009342F9">
        <w:rPr>
          <w:rFonts w:ascii="Arial" w:eastAsia="Times New Roman" w:hAnsi="Arial" w:cs="Arial"/>
          <w:color w:val="000000"/>
          <w:lang w:eastAsia="es-CO"/>
        </w:rPr>
        <w:t xml:space="preserve"> por su naturaleza, composición, tamaño, volumen y peso, necesidades de transporte, condiciones de almacenaje y compactación, no puede ser recolectado, manejado, tratado o dispuesto normalmente por la persona prestadora del servicio público de aseo. El precio del servicio de recolección, transporte y disposición de </w:t>
      </w:r>
      <w:proofErr w:type="gramStart"/>
      <w:r w:rsidRPr="009342F9">
        <w:rPr>
          <w:rFonts w:ascii="Arial" w:eastAsia="Times New Roman" w:hAnsi="Arial" w:cs="Arial"/>
          <w:color w:val="000000"/>
          <w:lang w:eastAsia="es-CO"/>
        </w:rPr>
        <w:t>los mismos</w:t>
      </w:r>
      <w:proofErr w:type="gramEnd"/>
      <w:r w:rsidRPr="009342F9">
        <w:rPr>
          <w:rFonts w:ascii="Arial" w:eastAsia="Times New Roman" w:hAnsi="Arial" w:cs="Arial"/>
          <w:color w:val="000000"/>
          <w:lang w:eastAsia="es-CO"/>
        </w:rPr>
        <w:t xml:space="preserve"> será pactado libremente entre la persona prestadora y el usuario, sin perjuicio de los que sean objeto de regulación del Sistema de Gestión Posconsumo. </w:t>
      </w:r>
    </w:p>
    <w:p w14:paraId="047E1AB6" w14:textId="6A6E93C0"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4D36BA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43. Residuo sólido ordinario. Es todo residuo sólido de características no peligrosas que por su naturaleza, composición, tamaño, volumen y peso es recolectado, manejado, tratado o dispuesto normalmente por la persona prestadora del servicio público de aseo. El precio del servicio de recolección, transporte y disposición final de estos residuos se fija de acuerdo con la metodología adoptada por la Comisión de Regulación de Agua Potable y Saneamiento Básico. </w:t>
      </w:r>
    </w:p>
    <w:p w14:paraId="6DD657C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2F1A92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Los residuos provenientes de las actividades de barrido y limpieza de vías y áreas públicas, corte de césped y poda de árboles ubicados en vías y áreas públicas serán considerados como residuos ordinarios para efectos tarifarios. </w:t>
      </w:r>
    </w:p>
    <w:p w14:paraId="3B632DB9" w14:textId="332121B1" w:rsidR="00FC79C1" w:rsidRPr="009342F9" w:rsidRDefault="00FC79C1" w:rsidP="00D569FF">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6DDF1D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44. Separación en la fuente. Es la clasificación de los residuos sólidos, en aprovechables y no aprovechables por parte de los usuarios en el sitio donde se generan, de acuerdo con lo establecido en el PGIRS, para ser presentados para su recolección y transporte a las estaciones de clasificación y aprovechamiento, o de disposición final de los mismos, según sea el caso. </w:t>
      </w:r>
    </w:p>
    <w:p w14:paraId="54C45799" w14:textId="11E6E3D0" w:rsidR="00FC79C1" w:rsidRPr="009342F9" w:rsidRDefault="00FC79C1" w:rsidP="00D569FF">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B615FBA" w14:textId="77777777" w:rsidR="00FC79C1" w:rsidRDefault="00FC79C1" w:rsidP="00FC79C1">
      <w:pPr>
        <w:spacing w:after="0" w:line="240" w:lineRule="auto"/>
        <w:jc w:val="both"/>
        <w:rPr>
          <w:rFonts w:ascii="Arial" w:eastAsia="Times New Roman" w:hAnsi="Arial" w:cs="Arial"/>
          <w:color w:val="000000"/>
          <w:lang w:eastAsia="es-CO"/>
        </w:rPr>
      </w:pPr>
      <w:r w:rsidRPr="231E957E">
        <w:rPr>
          <w:rFonts w:ascii="Arial" w:eastAsia="Times New Roman" w:hAnsi="Arial" w:cs="Arial"/>
          <w:color w:val="000000" w:themeColor="text1"/>
          <w:lang w:eastAsia="es-CO"/>
        </w:rPr>
        <w:lastRenderedPageBreak/>
        <w:t>45. Sistema de pesaje. Es el conjunto ordenado y sistemático de equipos, elementos y maquinaria que se utilizan para la determinación certera del peso de los residuos objeto de gestión en una o varias de las actividades del servicio público de aseo y que proporciona información con datos medibles y verificables. </w:t>
      </w:r>
    </w:p>
    <w:p w14:paraId="5E4FCE09" w14:textId="77777777" w:rsidR="005C5EEB" w:rsidRPr="009342F9" w:rsidRDefault="005C5EEB" w:rsidP="00FC79C1">
      <w:pPr>
        <w:spacing w:after="0" w:line="240" w:lineRule="auto"/>
        <w:jc w:val="both"/>
        <w:rPr>
          <w:rFonts w:ascii="Arial" w:eastAsia="Times New Roman" w:hAnsi="Arial" w:cs="Arial"/>
          <w:color w:val="000000"/>
          <w:lang w:eastAsia="es-CO"/>
        </w:rPr>
      </w:pPr>
    </w:p>
    <w:p w14:paraId="4E50D39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46. Transferencia. Es la actividad complementaria del servicio público de aseo realizada al interior de una estación de transferencia, la cual consiste en trasladar los residuos sólidos de un vehículo recolector de menor capacidad a un vehículo de transporte a granel por medios mecánicos, previniendo el contacto manual y el esparcimiento de </w:t>
      </w:r>
      <w:proofErr w:type="gramStart"/>
      <w:r w:rsidRPr="009342F9">
        <w:rPr>
          <w:rFonts w:ascii="Arial" w:eastAsia="Times New Roman" w:hAnsi="Arial" w:cs="Arial"/>
          <w:color w:val="000000"/>
          <w:lang w:eastAsia="es-CO"/>
        </w:rPr>
        <w:t>los mismos</w:t>
      </w:r>
      <w:proofErr w:type="gramEnd"/>
      <w:r w:rsidRPr="009342F9">
        <w:rPr>
          <w:rFonts w:ascii="Arial" w:eastAsia="Times New Roman" w:hAnsi="Arial" w:cs="Arial"/>
          <w:color w:val="000000"/>
          <w:lang w:eastAsia="es-CO"/>
        </w:rPr>
        <w:t>, con una mínima exposición al aire libre de los residuos. </w:t>
      </w:r>
    </w:p>
    <w:p w14:paraId="4A184308" w14:textId="4EBF4C1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FD079A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47. Trasbordo. Es la actividad de trasladar los residuos sólidos recolectados, de un vehículo a otro de mayor capacidad, evitando el contacto manual y el esparcimiento de los residuos principalmente sólidos. </w:t>
      </w:r>
    </w:p>
    <w:p w14:paraId="30A4E18A" w14:textId="2A4B4F4D"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06D3E6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48. Unidad de almacenamiento. Es el área definida y cerrada, en la que se ubican las cajas de almacenamiento o similares para que el usuario almacene temporalmente los residuos sólidos, mientras son presentados a la persona prestadora del servicio público de aseo para su recolección y transporte. </w:t>
      </w:r>
    </w:p>
    <w:p w14:paraId="59318A9E" w14:textId="18FEA97E" w:rsidR="00FC79C1" w:rsidRPr="009342F9" w:rsidRDefault="00FC79C1" w:rsidP="00D569FF">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C9FC48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49. Unidad habitacional. Apartamento o casa de vivienda independiente con acceso a la vía pública o a las zonas comunes del conjunto multifamiliar y separada de las otras viviendas, de tal forma que sus ocupantes puedan acceder sin pasar por las áreas privadas de otras viviendas. </w:t>
      </w:r>
    </w:p>
    <w:p w14:paraId="29BD3809" w14:textId="2FB7A741"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B1B6D1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50. Unidad independiente. Apartamento, casa de vivienda, local u oficina independiente con acceso a la vía pública o a las zonas comunes de la unidad inmobiliaria. </w:t>
      </w:r>
    </w:p>
    <w:p w14:paraId="6FEF31D6" w14:textId="143A20D9"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657C99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51. Usuario no residencial. Es la persona natural o jurídica que produce residuos sólidos derivados de la actividad comercial, industrial y los oficiales que se benefician con la prestación del servicio público de aseo. </w:t>
      </w:r>
    </w:p>
    <w:p w14:paraId="261F3052" w14:textId="05172582"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58D8C8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52. Usuario residencial. Es la persona que produce residuos sólidos derivados de la actividad residencial y se beneficia con la prestación del servicio público de aseo. Se considera usuario residencial del servicio público de aseo a los ubicados en locales que ocupen menos de veinte (20) metros cuadrados de área, exceptuando los que produzcan más de un (1) metro cúbico mensual. </w:t>
      </w:r>
    </w:p>
    <w:p w14:paraId="5DA822A1" w14:textId="1F552866"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6456FD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53. Vehículo recolector. Es el vehículo utilizado en las actividades de recolección de los residuos sólidos desde los lugares de presentación y su transporte hasta las estaciones de clasificación y aprovechamiento, plantas de aprovechamiento, estaciones de transferencia o hasta el sitio de disposición final. </w:t>
      </w:r>
    </w:p>
    <w:p w14:paraId="1B0C7BA9" w14:textId="77E1680A"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8F0BF3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55. Vía pública. Son las áreas destinadas al tránsito público, vehicular o peatonal, o afectadas por él, que componen la infraestructura vial de la ciudad y que comprende: avenidas, calles, carreras, transversales, diagonales, calzadas, separadores viales, puentes vehiculares y peatonales o cualquier otra combinación de los mismos elementos que puedan extenderse entre una y otra línea de las edificaciones. </w:t>
      </w:r>
    </w:p>
    <w:p w14:paraId="06627224" w14:textId="67D78DAC"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9C1753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56. Área de aislamiento. Corresponde al área perimetral de un relleno sanitario, ubicada en su entorno, en donde se establecerán plantaciones que permitan la reducción de impactos sobre </w:t>
      </w:r>
      <w:r w:rsidRPr="009342F9">
        <w:rPr>
          <w:rFonts w:ascii="Arial" w:eastAsia="Times New Roman" w:hAnsi="Arial" w:cs="Arial"/>
          <w:color w:val="000000"/>
          <w:lang w:eastAsia="es-CO"/>
        </w:rPr>
        <w:lastRenderedPageBreak/>
        <w:t>este. Es decir, corresponde al área de transición entre el área en donde se realizará la disposición final de residuos sólidos, mediante la tecnología de relleno sanitario, y su entorno. </w:t>
      </w:r>
    </w:p>
    <w:p w14:paraId="2CEDF448" w14:textId="76A8AB04"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FC146F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57. Caracterización de los residuos. Actividad para determinar las características </w:t>
      </w:r>
      <w:proofErr w:type="gramStart"/>
      <w:r w:rsidRPr="009342F9">
        <w:rPr>
          <w:rFonts w:ascii="Arial" w:eastAsia="Times New Roman" w:hAnsi="Arial" w:cs="Arial"/>
          <w:color w:val="000000"/>
          <w:lang w:eastAsia="es-CO"/>
        </w:rPr>
        <w:t>físico químicas</w:t>
      </w:r>
      <w:proofErr w:type="gramEnd"/>
      <w:r w:rsidRPr="009342F9">
        <w:rPr>
          <w:rFonts w:ascii="Arial" w:eastAsia="Times New Roman" w:hAnsi="Arial" w:cs="Arial"/>
          <w:color w:val="000000"/>
          <w:lang w:eastAsia="es-CO"/>
        </w:rPr>
        <w:t>, cualitativas y cuantitativas de los residuos sólidos, que permitan identificar el potencial de tratamiento según sus contenidos y propiedades. </w:t>
      </w:r>
    </w:p>
    <w:p w14:paraId="74CB951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1248C9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58. Celda de seguridad. Infraestructura que podrá ser ubicada en las áreas donde se realizará la disposición final de residuos sólidos, mediante la tecnología de relleno sanitario, donde se confinarán y aislarán del ambiente los residuos peligrosos previo cumplimiento de las normas ambientales y sanitarias en materia de residuos peligrosos. </w:t>
      </w:r>
    </w:p>
    <w:p w14:paraId="7B2BA147" w14:textId="0134A6A8"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3D70E4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59. Celda. Es uno de los elementos de la infraestructura del relleno sanitario, donde se descargan, distribuyen y compactan los residuos sólidos; de acuerdo con los diseños y el Reglamento Operativo adoptado por la persona prestadora de la actividad de disposición final. </w:t>
      </w:r>
    </w:p>
    <w:p w14:paraId="7C4B08B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59A2F4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60. Chimenea. Estructura de ventilación que permite la salida de los gases producidos por la biodegradación de los residuos sólidos. </w:t>
      </w:r>
    </w:p>
    <w:p w14:paraId="15420D71" w14:textId="0E92E27C"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20A74B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61. Cobertura diaria. Capa de material natural, sintética o mixta con que se cubren los residuos depositados, distribuidos y compactados en el frente de operación, la cual debe garantizar que los residuos no queden expuestos al finalizar la jornada diaria de descarga.  </w:t>
      </w:r>
    </w:p>
    <w:p w14:paraId="062BF04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EAD102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62. Cobertura final. Revestimiento de material natural y/o sintético que confina el total de las capas de que consta un relleno sanitario, para facilitar el drenaje superficial, interceptar las aguas filtrantes y soportar la vegetación superficial. </w:t>
      </w:r>
    </w:p>
    <w:p w14:paraId="7F23A58C" w14:textId="1B15925D"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592DC5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63. Compactación. Proceso mediante el cual en la celda se incrementa el peso específico de los residuos sólidos, con el cual se garantiza homogeneidad en la densidad del material y estabilidad de la celda. </w:t>
      </w:r>
    </w:p>
    <w:p w14:paraId="1554F73A" w14:textId="4F2B64CE" w:rsidR="00FC79C1" w:rsidRPr="009342F9" w:rsidRDefault="00FC79C1" w:rsidP="00D569FF">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79D1C7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64. Contrato de acceso al servicio público de aseo en la actividad complementaria de disposición final. Son los contratos de prestación del servicio público de aseo en la actividad complementaria de disposición final, que celebran un operador de un relleno sanitario y las personas contratantes del acceso a dicho servicio, de acuerdo con lo establecido en la normatividad vigente y en el Reglamento Operativo de cada relleno sanitario. </w:t>
      </w:r>
    </w:p>
    <w:p w14:paraId="1F40A0E0" w14:textId="77777777" w:rsidR="00D569FF"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5504FC2" w14:textId="3E09F674"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65. Contratante del acceso al servicio público de aseo en la actividad complementaria de disposición final. Es todo aquel que realiza contratos de acceso al servicio público de aseo en la actividad complementaria de disposición final, con un operador de un sistema de relleno sanitario. </w:t>
      </w:r>
    </w:p>
    <w:p w14:paraId="09B9F2D8" w14:textId="2598E1C5" w:rsidR="00FC79C1" w:rsidRPr="009342F9" w:rsidRDefault="00FC79C1" w:rsidP="00D569FF">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DA5FE1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66. Disposición final de residuos sólidos. Es la actividad del servicio público de aseo, consistente en la disposición de residuos sólidos mediante la técnica de relleno sanitario. </w:t>
      </w:r>
    </w:p>
    <w:p w14:paraId="79B106B5" w14:textId="463CF8AE"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75B4D3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67. Frente de trabajo. Sitio en el relleno sanitario donde se realizan los procesos de descargue, acomodación, compactación y cobertura de los residuos sólidos entregados para disposición final. </w:t>
      </w:r>
    </w:p>
    <w:p w14:paraId="2A177140" w14:textId="47595F64"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0606D3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68. Gas generado en el relleno. Es el gas producido durante el proceso de fermentación anaerobia y/o aerobia, o por efectos de reacciones químicas de los residuos sólidos dispuestos. </w:t>
      </w:r>
    </w:p>
    <w:p w14:paraId="35742C6E" w14:textId="6A13AC62"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w:t>
      </w:r>
    </w:p>
    <w:p w14:paraId="44D9367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69. Material de cobertura. Material de origen natural o sintético, utilizado para cubrir los residuos sólidos depositados en un relleno sanitario. </w:t>
      </w:r>
    </w:p>
    <w:p w14:paraId="4BAE85F6" w14:textId="77777777" w:rsidR="00D569FF"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A768061" w14:textId="0DC14CDE"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70. Membrana. Barrera constituida por material sintético, arcillas u otros materiales de baja permeabilidad, destinadas a impermeabilizar el fondo de un relleno sanitario. </w:t>
      </w:r>
    </w:p>
    <w:p w14:paraId="1E8D8A2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71. Monitoreo. Actividad consistente en efectuar observaciones, mediciones y evaluaciones continúas de una característica, elemento, parámetro o de un proceso en un sitio y período determinados, con el objeto de verificar los impactos y riesgos potenciales hacia el ambiente y la salud pública. </w:t>
      </w:r>
    </w:p>
    <w:p w14:paraId="257ADC2E" w14:textId="7059FA36"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55D8C8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72. Plan de trabajo y construcción. Es el documento que debe llevar diariamente el operador, en donde se detallan las actividades realizadas, fecha de inicio y de terminación, persona responsable y personal utilizado para su ejecución, cumplimiento del reglamento operativo, presupuesto, maquinaria y equipo utilizado con el respectivo rendimiento, inconvenientes y soluciones adoptadas, condiciones climáticas y cumplimiento de las medidas de control, mitigación, prevención y compensación ejecutadas. </w:t>
      </w:r>
    </w:p>
    <w:p w14:paraId="51EFF6EA" w14:textId="424A3BF6"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DE055B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73. Procedimiento para acceder al servicio de disposición final. Son los requisitos, procesos y acciones establecidas en el Reglamento Operativo de cada relleno sanitario, que deberán cumplir las personas contratantes del servicio público de aseo en la actividad complementaria de disposición final y que implica el pago de una remuneración, de acuerdo con las normas regulatorias vigentes. </w:t>
      </w:r>
    </w:p>
    <w:p w14:paraId="729ED274" w14:textId="56D20DC5"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1FC9E4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74. Producción diaria per cápita. Cantidad de residuos sólidos generada por una persona, expresada en términos de kg/</w:t>
      </w:r>
      <w:proofErr w:type="spellStart"/>
      <w:r w:rsidRPr="009342F9">
        <w:rPr>
          <w:rFonts w:ascii="Arial" w:eastAsia="Times New Roman" w:hAnsi="Arial" w:cs="Arial"/>
          <w:color w:val="000000"/>
          <w:lang w:eastAsia="es-CO"/>
        </w:rPr>
        <w:t>hab</w:t>
      </w:r>
      <w:proofErr w:type="spellEnd"/>
      <w:r w:rsidRPr="009342F9">
        <w:rPr>
          <w:rFonts w:ascii="Arial" w:eastAsia="Times New Roman" w:hAnsi="Arial" w:cs="Arial"/>
          <w:color w:val="000000"/>
          <w:lang w:eastAsia="es-CO"/>
        </w:rPr>
        <w:t>-día o unidades equivalentes, de acuerdo con los aforos y el número de personas por hogar estimado por el DANE. </w:t>
      </w:r>
    </w:p>
    <w:p w14:paraId="0584DD18" w14:textId="65FAF455" w:rsidR="00FC79C1" w:rsidRPr="009342F9" w:rsidRDefault="00FC79C1" w:rsidP="00D569FF">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522915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75. Receptor. Persona prestadora del servicio público de aseo en la actividad complementaria de disposición final de residuos sólidos, quien los recibe para darles una disposición acorde con las normas técnicas-ambientales vigentes. </w:t>
      </w:r>
    </w:p>
    <w:p w14:paraId="2C6B3B3D" w14:textId="21E79170" w:rsidR="00FC79C1" w:rsidRPr="009342F9" w:rsidRDefault="00FC79C1" w:rsidP="00D569FF">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8CC52B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76. Reglamento operativo de los rellenos sanitarios. Corresponde al compendio de requisitos, procedimientos y acciones internas de operación y funcionamiento, aplicable al personal del operador y a las personas contratantes del acceso a cada relleno sanitario. </w:t>
      </w:r>
    </w:p>
    <w:p w14:paraId="28B1656E" w14:textId="6FC79759"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88D014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77. Relleno sanitario. Solución técnica de Saneamiento Básico, resultado de procesos de Planeación, Diseño, Operación y Control para la disposición final adecuada de residuos sólidos. </w:t>
      </w:r>
    </w:p>
    <w:p w14:paraId="147601B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E2CA0E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78. Suelo de protección. Constituido por las zonas y áreas de terrenos, en suelo rural, </w:t>
      </w:r>
      <w:proofErr w:type="gramStart"/>
      <w:r w:rsidRPr="009342F9">
        <w:rPr>
          <w:rFonts w:ascii="Arial" w:eastAsia="Times New Roman" w:hAnsi="Arial" w:cs="Arial"/>
          <w:color w:val="000000"/>
          <w:lang w:eastAsia="es-CO"/>
        </w:rPr>
        <w:t>que</w:t>
      </w:r>
      <w:proofErr w:type="gramEnd"/>
      <w:r w:rsidRPr="009342F9">
        <w:rPr>
          <w:rFonts w:ascii="Arial" w:eastAsia="Times New Roman" w:hAnsi="Arial" w:cs="Arial"/>
          <w:color w:val="000000"/>
          <w:lang w:eastAsia="es-CO"/>
        </w:rPr>
        <w:t xml:space="preserve"> por sus características geográficas, paisajísticas o ambientales, o por formar parte de las zonas de utilidad pública para la ubicación de infraestructuras para la provisión de servicios públicos domiciliarios o de las áreas de amenazas y riesgo no mitigable para la localización de asentamientos humanos, tiene restringida la posibilidad de urbanizarse. </w:t>
      </w:r>
    </w:p>
    <w:p w14:paraId="07B075B8" w14:textId="25B9CABF" w:rsidR="00FC79C1" w:rsidRPr="009342F9" w:rsidRDefault="00FC79C1" w:rsidP="00D569FF">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7A0B6D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79. Vías de acceso. Vialidad que permite ingresar a un sitio de disposición final. </w:t>
      </w:r>
    </w:p>
    <w:p w14:paraId="330A4398" w14:textId="47D9BCD6"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BCFF17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80. Vía interior. Vialidad que permite el tránsito interno en un sitio de disposición final. </w:t>
      </w:r>
    </w:p>
    <w:p w14:paraId="312A3A0D" w14:textId="67CB8704"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C01D37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81. Vía principal. Vías que hacen parte de la red pública de transporte que permite la intercomunicación entre las entidades territoriales. </w:t>
      </w:r>
    </w:p>
    <w:p w14:paraId="40A8B667" w14:textId="3D76B479"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w:t>
      </w:r>
    </w:p>
    <w:p w14:paraId="236A6FA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82. Zona de falla. Zona donde se producen desplazamientos relativos de una parte de la roca con respecto a la otra, como resultados de los esfuerzos que se generan en la corteza terrestre. </w:t>
      </w:r>
    </w:p>
    <w:p w14:paraId="4CB5E699" w14:textId="4841AC25"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95C62E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83. Relleno sanitario de carácter regional. Es el relleno sanitario donde se disponen residuos sólidos provenientes de otros municipios diferentes a aquel donde se encuentra ubicado el sitio de disposición final. </w:t>
      </w:r>
    </w:p>
    <w:p w14:paraId="21696AF3" w14:textId="34755BE2"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438C21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84. Estación de transferencia de carácter regional. Es la estación donde se transfieren residuos sólidos provenientes de otros municipios diferentes a aquel donde se encuentra ubicada esta infraestructura. </w:t>
      </w:r>
    </w:p>
    <w:p w14:paraId="707A058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433EA5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85. Organización de Recicladores de Oficio Formalizados: organizaciones </w:t>
      </w:r>
      <w:proofErr w:type="gramStart"/>
      <w:r w:rsidRPr="009342F9">
        <w:rPr>
          <w:rFonts w:ascii="Arial" w:eastAsia="Times New Roman" w:hAnsi="Arial" w:cs="Arial"/>
          <w:color w:val="000000"/>
          <w:lang w:eastAsia="es-CO"/>
        </w:rPr>
        <w:t>que</w:t>
      </w:r>
      <w:proofErr w:type="gramEnd"/>
      <w:r w:rsidRPr="009342F9">
        <w:rPr>
          <w:rFonts w:ascii="Arial" w:eastAsia="Times New Roman" w:hAnsi="Arial" w:cs="Arial"/>
          <w:color w:val="000000"/>
          <w:lang w:eastAsia="es-CO"/>
        </w:rPr>
        <w:t xml:space="preserve"> en cualquiera de las figuras jurídicas permitidas por la normatividad vigente, incluyan dentro de su objeto social la prestación del servicio público de aseo en la actividad de aprovechamiento, se registren ante la Superintendencia de Servicios Públicos Domiciliarios (SSPD) y estén constituidas en su totalidad por recicladores de oficio. </w:t>
      </w:r>
    </w:p>
    <w:p w14:paraId="26B19F5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739912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86. Rechazos: Material resultado de la clasificación de residuos aprovechables en la Estación de Clasificación y Aprovechamiento (ECA), cuyas características no permiten su efectivo aprovechamiento y que deben ser tratados o dispuestos en el relleno sanitario. </w:t>
      </w:r>
    </w:p>
    <w:p w14:paraId="4681B3B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8D8890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87. Residuos efectivamente aprovechados. Residuos sólidos que han sido clasificados y pesados en una Estación de Clasificación y Aprovechamiento (ECA) por la persona prestadora de la actividad y han sido comercializados para su incorporación a una cadena productiva, contando con el soporte de venta a un comercializador o a la industria”. </w:t>
      </w:r>
    </w:p>
    <w:p w14:paraId="260E0D64" w14:textId="77777777" w:rsidR="00FC79C1" w:rsidRPr="009342F9" w:rsidRDefault="00FC79C1" w:rsidP="00FC79C1">
      <w:pPr>
        <w:spacing w:after="0" w:line="240" w:lineRule="auto"/>
        <w:ind w:left="602"/>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4247732" w14:textId="77777777" w:rsidR="00FC79C1" w:rsidRPr="009342F9" w:rsidRDefault="00FC79C1" w:rsidP="00F74103">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88. Tratamiento. Es la actividad del servicio público de aseo, alternativa o complementaria a la disposición final, en la cual se propende por la obtención de beneficios ambientales, sanitarios o económicos, al procesar los residuos sólidos a través de operaciones y procesos mediante los cuales se modifican las características físicas, biológicas o químicas para potencializar su uso. Incluye las técnicas de tratamiento mecánico, biológico y térmico. Dentro de los beneficios se consideran la separación de los residuos sólidos en sus componentes individuales para que puedan utilizarse o tratarse posteriormente, la reducción de la cantidad de residuos sólidos a disponer y/o la recuperación de materiales o recursos valorizados. </w:t>
      </w:r>
    </w:p>
    <w:p w14:paraId="05FD5FAE" w14:textId="77777777" w:rsidR="00FC79C1" w:rsidRPr="009342F9" w:rsidRDefault="00FC79C1" w:rsidP="00FC79C1">
      <w:pPr>
        <w:spacing w:after="0" w:line="240" w:lineRule="auto"/>
        <w:ind w:left="602"/>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44C579F" w14:textId="77777777" w:rsidR="00FC79C1" w:rsidRPr="009342F9" w:rsidRDefault="00FC79C1" w:rsidP="00F74103">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89. Bitácora. Es el documento en el que la persona prestadora registrará diariamente y en detalle las actividades realizadas, fecha de inicio y de terminación, el responsable y personal utilizado para su ejecución, cumplimiento del Reglamento Operativo, presupuesto, maquinaria y equipo utilizado con el respectivo rendimiento, inconvenientes y soluciones adoptadas, condiciones climáticas y cumplimiento de las medidas de control, mitigación, prevención y compensación ejecutadas. </w:t>
      </w:r>
    </w:p>
    <w:p w14:paraId="5FCA5E8E" w14:textId="77777777" w:rsidR="00FC79C1" w:rsidRPr="009342F9" w:rsidRDefault="00FC79C1" w:rsidP="00FC79C1">
      <w:pPr>
        <w:spacing w:after="0" w:line="240" w:lineRule="auto"/>
        <w:ind w:left="602"/>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19A47B9" w14:textId="77777777" w:rsidR="00FC79C1" w:rsidRPr="009342F9" w:rsidRDefault="00FC79C1" w:rsidP="00F74103">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90. Documento Técnico de Estudios y Diseños. Documento sectorial que contiene de manera detallada y concisa todas las especificaciones para la realización de la obra, organización de medios, personas, materiales y métodos constructivos. Incluye objetivos, memorias de cálculo, especificaciones técnicas, presupuesto, cronograma, planos de cada una de las estructuras propuestas para la construcción del relleno sanitario. </w:t>
      </w:r>
    </w:p>
    <w:p w14:paraId="46BE71C1" w14:textId="77777777" w:rsidR="00FC79C1" w:rsidRPr="009342F9" w:rsidRDefault="00FC79C1" w:rsidP="00FC79C1">
      <w:pPr>
        <w:spacing w:after="0" w:line="240" w:lineRule="auto"/>
        <w:ind w:left="602"/>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31EC22C" w14:textId="77777777" w:rsidR="00FC79C1" w:rsidRPr="009342F9" w:rsidRDefault="00FC79C1" w:rsidP="00F74103">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91. Instalaciones para tratamientos Complementarios y Alternativos Complementarios. Son soluciones técnicas de manejo y valorización de residuos con potencial de recuperación e incorporación a ciclo productivo, tendiente a disminuir su disposición final en rellenos sanitarios. </w:t>
      </w:r>
    </w:p>
    <w:p w14:paraId="1E0BC949" w14:textId="77777777" w:rsidR="00FC79C1" w:rsidRPr="009342F9" w:rsidRDefault="00FC79C1" w:rsidP="00FC79C1">
      <w:pPr>
        <w:spacing w:after="0" w:line="240" w:lineRule="auto"/>
        <w:ind w:left="602"/>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535AAF2" w14:textId="77777777" w:rsidR="00FC79C1" w:rsidRPr="009342F9" w:rsidRDefault="00FC79C1" w:rsidP="00F74103">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92. Polígono. Superficie de terreno delimitada por la entidad territorial en el marco del POT, EOT, PBOT, con usos de suelo compatibles a la ubicación de infraestructura para la prestación de las actividades de disposición final y tratamiento alternativa y complementaria de residuos sólidos. </w:t>
      </w:r>
    </w:p>
    <w:p w14:paraId="36EBCCF2" w14:textId="77777777" w:rsidR="00FC79C1" w:rsidRPr="009342F9" w:rsidRDefault="00FC79C1" w:rsidP="00FC79C1">
      <w:pPr>
        <w:spacing w:after="0" w:line="240" w:lineRule="auto"/>
        <w:ind w:left="602"/>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F224140" w14:textId="77777777" w:rsidR="00FC79C1" w:rsidRPr="009342F9" w:rsidRDefault="00FC79C1" w:rsidP="00F74103">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93. Reglamento Operativo del tratamiento y la disposición final. Instrumento de gestión, adoptado por el prestador, que establece el flujo de proceso, procedimientos, responsabilidades, normas internas y manuales de operación y de control requeridos para cumplir estándares de operación definidos en el diseño. Su objetivo es garantizar la prestación del servicio público en las actividades complementarias de tratamiento y disposición final. El Reglamento Operativo no será sujeto de aprobación por ninguna autoridad. </w:t>
      </w:r>
    </w:p>
    <w:p w14:paraId="302DE5DB" w14:textId="77777777" w:rsidR="00FC79C1" w:rsidRPr="009342F9" w:rsidRDefault="00FC79C1" w:rsidP="00FC79C1">
      <w:pPr>
        <w:spacing w:after="0" w:line="240" w:lineRule="auto"/>
        <w:ind w:left="602"/>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BD7BF79" w14:textId="77777777" w:rsidR="00FC79C1" w:rsidRPr="009342F9" w:rsidRDefault="00FC79C1" w:rsidP="00F74103">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94. Minería de rellenos. Proceso de extracción, trituración, homogenización y estabilización de residuos sólidos con el cual se reduce la cantidad de masa enterrada en los sitios de disposición final. </w:t>
      </w:r>
    </w:p>
    <w:p w14:paraId="4ED978A5" w14:textId="77777777" w:rsidR="00FC79C1" w:rsidRPr="009342F9" w:rsidRDefault="00FC79C1" w:rsidP="00FC79C1">
      <w:pPr>
        <w:spacing w:after="0" w:line="240" w:lineRule="auto"/>
        <w:ind w:left="602"/>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7F63D2B" w14:textId="77777777" w:rsidR="00FC79C1" w:rsidRPr="009342F9" w:rsidRDefault="00FC79C1" w:rsidP="00F74103">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95. Vida Útil de Diseño. Es la capacidad del relleno sanitario, expresada en unidad de tiempo, calculada a partir de la relación del volumen máximo (m3) de diseño y la tasa de disposición. </w:t>
      </w:r>
    </w:p>
    <w:p w14:paraId="0C954B54" w14:textId="77777777" w:rsidR="00FC79C1" w:rsidRPr="009342F9" w:rsidRDefault="00FC79C1" w:rsidP="00FC79C1">
      <w:pPr>
        <w:spacing w:after="0" w:line="240" w:lineRule="auto"/>
        <w:ind w:left="602"/>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6778B8A" w14:textId="77777777" w:rsidR="00FC79C1" w:rsidRPr="009342F9" w:rsidRDefault="00FC79C1" w:rsidP="00F74103">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96. Vida útil remanente. Es la capacidad del relleno sanitario, expresada en unidad de tiempo, resultado de la relación entre el volumen remanente y la tasa de disposición </w:t>
      </w:r>
    </w:p>
    <w:p w14:paraId="29854E4E" w14:textId="77777777" w:rsidR="00FC79C1" w:rsidRPr="009342F9" w:rsidRDefault="00FC79C1" w:rsidP="00FC79C1">
      <w:pPr>
        <w:spacing w:after="0" w:line="240" w:lineRule="auto"/>
        <w:jc w:val="both"/>
        <w:rPr>
          <w:rFonts w:ascii="Arial" w:eastAsia="Times New Roman" w:hAnsi="Arial" w:cs="Arial"/>
          <w:color w:val="000000"/>
          <w:lang w:eastAsia="es-CO"/>
        </w:rPr>
      </w:pPr>
    </w:p>
    <w:p w14:paraId="7A19C3B3" w14:textId="77777777" w:rsidR="00FC79C1" w:rsidRPr="009342F9" w:rsidRDefault="00FC79C1" w:rsidP="00F74103">
      <w:pPr>
        <w:spacing w:after="0" w:line="240" w:lineRule="auto"/>
        <w:jc w:val="center"/>
        <w:rPr>
          <w:rFonts w:ascii="Arial" w:eastAsia="Times New Roman" w:hAnsi="Arial" w:cs="Arial"/>
          <w:b/>
          <w:bCs/>
          <w:color w:val="000000"/>
          <w:lang w:eastAsia="es-CO"/>
        </w:rPr>
      </w:pPr>
      <w:bookmarkStart w:id="1640" w:name="ver_30075055"/>
      <w:bookmarkEnd w:id="1638"/>
      <w:bookmarkEnd w:id="1639"/>
      <w:bookmarkEnd w:id="1640"/>
      <w:r w:rsidRPr="009342F9">
        <w:rPr>
          <w:rFonts w:ascii="Arial" w:eastAsia="Times New Roman" w:hAnsi="Arial" w:cs="Arial"/>
          <w:b/>
          <w:bCs/>
          <w:color w:val="000000"/>
          <w:lang w:eastAsia="es-CO"/>
        </w:rPr>
        <w:t>CAPÍTULO 2</w:t>
      </w:r>
    </w:p>
    <w:p w14:paraId="4975A12A" w14:textId="77777777" w:rsidR="00FC79C1" w:rsidRPr="009342F9" w:rsidRDefault="00FC79C1" w:rsidP="00F74103">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TRANSPORTE Y RECOLECCIÓN DE RESIDUOS APROVECHABLES Y NO APROVECHABLES</w:t>
      </w:r>
    </w:p>
    <w:p w14:paraId="40B49AE7" w14:textId="77777777" w:rsidR="00FC79C1" w:rsidRPr="009342F9" w:rsidRDefault="00FC79C1" w:rsidP="00F74103">
      <w:pPr>
        <w:spacing w:after="0" w:line="240" w:lineRule="auto"/>
        <w:jc w:val="center"/>
        <w:rPr>
          <w:rFonts w:ascii="Arial" w:eastAsia="Times New Roman" w:hAnsi="Arial" w:cs="Arial"/>
          <w:b/>
          <w:bCs/>
          <w:color w:val="000000"/>
          <w:lang w:eastAsia="es-CO"/>
        </w:rPr>
      </w:pPr>
      <w:bookmarkStart w:id="1641" w:name="ver_30075056"/>
      <w:bookmarkEnd w:id="1641"/>
    </w:p>
    <w:p w14:paraId="6BA7772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2.3.2.2.1. Ámbito de aplicación. El presente capítulo aplica al servicio público de aseo de que trata la Ley 142 de 1994, a las personas prestadoras de residuos aprovechables y no aprovechables, a los usuarios, a la Superintendencia de Servicios Públicos Domiciliarios, a la Comisión de Regulación de Agua Potable y Saneamiento Básico, a las entidades territoriales y demás entidades con funciones sobre este servicio. </w:t>
      </w:r>
    </w:p>
    <w:p w14:paraId="1293920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254DAB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Este capítulo no aplica a la actividad disposición final, la cual se regirá por lo dispuesto en el capítulo 3 de este Título. </w:t>
      </w:r>
    </w:p>
    <w:p w14:paraId="4C56D08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98BB50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Tampoco aplica a la gestión de residuos peligrosos, la cual se rige por lo dispuesto en las normas ambientales. </w:t>
      </w:r>
    </w:p>
    <w:p w14:paraId="70CF6609" w14:textId="6CAA03C8" w:rsidR="00F74103" w:rsidRPr="009342F9" w:rsidRDefault="00FC79C1" w:rsidP="00D569FF">
      <w:pPr>
        <w:spacing w:after="0" w:line="240" w:lineRule="auto"/>
        <w:jc w:val="both"/>
        <w:rPr>
          <w:rFonts w:ascii="Arial" w:eastAsia="Times New Roman" w:hAnsi="Arial" w:cs="Arial"/>
          <w:b/>
          <w:bCs/>
          <w:color w:val="000000"/>
          <w:lang w:eastAsia="es-CO"/>
        </w:rPr>
      </w:pPr>
      <w:r w:rsidRPr="009342F9">
        <w:rPr>
          <w:rFonts w:ascii="Arial" w:eastAsia="Times New Roman" w:hAnsi="Arial" w:cs="Arial"/>
          <w:color w:val="000000"/>
          <w:lang w:eastAsia="es-CO"/>
        </w:rPr>
        <w:t>  </w:t>
      </w:r>
      <w:bookmarkStart w:id="1642" w:name="ver_30075057"/>
      <w:bookmarkEnd w:id="1642"/>
    </w:p>
    <w:p w14:paraId="0FAAE477" w14:textId="0B91BB69" w:rsidR="00FC79C1" w:rsidRPr="009342F9" w:rsidRDefault="00FC79C1" w:rsidP="00F74103">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SECCIÓN 1</w:t>
      </w:r>
    </w:p>
    <w:p w14:paraId="2A0B6566" w14:textId="77777777" w:rsidR="00FC79C1" w:rsidRPr="009342F9" w:rsidRDefault="00FC79C1" w:rsidP="00F74103">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ASPECTOS GENERALES EN LA PRESTACIÓN DEL SERVICIO DE ASEO</w:t>
      </w:r>
    </w:p>
    <w:p w14:paraId="123DCE6D"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643" w:name="ver_30075058"/>
      <w:bookmarkEnd w:id="1643"/>
    </w:p>
    <w:p w14:paraId="6824F34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2.3.2.2.1.2. Principios básicos para la prestación del servicio de aseo. En la prestación del servicio público de aseo, y en el marco de la Gestión Integral de Residuos Sólidos, se observarán los siguientes principios: prestación eficiente a toda la población con continuidad, calidad y cobertura; obtener economías de escala comprobables; garantizar la participación de los usuarios en la gestión y fiscalización de la prestación; desarrollar una cultura de la no basura; fomentar el aprovechamiento; minimizar y mitigar el impacto en la salud y en el ambiente que se pueda causar por la generación de los residuos sólidos. </w:t>
      </w:r>
    </w:p>
    <w:p w14:paraId="685205CA" w14:textId="7D7F24A8"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w:t>
      </w:r>
      <w:bookmarkStart w:id="1644" w:name="ver_30075059"/>
      <w:bookmarkEnd w:id="1644"/>
    </w:p>
    <w:p w14:paraId="2DB517C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2.3.2.2.1.3. Calidad del servicio de aseo. El servicio público de aseo deberá prestarse en todas sus actividades con calidad y continuidad acorde con lo definido en el presente capítulo, en la regulación vigente, en el programa de prestación del servicio y en el PGIRS con el fin de mantener limpias las áreas atendidas y lograr el aprovechamiento de residuos. </w:t>
      </w:r>
    </w:p>
    <w:p w14:paraId="175E481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700A4E7" w14:textId="77777777" w:rsidR="00FC79C1" w:rsidRPr="009342F9" w:rsidRDefault="00FC79C1" w:rsidP="00FC79C1">
      <w:pPr>
        <w:spacing w:after="0" w:line="240" w:lineRule="auto"/>
        <w:jc w:val="both"/>
        <w:rPr>
          <w:rFonts w:ascii="Arial" w:eastAsia="Times New Roman" w:hAnsi="Arial" w:cs="Arial"/>
          <w:color w:val="000000"/>
          <w:lang w:eastAsia="es-CO"/>
        </w:rPr>
      </w:pPr>
      <w:proofErr w:type="gramStart"/>
      <w:r w:rsidRPr="009342F9">
        <w:rPr>
          <w:rFonts w:ascii="Arial" w:eastAsia="Times New Roman" w:hAnsi="Arial" w:cs="Arial"/>
          <w:color w:val="000000"/>
          <w:lang w:eastAsia="es-CO"/>
        </w:rPr>
        <w:t>En caso que</w:t>
      </w:r>
      <w:proofErr w:type="gramEnd"/>
      <w:r w:rsidRPr="009342F9">
        <w:rPr>
          <w:rFonts w:ascii="Arial" w:eastAsia="Times New Roman" w:hAnsi="Arial" w:cs="Arial"/>
          <w:color w:val="000000"/>
          <w:lang w:eastAsia="es-CO"/>
        </w:rPr>
        <w:t xml:space="preserve"> la condición de limpieza del área se deteriore por una causa ajena a la persona prestadora del servicio público de aseo, las autoridades de policía deberán imponer a los responsables las sanciones conforme a la ley. </w:t>
      </w:r>
    </w:p>
    <w:p w14:paraId="0EC2DFC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50F8F1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Igualmente, deberá considerar un programa de atención de fallas, emergencias y una atención oportuna al usuario. </w:t>
      </w:r>
    </w:p>
    <w:p w14:paraId="7DBE207A" w14:textId="04513BD8"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645" w:name="ver_30075060"/>
      <w:bookmarkEnd w:id="1645"/>
    </w:p>
    <w:p w14:paraId="01F0E58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2.3.2.2.1.4. Continuidad del servicio. El servicio público de aseo se debe prestar en todas sus actividades de manera continua e ininterrumpida, con las frecuencias mínimas establecidas en este capítulo y aquellas que por sus particularidades queden definidas en el PGIRS, salvo cuando existan razones de fuerza mayor o caso fortuito. </w:t>
      </w:r>
    </w:p>
    <w:p w14:paraId="6E566EFF" w14:textId="715EC9E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646" w:name="ver_30075062"/>
      <w:bookmarkEnd w:id="1646"/>
    </w:p>
    <w:p w14:paraId="04ED2FD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2.3.2.2.1.5. Responsabilidad de la prestación del servicio público de aseo. De conformidad con la ley, es responsabilidad de los municipios y distritos asegurar que se preste a todos sus habitantes el servicio público de aseo de manera eficiente. </w:t>
      </w:r>
    </w:p>
    <w:p w14:paraId="353F05CD" w14:textId="6B856294"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647" w:name="ver_30075065"/>
      <w:bookmarkEnd w:id="1647"/>
    </w:p>
    <w:p w14:paraId="4DCE623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2.3.2.2.1.6. Responsabilidad en el manejo de los residuos sólidos. La responsabilidad por los impactos generados por las actividades del servicio público de aseo, incluido el aprovechamiento, recaerá en la persona prestadora a partir del momento en que deba efectuar la recolección, la cual deberá cumplir con las disposiciones del presente capítulo y demás normatividad vigente. </w:t>
      </w:r>
    </w:p>
    <w:p w14:paraId="0199A7A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EC2625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Cuando se realice la comercialización de residuos sólidos aprovechables, la responsabilidad por los impactos causados será del agente económico que ejecute la actividad. </w:t>
      </w:r>
    </w:p>
    <w:p w14:paraId="0A7C466E" w14:textId="75A83498"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648" w:name="ver_30075248"/>
      <w:bookmarkEnd w:id="1648"/>
    </w:p>
    <w:p w14:paraId="5CA6ACC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2.3.2.2.1.7. Cobertura. Los municipios o </w:t>
      </w:r>
      <w:proofErr w:type="gramStart"/>
      <w:r w:rsidRPr="009342F9">
        <w:rPr>
          <w:rFonts w:ascii="Arial" w:eastAsia="Times New Roman" w:hAnsi="Arial" w:cs="Arial"/>
          <w:color w:val="000000"/>
          <w:lang w:eastAsia="es-CO"/>
        </w:rPr>
        <w:t>distritos,</w:t>
      </w:r>
      <w:proofErr w:type="gramEnd"/>
      <w:r w:rsidRPr="009342F9">
        <w:rPr>
          <w:rFonts w:ascii="Arial" w:eastAsia="Times New Roman" w:hAnsi="Arial" w:cs="Arial"/>
          <w:color w:val="000000"/>
          <w:lang w:eastAsia="es-CO"/>
        </w:rPr>
        <w:t xml:space="preserve"> deben garantizar la prestación del servicio de aseo a todos sus habitantes dentro de su territorio por parte de las personas prestadoras de servicio público de aseo independientemente del esquema adoptado para su prestación. Para ello deberá planificarse la ampliación permanente de la cobertura teniendo en cuenta, entre otros aspectos el crecimiento de la población y la producción de residuos. </w:t>
      </w:r>
    </w:p>
    <w:p w14:paraId="77DA085A" w14:textId="55B83875"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649" w:name="ver_30075249"/>
      <w:bookmarkEnd w:id="1649"/>
    </w:p>
    <w:p w14:paraId="027F694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2.3.2.2.1.8. Función social y ecológica. Las personas que prestan el servicio público de aseo deben cumplir con las obligaciones de la función social y ecológica de la propiedad, de conformidad con lo dispuesto en la Constitución Política y en la ley. </w:t>
      </w:r>
    </w:p>
    <w:p w14:paraId="132383FB" w14:textId="2E43BE8D"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650" w:name="ver_30075250"/>
      <w:bookmarkEnd w:id="1650"/>
    </w:p>
    <w:p w14:paraId="548AEFD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2.3.2.2.1.9. Economías de escala. El municipio o distrito, al adoptar el respectivo Plan de Gestión Integral de los Residuos Sólidos, deberá propender porque en la prestación del servicio de aseo se logren economías de escala teniendo en cuenta variables tales como: cantidad de residuos a manejar en cada una de las etapas de la gestión, nivel del servicio, calidad del servicio, densidad de las viviendas, innovación tecnológica de equipo, gestión administrativa, operativa y de mantenimiento del servicio, la asociación de municipios para la conformación de esquemas regionales, las condiciones y la localización de los componentes del sistema. </w:t>
      </w:r>
    </w:p>
    <w:p w14:paraId="45A8F027" w14:textId="2C26FA61"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651" w:name="ver_30075251"/>
      <w:bookmarkEnd w:id="1651"/>
    </w:p>
    <w:p w14:paraId="7D11E1A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2.3.2.2.1.10. Programa para la Prestación del Servicio de Aseo. Las personas prestadoras del servicio público de aseo deberán formular e implementar el Programa para la </w:t>
      </w:r>
      <w:r w:rsidRPr="009342F9">
        <w:rPr>
          <w:rFonts w:ascii="Arial" w:eastAsia="Times New Roman" w:hAnsi="Arial" w:cs="Arial"/>
          <w:color w:val="000000"/>
          <w:lang w:eastAsia="es-CO"/>
        </w:rPr>
        <w:lastRenderedPageBreak/>
        <w:t>Prestación del Servicio acorde con el Plan de Gestión Integral de Residuos Sólidos del municipio o distrito y/o regional según el caso, la regulación vigente y lo establecido en este capítulo. </w:t>
      </w:r>
    </w:p>
    <w:p w14:paraId="3209D90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ED8691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Para efectos de la formulación de este programa, las personas prestadoras definirán: objetivos, metas, estrategias, campañas educativas, actividades y cronogramas, costos y fuentes de financiación de acuerdo con los lineamientos definidos por el Ministerio de Vivienda, Ciudad y Territorio. Este programa igualmente deberá definir todos los aspectos operativos de los diferentes componentes del servicio que atienda el prestador, el cual deberá ser objeto de seguimiento y control por parte de la Superintendencia de Servicios Públicos. </w:t>
      </w:r>
    </w:p>
    <w:p w14:paraId="0F43848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C3ED56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El Programa para la Prestación del Servicio de Aseo debe revisarse y ajustarse de acuerdo con las actualizaciones del PGIRS y ser enviado a la Superintendencia de Servicios Públicos Domiciliarios para su vigilancia y control, conforme a lo establecido en el artículo 3.4 de la Ley 142 de 1994. </w:t>
      </w:r>
    </w:p>
    <w:p w14:paraId="453E37DD" w14:textId="1A2BC711"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652" w:name="ver_30075252"/>
      <w:bookmarkEnd w:id="1652"/>
    </w:p>
    <w:p w14:paraId="7EF1E65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2.3.2.2.1.11. Libre competencia en el servicio público de aseo y actividades complementarias. Salvo en los casos expresamente consagrados en la Constitución Política y en la ley, existe libertad de competencia en la prestación del servicio público de aseo y sus actividades complementarias, para lo cual, quienes deseen prestarlo deberán adoptar cualquiera de las formas señaladas en el artículo 15 de la Ley 142 de 1994. </w:t>
      </w:r>
    </w:p>
    <w:p w14:paraId="211ECA6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546FAB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Los prestadores del servicio público de aseo deben someterse a la competencia sin limitaciones de entrada de nuevos competidores, salvo por lo señalado por la Constitución Política, la Ley 142 de 1994 y el presente capítulo, de tal forma que se favorezca la calidad, la eficiencia y la continuidad en la prestación del servicio en los términos establecidos en la normatividad vigente sobre la materia. </w:t>
      </w:r>
    </w:p>
    <w:p w14:paraId="4373063F" w14:textId="06969DD6"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653" w:name="ver_30075253"/>
      <w:bookmarkEnd w:id="1653"/>
    </w:p>
    <w:p w14:paraId="2EC37C1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2.3.2.2.1.12. Permisos ambientales. Quienes presten el servicio público de aseo deberán obtener los permisos, licencias y demás autorizaciones que la índole de sus actividades requiera, de conformidad. </w:t>
      </w:r>
    </w:p>
    <w:p w14:paraId="5A5D2DF7" w14:textId="7E3EACC4" w:rsidR="00F74103"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654" w:name="ver_30075254"/>
      <w:bookmarkEnd w:id="1654"/>
    </w:p>
    <w:p w14:paraId="4408005C" w14:textId="5F8A5EA1" w:rsidR="00FC79C1" w:rsidRDefault="00FC79C1" w:rsidP="00F74103">
      <w:pPr>
        <w:spacing w:after="0" w:line="240" w:lineRule="auto"/>
        <w:jc w:val="center"/>
        <w:rPr>
          <w:rFonts w:ascii="Arial" w:eastAsia="Times New Roman" w:hAnsi="Arial" w:cs="Arial"/>
          <w:b/>
          <w:bCs/>
          <w:color w:val="000000"/>
          <w:lang w:eastAsia="es-CO"/>
        </w:rPr>
      </w:pPr>
      <w:r w:rsidRPr="231E957E">
        <w:rPr>
          <w:rFonts w:ascii="Arial" w:eastAsia="Times New Roman" w:hAnsi="Arial" w:cs="Arial"/>
          <w:b/>
          <w:color w:val="000000" w:themeColor="text1"/>
          <w:lang w:eastAsia="es-CO"/>
        </w:rPr>
        <w:t>SECCIÓN 2</w:t>
      </w:r>
    </w:p>
    <w:p w14:paraId="3905353E" w14:textId="77777777" w:rsidR="005C5EEB" w:rsidRPr="009342F9" w:rsidRDefault="005C5EEB" w:rsidP="00F74103">
      <w:pPr>
        <w:spacing w:after="0" w:line="240" w:lineRule="auto"/>
        <w:jc w:val="center"/>
        <w:rPr>
          <w:rFonts w:ascii="Arial" w:eastAsia="Times New Roman" w:hAnsi="Arial" w:cs="Arial"/>
          <w:b/>
          <w:bCs/>
          <w:color w:val="000000"/>
          <w:lang w:eastAsia="es-CO"/>
        </w:rPr>
      </w:pPr>
    </w:p>
    <w:p w14:paraId="0202903C" w14:textId="77777777" w:rsidR="00FC79C1" w:rsidRPr="009342F9" w:rsidRDefault="00FC79C1" w:rsidP="00F74103">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SUBSECCIÓN 1</w:t>
      </w:r>
    </w:p>
    <w:p w14:paraId="3763F3DC" w14:textId="77777777" w:rsidR="00FC79C1" w:rsidRPr="009342F9" w:rsidRDefault="00FC79C1" w:rsidP="00F74103">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ACTIVIDADES DEL SERVICIO PÚBLICO DE ASEO</w:t>
      </w:r>
    </w:p>
    <w:p w14:paraId="108F2342"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655" w:name="ver_30075255"/>
      <w:bookmarkEnd w:id="1655"/>
    </w:p>
    <w:p w14:paraId="5E48476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2.3.2.2.2.1.13. Actividades del servicio público de aseo. Para efectos de este capítulo se consideran como actividades del servicio público de aseo, las siguientes: </w:t>
      </w:r>
    </w:p>
    <w:p w14:paraId="15E855F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D36E83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Recolección. </w:t>
      </w:r>
    </w:p>
    <w:p w14:paraId="0E77F0C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A5DF2B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Transporte. </w:t>
      </w:r>
    </w:p>
    <w:p w14:paraId="7135353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146630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Barrido, limpieza de vías y áreas públicas. </w:t>
      </w:r>
    </w:p>
    <w:p w14:paraId="2452EA3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BF07A4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Corte de césped, poda de árboles en las vías y áreas públicas. </w:t>
      </w:r>
    </w:p>
    <w:p w14:paraId="738ED88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A15360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 Transferencia. </w:t>
      </w:r>
    </w:p>
    <w:p w14:paraId="2AC701A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F979D0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6. Tratamiento. </w:t>
      </w:r>
    </w:p>
    <w:p w14:paraId="6670710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2AC348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7. Aprovechamiento. </w:t>
      </w:r>
    </w:p>
    <w:p w14:paraId="236871A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8DD774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8. Disposición final. </w:t>
      </w:r>
    </w:p>
    <w:p w14:paraId="6336AF1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3E7272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9. Lavado de áreas públicas. </w:t>
      </w:r>
    </w:p>
    <w:p w14:paraId="7A283594" w14:textId="18EB17B1"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656" w:name="ver_30075256"/>
      <w:bookmarkEnd w:id="1656"/>
    </w:p>
    <w:p w14:paraId="739C724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2.3.2.2.2.1.14. Costos asociados al servicio público de aseo. Los costos asociados al servicio público de </w:t>
      </w:r>
      <w:proofErr w:type="gramStart"/>
      <w:r w:rsidRPr="009342F9">
        <w:rPr>
          <w:rFonts w:ascii="Arial" w:eastAsia="Times New Roman" w:hAnsi="Arial" w:cs="Arial"/>
          <w:color w:val="000000"/>
          <w:lang w:eastAsia="es-CO"/>
        </w:rPr>
        <w:t>aseo,</w:t>
      </w:r>
      <w:proofErr w:type="gramEnd"/>
      <w:r w:rsidRPr="009342F9">
        <w:rPr>
          <w:rFonts w:ascii="Arial" w:eastAsia="Times New Roman" w:hAnsi="Arial" w:cs="Arial"/>
          <w:color w:val="000000"/>
          <w:lang w:eastAsia="es-CO"/>
        </w:rPr>
        <w:t xml:space="preserve"> deberán corresponder a las actividades del servicio definidas en este capítulo. </w:t>
      </w:r>
    </w:p>
    <w:p w14:paraId="53D86C2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0B9D8B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Igualmente, deberá incorporar los de limpieza de playas en áreas urbanas definidas por la entidad territorial en el PGIRS. </w:t>
      </w:r>
    </w:p>
    <w:p w14:paraId="64BC392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3E86D7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En el caso de los residuos de construcción y </w:t>
      </w:r>
      <w:proofErr w:type="gramStart"/>
      <w:r w:rsidRPr="009342F9">
        <w:rPr>
          <w:rFonts w:ascii="Arial" w:eastAsia="Times New Roman" w:hAnsi="Arial" w:cs="Arial"/>
          <w:color w:val="000000"/>
          <w:lang w:eastAsia="es-CO"/>
        </w:rPr>
        <w:t>demolición</w:t>
      </w:r>
      <w:proofErr w:type="gramEnd"/>
      <w:r w:rsidRPr="009342F9">
        <w:rPr>
          <w:rFonts w:ascii="Arial" w:eastAsia="Times New Roman" w:hAnsi="Arial" w:cs="Arial"/>
          <w:color w:val="000000"/>
          <w:lang w:eastAsia="es-CO"/>
        </w:rPr>
        <w:t xml:space="preserve"> así como de otros residuos especiales, el usuario que solicite este servicio será quien asuma los costos asociados con el mismo. Este servicio podrá ser suministrado por la persona prestadora del servicio público de aseo de conformidad con la normatividad vigente para este tipo de residuos. </w:t>
      </w:r>
    </w:p>
    <w:p w14:paraId="26BD780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DB37F8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El precio por la prestación del servicio público de aseo para el manejo de residuos de construcción y demolición, así como de otros residuos especiales, será pactado libremente por el usuario que lo solicite y la persona prestadora del servicio. </w:t>
      </w:r>
    </w:p>
    <w:p w14:paraId="473F7B7C" w14:textId="29EAF4CD"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657" w:name="ver_30075257"/>
      <w:bookmarkEnd w:id="1657"/>
    </w:p>
    <w:p w14:paraId="697114F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2.3.2.2.2.1.15. Programa de gestión del riesgo. La persona prestadora del servicio público de aseo deberá estructurar y mantener actualizado un programa de gestión del riesgo </w:t>
      </w:r>
      <w:proofErr w:type="gramStart"/>
      <w:r w:rsidRPr="009342F9">
        <w:rPr>
          <w:rFonts w:ascii="Arial" w:eastAsia="Times New Roman" w:hAnsi="Arial" w:cs="Arial"/>
          <w:color w:val="000000"/>
          <w:lang w:eastAsia="es-CO"/>
        </w:rPr>
        <w:t>de acuerdo a</w:t>
      </w:r>
      <w:proofErr w:type="gramEnd"/>
      <w:r w:rsidRPr="009342F9">
        <w:rPr>
          <w:rFonts w:ascii="Arial" w:eastAsia="Times New Roman" w:hAnsi="Arial" w:cs="Arial"/>
          <w:color w:val="000000"/>
          <w:lang w:eastAsia="es-CO"/>
        </w:rPr>
        <w:t xml:space="preserve"> la normatividad vigente, en las diferentes actividades de la prestación del servicio, el cual deberá ser presentado a la Superintendencia de Servicios Públicos Domiciliarios. En caso de presentarse un evento de riesgo la persona prestadora del servicio deberá ejecutar las medidas de mitigación y corrección pertinentes. Así mismo, el prestador deberá garantizar la capacitación de todo su personal sobre los procedimientos a seguir en caso de presentarse cualquier evento de riesgo. </w:t>
      </w:r>
    </w:p>
    <w:p w14:paraId="323E4E8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B57621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La Comisión de Regulación de Agua Potable y Saneamiento Básico establecerá en el marco tarifario, el reconocimiento de la gestión integral del riesgo </w:t>
      </w:r>
      <w:proofErr w:type="gramStart"/>
      <w:r w:rsidRPr="009342F9">
        <w:rPr>
          <w:rFonts w:ascii="Arial" w:eastAsia="Times New Roman" w:hAnsi="Arial" w:cs="Arial"/>
          <w:color w:val="000000"/>
          <w:lang w:eastAsia="es-CO"/>
        </w:rPr>
        <w:t>de acuerdo a</w:t>
      </w:r>
      <w:proofErr w:type="gramEnd"/>
      <w:r w:rsidRPr="009342F9">
        <w:rPr>
          <w:rFonts w:ascii="Arial" w:eastAsia="Times New Roman" w:hAnsi="Arial" w:cs="Arial"/>
          <w:color w:val="000000"/>
          <w:lang w:eastAsia="es-CO"/>
        </w:rPr>
        <w:t xml:space="preserve"> la normatividad vigente. </w:t>
      </w:r>
    </w:p>
    <w:p w14:paraId="4DB9955E" w14:textId="77777777" w:rsidR="00D569FF" w:rsidRDefault="00D569FF" w:rsidP="00F74103">
      <w:pPr>
        <w:spacing w:after="0" w:line="240" w:lineRule="auto"/>
        <w:jc w:val="center"/>
        <w:rPr>
          <w:rFonts w:ascii="Arial" w:eastAsia="Times New Roman" w:hAnsi="Arial" w:cs="Arial"/>
          <w:b/>
          <w:bCs/>
          <w:color w:val="000000"/>
          <w:lang w:eastAsia="es-CO"/>
        </w:rPr>
      </w:pPr>
      <w:bookmarkStart w:id="1658" w:name="ver_30075258"/>
      <w:bookmarkEnd w:id="1658"/>
    </w:p>
    <w:p w14:paraId="58C83A4B" w14:textId="6EB26AD6" w:rsidR="00FC79C1" w:rsidRPr="009342F9" w:rsidRDefault="00FC79C1" w:rsidP="00F74103">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SUBSECCIÓN 2</w:t>
      </w:r>
    </w:p>
    <w:p w14:paraId="1471280A" w14:textId="77777777" w:rsidR="00FC79C1" w:rsidRPr="009342F9" w:rsidRDefault="00FC79C1" w:rsidP="00F74103">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ALMACENAMIENTO Y PRESENTACIÓN</w:t>
      </w:r>
    </w:p>
    <w:p w14:paraId="5419C479"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659" w:name="ver_30075259"/>
      <w:bookmarkEnd w:id="1659"/>
    </w:p>
    <w:p w14:paraId="7B9342A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2.3.2.2.2.2.16. Obligaciones de los usuarios para el almacenamiento y la presentación de residuos sólidos. Son obligaciones de los usuarios del servicio público de aseo, en cuanto al almacenamiento y la presentación de residuos sólidos: </w:t>
      </w:r>
    </w:p>
    <w:p w14:paraId="5B71D63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932ECA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1. Almacenar y presentar los residuos sólidos, </w:t>
      </w:r>
      <w:proofErr w:type="gramStart"/>
      <w:r w:rsidRPr="009342F9">
        <w:rPr>
          <w:rFonts w:ascii="Arial" w:eastAsia="Times New Roman" w:hAnsi="Arial" w:cs="Arial"/>
          <w:color w:val="000000"/>
          <w:lang w:eastAsia="es-CO"/>
        </w:rPr>
        <w:t>de acuerdo a</w:t>
      </w:r>
      <w:proofErr w:type="gramEnd"/>
      <w:r w:rsidRPr="009342F9">
        <w:rPr>
          <w:rFonts w:ascii="Arial" w:eastAsia="Times New Roman" w:hAnsi="Arial" w:cs="Arial"/>
          <w:color w:val="000000"/>
          <w:lang w:eastAsia="es-CO"/>
        </w:rPr>
        <w:t xml:space="preserve"> lo dispuesto en este capítulo, en el Plan de Gestión Integral de Residuos Sólidos de los municipios o distritos, en los respectivos programas para la prestación del servicio público de aseo, aspectos que deben estar definidos en el Contrato de Servicios Públicos. </w:t>
      </w:r>
    </w:p>
    <w:p w14:paraId="71AD3D6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E1A3D0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Realizar la separación de residuos en la fuente, tal como lo establezca el Plan de Gestión Integral de Residuos Sólidos del respectivo municipio o distrito para su adecuado almacenamiento y posterior presentación. </w:t>
      </w:r>
    </w:p>
    <w:p w14:paraId="6FA381C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EB628B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3. Presentar los residuos sólidos para la recolección en recipientes retornables o desechables, de acuerdo con lo establecido en el PGIRS de forma tal que facilite la actividad de recolección por parte del prestador. Preferiblemente la presentación de los residuos para recolección se realizará en recipientes retornables. </w:t>
      </w:r>
    </w:p>
    <w:p w14:paraId="5D44357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CC3F95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Almacenar en los recipientes la cantidad de residuos, tanto en volumen como en peso, acorde con la tecnología utilizada para su recolección. </w:t>
      </w:r>
    </w:p>
    <w:p w14:paraId="2542242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5729F7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 Ubicar los residuos sólidos en los sitios determinados para su presentación, con una anticipación no mayor de tres (3) horas previas a la recolección de acuerdo con las frecuencias y horarios establecidos por el prestador. </w:t>
      </w:r>
    </w:p>
    <w:p w14:paraId="495BD51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30ADD2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6. Almacenar y presentar los residuos sólidos provenientes del barrido de andenes, de manera conjunta con los residuos sólidos originados en el domicilio. </w:t>
      </w:r>
    </w:p>
    <w:p w14:paraId="32D2D61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D6B2D2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7. Presentar los residuos en área pública, salvo condiciones pactadas con el usuario cuando existan condiciones técnicas y operativas de acceso a las unidades de almacenamiento o sitio de presentación acordado. </w:t>
      </w:r>
    </w:p>
    <w:p w14:paraId="73B02F5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9153EA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Además de lo aquí dispuesto, los generadores de residuos sólidos deberán cumplir con las obligaciones que defina la autoridad sanitaria. </w:t>
      </w:r>
    </w:p>
    <w:p w14:paraId="75B9892E" w14:textId="6FEF9D6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660" w:name="ver_30075260"/>
      <w:bookmarkEnd w:id="1660"/>
    </w:p>
    <w:p w14:paraId="69D0AFA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2.3.2.2.2.2.17. Características de los recipientes retornables para almacenamiento de residuos sólidos. Los recipientes retornables, utilizados para almacenamiento y presentación de los residuos sólidos deberán tener las siguientes características básicas: </w:t>
      </w:r>
    </w:p>
    <w:p w14:paraId="05F09DB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ADF912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Proporcionar seguridad, higiene y facilitar el proceso de recolección de acuerdo con la tecnología utilizada por el prestador, tanto para la recolección de residuos con destino a disposición final como a procesos de aprovechamiento. </w:t>
      </w:r>
    </w:p>
    <w:p w14:paraId="6DD17CC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8ACF43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Tener una capacidad proporcional al peso, volumen y características de los residuos que contengan. </w:t>
      </w:r>
    </w:p>
    <w:p w14:paraId="3E221A6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D5AD5C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Ser de material resistente, para soportar la tensión ejercida por los residuos sólidos contenidos y por su manipulación y se evite la fuga de residuos o fluidos. </w:t>
      </w:r>
    </w:p>
    <w:p w14:paraId="60C710C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FDB569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En los casos de manipulación manual de los recipientes, este y los residuos depositados no deben superar un peso de 50 Kg. Para el caso de usuarios no residenciales, la connotación del peso del recipiente deberá estar sujeta a las normas técnicas que establezca la persona prestadora del servicio respectivo en el contrato de servicios públicos de condiciones uniformes, según la infraestructura que se utilice o esté disponible. </w:t>
      </w:r>
    </w:p>
    <w:p w14:paraId="2C95D6D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B5EE25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Los recipientes retornables para el almacenamiento de residuos sólidos en el </w:t>
      </w:r>
      <w:proofErr w:type="gramStart"/>
      <w:r w:rsidRPr="009342F9">
        <w:rPr>
          <w:rFonts w:ascii="Arial" w:eastAsia="Times New Roman" w:hAnsi="Arial" w:cs="Arial"/>
          <w:color w:val="000000"/>
          <w:lang w:eastAsia="es-CO"/>
        </w:rPr>
        <w:t>servicio,</w:t>
      </w:r>
      <w:proofErr w:type="gramEnd"/>
      <w:r w:rsidRPr="009342F9">
        <w:rPr>
          <w:rFonts w:ascii="Arial" w:eastAsia="Times New Roman" w:hAnsi="Arial" w:cs="Arial"/>
          <w:color w:val="000000"/>
          <w:lang w:eastAsia="es-CO"/>
        </w:rPr>
        <w:t xml:space="preserve"> deberán ser lavados por el usuario de tal forma que al ser presentados estén en condiciones sanitarias adecuadas. </w:t>
      </w:r>
    </w:p>
    <w:p w14:paraId="4BB1E85B" w14:textId="269C47AB"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661" w:name="ver_30075261"/>
      <w:bookmarkEnd w:id="1661"/>
    </w:p>
    <w:p w14:paraId="032BBA4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2.3.2.2.2.2.18. Características de los recipientes no retornables. Los recipientes no retornables, utilizados para almacenamiento y presentación de los residuos sólidos deberán tener las siguientes características básicas: </w:t>
      </w:r>
    </w:p>
    <w:p w14:paraId="3F954F9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E1B36F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1. Proporcionar seguridad, higiene y facilitar el proceso de recolección de acuerdo con la tecnología utilizada por el prestador, tanto para la recolección de residuos con destino a disposición final como a procesos de aprovechamiento. </w:t>
      </w:r>
    </w:p>
    <w:p w14:paraId="55195E4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9439A5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Tener una capacidad proporcional al peso, volumen y características de los residuos que contengan. </w:t>
      </w:r>
    </w:p>
    <w:p w14:paraId="418605A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D93BB0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De material resistente para soportar su manipulación. </w:t>
      </w:r>
    </w:p>
    <w:p w14:paraId="377AA97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7C46E0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Facilitar su cierre o amarre. </w:t>
      </w:r>
    </w:p>
    <w:p w14:paraId="388CD358" w14:textId="766C1AF8"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662" w:name="ver_30075262"/>
      <w:bookmarkEnd w:id="1662"/>
    </w:p>
    <w:p w14:paraId="0D94BB7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2.3.2.2.2.2.19. Sistemas de almacenamiento colectivo de residuos sólidos. Todo usuario agrupado del servicio público de </w:t>
      </w:r>
      <w:proofErr w:type="gramStart"/>
      <w:r w:rsidRPr="009342F9">
        <w:rPr>
          <w:rFonts w:ascii="Arial" w:eastAsia="Times New Roman" w:hAnsi="Arial" w:cs="Arial"/>
          <w:color w:val="000000"/>
          <w:lang w:eastAsia="es-CO"/>
        </w:rPr>
        <w:t>aseo,</w:t>
      </w:r>
      <w:proofErr w:type="gramEnd"/>
      <w:r w:rsidRPr="009342F9">
        <w:rPr>
          <w:rFonts w:ascii="Arial" w:eastAsia="Times New Roman" w:hAnsi="Arial" w:cs="Arial"/>
          <w:color w:val="000000"/>
          <w:lang w:eastAsia="es-CO"/>
        </w:rPr>
        <w:t xml:space="preserve"> deberá tener una unidad de almacenamiento de residuos sólidos que cumpla como mínimo con los siguientes requisitos: </w:t>
      </w:r>
    </w:p>
    <w:p w14:paraId="1DE7F48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69BEEE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Los acabados deberán permitir su fácil limpieza e impedir la formación de ambientes propicios para el desarrollo de microrganismos. </w:t>
      </w:r>
    </w:p>
    <w:p w14:paraId="0727E47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073671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Tendrán sistemas que permitan la ventilación, tales como rejillas o ventanas, y de prevención y control de incendios, como extintores y suministro cercano de agua y drenaje. </w:t>
      </w:r>
    </w:p>
    <w:p w14:paraId="0646C55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40E126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Serán construidas de manera que se evite el acceso y proliferación de insectos, roedores y otras clases de vectores, y que impida el ingreso de animales domésticos. </w:t>
      </w:r>
    </w:p>
    <w:p w14:paraId="0AE47A7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A3B15E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Deberán tener una adecuada ubicación y accesibilidad para los usuarios. </w:t>
      </w:r>
    </w:p>
    <w:p w14:paraId="47C3FD4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Deberán contar con recipientes o cajas de almacenamiento de residuos sólidos para realizar su adecuado almacenamiento y presentación, teniendo en cuenta la generación de residuos y las frecuencias y horarios de prestación del servicio de recolección y transporte. </w:t>
      </w:r>
    </w:p>
    <w:p w14:paraId="44D7AB9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0DF695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1°. Los usuarios serán los responsables de mantener aseadas, desinfectadas y fumigadas las unidades de almacenamiento, atendiendo los requisitos y normas para esta última actividad. </w:t>
      </w:r>
    </w:p>
    <w:p w14:paraId="35D84CF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60DD2A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2°. Cuando se realicen actividades de separación, las unidades de almacenamiento deberán disponer de espacio suficiente para realizar el almacenamiento de los materiales, evitando su deterioro. </w:t>
      </w:r>
    </w:p>
    <w:p w14:paraId="1B576DF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4219A8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3°. El usuario agrupado podrá elegir entre la presentación de los residuos en el andén o en la unidad de almacenamiento cuando así se pacte y las condiciones técnicas así lo permitan. En todo caso, deberá contar con los recipientes suficientes para el almacenamiento, de acuerdo con la generación de residuos, y las frecuencias y horarios de prestación del servicio de aseo. </w:t>
      </w:r>
    </w:p>
    <w:p w14:paraId="18312C8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18696A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Parágrafo 4°. Las plazas de mercado, cementerios, mataderos o frigoríficos, estadios, terminales de transporte deben establecer programas internos de almacenamiento y presentación de residuos, de modo que se minimice la mezcla de </w:t>
      </w:r>
      <w:proofErr w:type="gramStart"/>
      <w:r w:rsidRPr="009342F9">
        <w:rPr>
          <w:rFonts w:ascii="Arial" w:eastAsia="Times New Roman" w:hAnsi="Arial" w:cs="Arial"/>
          <w:color w:val="000000"/>
          <w:lang w:eastAsia="es-CO"/>
        </w:rPr>
        <w:t>los mismos</w:t>
      </w:r>
      <w:proofErr w:type="gramEnd"/>
      <w:r w:rsidRPr="009342F9">
        <w:rPr>
          <w:rFonts w:ascii="Arial" w:eastAsia="Times New Roman" w:hAnsi="Arial" w:cs="Arial"/>
          <w:color w:val="000000"/>
          <w:lang w:eastAsia="es-CO"/>
        </w:rPr>
        <w:t xml:space="preserve"> y se facilite el manejo y posterior aprovechamiento, en especial de los de origen orgánico. </w:t>
      </w:r>
    </w:p>
    <w:p w14:paraId="0C5D59F5" w14:textId="7E559AE1"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663" w:name="ver_30075263"/>
      <w:bookmarkEnd w:id="1663"/>
    </w:p>
    <w:p w14:paraId="00BC221A" w14:textId="1E8887CB" w:rsidR="00FC79C1" w:rsidRPr="009342F9" w:rsidRDefault="00FC79C1" w:rsidP="00D569FF">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2.3.2.2.2.2.20. Empaque de los residuos para evacuación por ductos. Los residuos sólidos que sean evacuados por </w:t>
      </w:r>
      <w:proofErr w:type="gramStart"/>
      <w:r w:rsidRPr="009342F9">
        <w:rPr>
          <w:rFonts w:ascii="Arial" w:eastAsia="Times New Roman" w:hAnsi="Arial" w:cs="Arial"/>
          <w:color w:val="000000"/>
          <w:lang w:eastAsia="es-CO"/>
        </w:rPr>
        <w:t>ductos,</w:t>
      </w:r>
      <w:proofErr w:type="gramEnd"/>
      <w:r w:rsidRPr="009342F9">
        <w:rPr>
          <w:rFonts w:ascii="Arial" w:eastAsia="Times New Roman" w:hAnsi="Arial" w:cs="Arial"/>
          <w:color w:val="000000"/>
          <w:lang w:eastAsia="es-CO"/>
        </w:rPr>
        <w:t xml:space="preserve"> serán empacados en recipientes no retornables que reúnan las características exigidas en el presente decreto y de acuerdo con el tamaño de los ductos</w:t>
      </w:r>
      <w:r w:rsidR="00D569FF">
        <w:rPr>
          <w:rFonts w:ascii="Arial" w:eastAsia="Times New Roman" w:hAnsi="Arial" w:cs="Arial"/>
          <w:color w:val="000000"/>
          <w:lang w:eastAsia="es-CO"/>
        </w:rPr>
        <w:t>.</w:t>
      </w:r>
    </w:p>
    <w:p w14:paraId="4C74E98E"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664" w:name="ver_30075264"/>
      <w:bookmarkEnd w:id="1664"/>
    </w:p>
    <w:p w14:paraId="3C30C99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2.3.2.2.2.2.21. Sitios de ubicación para la presentación de los residuos sólidos. La presentación de los residuos se podrá realizar, en la unidad de almacenamiento o en el andén en el caso de multiusuarios. Los demás usuarios deberán presentarlos en el andén del inmueble del generador, salvo que se pacte con el prestador otro sitio de presentación. </w:t>
      </w:r>
    </w:p>
    <w:p w14:paraId="36B1DB4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036FD1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La presentación de los residuos </w:t>
      </w:r>
      <w:proofErr w:type="gramStart"/>
      <w:r w:rsidRPr="009342F9">
        <w:rPr>
          <w:rFonts w:ascii="Arial" w:eastAsia="Times New Roman" w:hAnsi="Arial" w:cs="Arial"/>
          <w:color w:val="000000"/>
          <w:lang w:eastAsia="es-CO"/>
        </w:rPr>
        <w:t>sólidos,</w:t>
      </w:r>
      <w:proofErr w:type="gramEnd"/>
      <w:r w:rsidRPr="009342F9">
        <w:rPr>
          <w:rFonts w:ascii="Arial" w:eastAsia="Times New Roman" w:hAnsi="Arial" w:cs="Arial"/>
          <w:color w:val="000000"/>
          <w:lang w:eastAsia="es-CO"/>
        </w:rPr>
        <w:t xml:space="preserve"> deberá cumplir lo previsto en el presente capítulo, evitando la obstrucción peatonal o vehicular y con respeto de las normas urbanísticas vigentes en el respectivo municipio o distrito, de tal manera que se facilite el acceso para los vehículos y personas encargadas de la recolección y la fácil limpieza en caso de presentarse derrames accidentales. </w:t>
      </w:r>
    </w:p>
    <w:p w14:paraId="4A396571" w14:textId="60389EBB"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665" w:name="ver_30075265"/>
      <w:bookmarkEnd w:id="1665"/>
    </w:p>
    <w:p w14:paraId="16F57C1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2.3.2.2.2.2.22. Obligación de trasladar residuos sólidos hasta los sitios de recolección. En el caso de urbanizaciones, barrios o agrupaciones de viviendas y/o demás predios que por sus condiciones impidan la circulación de vehículos de recolección, así como en situaciones de emergencia, los usuarios están en la obligación de trasladar los residuos sólidos hasta el sitio determinado por la persona prestadora del servicio público de aseo, particularidad que deberá reflejarse en menores tarifas. </w:t>
      </w:r>
    </w:p>
    <w:p w14:paraId="62A54DB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AA493B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estos casos, la persona prestadora del servicio público de aseo deberá determinar los sitios de recolección de los residuos, los horarios y frecuencias de recolección, de tal manera que se evite la acumulación prolongada de los residuos en el espacio público. </w:t>
      </w:r>
    </w:p>
    <w:p w14:paraId="54B1B13D" w14:textId="21223852"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666" w:name="ver_30075266"/>
      <w:bookmarkEnd w:id="1666"/>
    </w:p>
    <w:p w14:paraId="3FE95DE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2.3.2.2.2.2.23. Características de las cajas de almacenamiento. Las cajas de almacenamiento deben cumplir con las siguientes condiciones: </w:t>
      </w:r>
    </w:p>
    <w:p w14:paraId="76C3701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2AFAC5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El tamaño, la capacidad y el sistema de cargue y descargue de las cajas de almacenamiento, serán determinados por la persona prestadora del servicio público de aseo con el objetivo de que sean compatibles con su equipo de recolección y transporte. </w:t>
      </w:r>
    </w:p>
    <w:p w14:paraId="6872A5C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14E6A8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Las dimensiones y capacidad deben ser tales que permitan el almacenamiento de la totalidad de los residuos sólidos producidos de acuerdo con las frecuencias de recolección. </w:t>
      </w:r>
    </w:p>
    <w:p w14:paraId="085AAA5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944D26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Deben estar provistas de elementos que eviten la humedad, el depósito de aguas lluvias, la dispersión de los residuos, el acceso de animales y la proliferación de vectores. </w:t>
      </w:r>
    </w:p>
    <w:p w14:paraId="0047646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Debe colocarse la cantidad requerida de cajas que garanticen el almacenamiento de la totalidad de los residuos generados, acorde con la frecuencia de recolección establecida por la persona prestadora del servicio de recolección y transporte. </w:t>
      </w:r>
    </w:p>
    <w:p w14:paraId="4DE3676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801FBA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En las cajas de almacenamiento únicamente se podrán depositar los residuos sólidos ordinarios. </w:t>
      </w:r>
    </w:p>
    <w:p w14:paraId="5BBFC85B" w14:textId="2B1651C3"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667" w:name="ver_30075267"/>
      <w:bookmarkEnd w:id="1667"/>
    </w:p>
    <w:p w14:paraId="6776202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2.3.2.2.2.2.24. Sitios de ubicación para las cajas de almacenamiento. El sitio escogido para ubicar cajas de almacenamiento para residuos </w:t>
      </w:r>
      <w:proofErr w:type="gramStart"/>
      <w:r w:rsidRPr="009342F9">
        <w:rPr>
          <w:rFonts w:ascii="Arial" w:eastAsia="Times New Roman" w:hAnsi="Arial" w:cs="Arial"/>
          <w:color w:val="000000"/>
          <w:lang w:eastAsia="es-CO"/>
        </w:rPr>
        <w:t>sólidos,</w:t>
      </w:r>
      <w:proofErr w:type="gramEnd"/>
      <w:r w:rsidRPr="009342F9">
        <w:rPr>
          <w:rFonts w:ascii="Arial" w:eastAsia="Times New Roman" w:hAnsi="Arial" w:cs="Arial"/>
          <w:color w:val="000000"/>
          <w:lang w:eastAsia="es-CO"/>
        </w:rPr>
        <w:t xml:space="preserve"> deberá permitir, como mínimo, lo siguiente: </w:t>
      </w:r>
    </w:p>
    <w:p w14:paraId="39BD456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D1B445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Accesibilidad para los usuarios. </w:t>
      </w:r>
    </w:p>
    <w:p w14:paraId="0A19E75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ECBF83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Accesibilidad y facilidad para el manejo y la recolección de los residuos sólidos por parte del prestador. </w:t>
      </w:r>
    </w:p>
    <w:p w14:paraId="11FE8ED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DBA38F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3. Tránsito de peatones o de vehículos, según el caso. </w:t>
      </w:r>
    </w:p>
    <w:p w14:paraId="1C28A01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D937BE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Asegurar condiciones de higiene y de estética con el entorno. </w:t>
      </w:r>
    </w:p>
    <w:p w14:paraId="7E0476E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C5241A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 Tener la aceptación de la comunidad usuaria y de la persona prestadora del servicio público de aseo. </w:t>
      </w:r>
    </w:p>
    <w:p w14:paraId="4AAE67E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FD4215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6. Su colocación dentro de una propiedad horizontal o privada debe cumplir con las normas vigentes sobre la materia. </w:t>
      </w:r>
    </w:p>
    <w:p w14:paraId="2810EBF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C38396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7. Deberán adoptarse medidas de señalización y seguridad para evitar accidentes. </w:t>
      </w:r>
    </w:p>
    <w:p w14:paraId="03FE9E0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A0221B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8. Evitar el acceso de animales. </w:t>
      </w:r>
    </w:p>
    <w:p w14:paraId="56563ACA" w14:textId="2838D1C3"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668" w:name="ver_30075268"/>
      <w:bookmarkEnd w:id="1668"/>
    </w:p>
    <w:p w14:paraId="451A3C3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2.3.2.2.2.2.25. Ubicación de cajas de almacenamiento en áreas públicas. La colocación de cajas de almacenamiento en áreas públicas debe contar con la autorización de la entidad territorial a través de la autoridad urbanística local o quien haga sus veces, atendiendo las necesidades del servicio público de aseo. </w:t>
      </w:r>
    </w:p>
    <w:p w14:paraId="328C3AEE" w14:textId="53883B14" w:rsidR="00F74103" w:rsidRPr="009342F9" w:rsidRDefault="00FC79C1" w:rsidP="00D569FF">
      <w:pPr>
        <w:spacing w:after="0" w:line="240" w:lineRule="auto"/>
        <w:jc w:val="both"/>
        <w:rPr>
          <w:rFonts w:ascii="Arial" w:eastAsia="Times New Roman" w:hAnsi="Arial" w:cs="Arial"/>
          <w:b/>
          <w:bCs/>
          <w:color w:val="000000"/>
          <w:lang w:eastAsia="es-CO"/>
        </w:rPr>
      </w:pPr>
      <w:r w:rsidRPr="009342F9">
        <w:rPr>
          <w:rFonts w:ascii="Arial" w:eastAsia="Times New Roman" w:hAnsi="Arial" w:cs="Arial"/>
          <w:color w:val="000000"/>
          <w:lang w:eastAsia="es-CO"/>
        </w:rPr>
        <w:t>  </w:t>
      </w:r>
      <w:bookmarkStart w:id="1669" w:name="ver_30075269"/>
      <w:bookmarkEnd w:id="1669"/>
    </w:p>
    <w:p w14:paraId="48F1C785" w14:textId="43B930A6" w:rsidR="00FC79C1" w:rsidRPr="009342F9" w:rsidRDefault="00FC79C1" w:rsidP="00F74103">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SUBSECCIÓN 3</w:t>
      </w:r>
    </w:p>
    <w:p w14:paraId="7E801879" w14:textId="77777777" w:rsidR="00FC79C1" w:rsidRPr="009342F9" w:rsidRDefault="00FC79C1" w:rsidP="00F74103">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RECOLECCIÓN Y TRANSPORTE</w:t>
      </w:r>
    </w:p>
    <w:p w14:paraId="1337CE06"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670" w:name="ver_30075270"/>
      <w:bookmarkEnd w:id="1670"/>
    </w:p>
    <w:p w14:paraId="5EE77D9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2.3.2.2.2.3.26. Recolección separada. La recolección de los residuos sólidos ordinarios debe hacerse en forma separada de los residuos especiales. </w:t>
      </w:r>
    </w:p>
    <w:p w14:paraId="71C9F9A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C7B2F7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el caso de los residuos ordinarios y cuando el PGIRS establezca programas de aprovechamiento, la recolección de residuos con destino a disposición final deberá realizarse de manera separada de aquellos con posibilidad de aprovechamiento, implementando procesos de separación en la fuente y presentación diferenciada de residuos. </w:t>
      </w:r>
    </w:p>
    <w:p w14:paraId="446399E5" w14:textId="40FCDCE0"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671" w:name="ver_30075271"/>
      <w:bookmarkEnd w:id="1671"/>
    </w:p>
    <w:p w14:paraId="3C13C67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2.3.2.2.2.3.27. Requisitos de la actividad de recolección. La actividad de recolección se realizará observando entre otros los siguientes requisitos: </w:t>
      </w:r>
    </w:p>
    <w:p w14:paraId="5DB1F97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FBBCDC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1. La recolección deberá efectuarse de modo tal que se minimicen los impactos, en especial el ruido y se evite el esparcimiento de residuos en la vía pública, cumpliendo la normativa vigente. En caso de que se esparzan residuos durante la recolección, es deber de la persona prestadora realizar inmediatamente la limpieza correspondiente dejando el área libre de residuos para mantener la condición de limpieza de </w:t>
      </w:r>
      <w:proofErr w:type="gramStart"/>
      <w:r w:rsidRPr="009342F9">
        <w:rPr>
          <w:rFonts w:ascii="Arial" w:eastAsia="Times New Roman" w:hAnsi="Arial" w:cs="Arial"/>
          <w:color w:val="000000"/>
          <w:lang w:eastAsia="es-CO"/>
        </w:rPr>
        <w:t>la misma</w:t>
      </w:r>
      <w:proofErr w:type="gramEnd"/>
      <w:r w:rsidRPr="009342F9">
        <w:rPr>
          <w:rFonts w:ascii="Arial" w:eastAsia="Times New Roman" w:hAnsi="Arial" w:cs="Arial"/>
          <w:color w:val="000000"/>
          <w:lang w:eastAsia="es-CO"/>
        </w:rPr>
        <w:t>. </w:t>
      </w:r>
    </w:p>
    <w:p w14:paraId="32D12D3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DBFA6F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2. Para garantizar la actividad de recolección, las personas prestadoras deberán contar con los equipos y mecanismos suficientes que garanticen la suplencia en los casos de averías y el mantenimiento de </w:t>
      </w:r>
      <w:proofErr w:type="gramStart"/>
      <w:r w:rsidRPr="009342F9">
        <w:rPr>
          <w:rFonts w:ascii="Arial" w:eastAsia="Times New Roman" w:hAnsi="Arial" w:cs="Arial"/>
          <w:color w:val="000000"/>
          <w:lang w:eastAsia="es-CO"/>
        </w:rPr>
        <w:t>los mismos</w:t>
      </w:r>
      <w:proofErr w:type="gramEnd"/>
      <w:r w:rsidRPr="009342F9">
        <w:rPr>
          <w:rFonts w:ascii="Arial" w:eastAsia="Times New Roman" w:hAnsi="Arial" w:cs="Arial"/>
          <w:color w:val="000000"/>
          <w:lang w:eastAsia="es-CO"/>
        </w:rPr>
        <w:t>. Estos equipos deberán cumplir con las características de los vehículos recolectores definidas en este decreto. El servicio de recolección de residuos no podrá ser interrumpido por fallas mecánicas. </w:t>
      </w:r>
    </w:p>
    <w:p w14:paraId="5C75165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2E7D65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El servicio de recolección de residuos aprovechables y no aprovechables se prestará de acuerdo con lo establecido en el PGIRS, de tal forma que no se generen riesgos a la salud pública. </w:t>
      </w:r>
    </w:p>
    <w:p w14:paraId="63157D7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A7A7C1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4. En las zonas en las cuales se utilice el sistema de recolección en cajas de almacenamiento, las personas prestadoras del servicio público de aseo deberán instalar las que sean necesarias </w:t>
      </w:r>
      <w:proofErr w:type="gramStart"/>
      <w:r w:rsidRPr="009342F9">
        <w:rPr>
          <w:rFonts w:ascii="Arial" w:eastAsia="Times New Roman" w:hAnsi="Arial" w:cs="Arial"/>
          <w:color w:val="000000"/>
          <w:lang w:eastAsia="es-CO"/>
        </w:rPr>
        <w:lastRenderedPageBreak/>
        <w:t>de acuerdo a</w:t>
      </w:r>
      <w:proofErr w:type="gramEnd"/>
      <w:r w:rsidRPr="009342F9">
        <w:rPr>
          <w:rFonts w:ascii="Arial" w:eastAsia="Times New Roman" w:hAnsi="Arial" w:cs="Arial"/>
          <w:color w:val="000000"/>
          <w:lang w:eastAsia="es-CO"/>
        </w:rPr>
        <w:t xml:space="preserve"> la generación de residuos, frecuencias y horarios de la prestación del servicio, para que los residuos sólidos depositados no desborden su capacidad. </w:t>
      </w:r>
    </w:p>
    <w:p w14:paraId="57F6897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8048CA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 La operación de compactación deberá efectuarse en zonas donde causen la mínima molestia a los residentes. En ningún caso esta operación podrá realizarse frente a centros educativos, hospitales, clínicas o cualquier clase de centros asistenciales. </w:t>
      </w:r>
    </w:p>
    <w:p w14:paraId="51947DC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8AAA52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6. Será responsabilidad de la persona prestadora del servicio público de aseo capacitar al personal encargado del manejo de residuos, dotarlo de equipos de protección personal, identificación, uniformes de trabajo con aditamentos reflectivos y demás </w:t>
      </w:r>
      <w:proofErr w:type="gramStart"/>
      <w:r w:rsidRPr="009342F9">
        <w:rPr>
          <w:rFonts w:ascii="Arial" w:eastAsia="Times New Roman" w:hAnsi="Arial" w:cs="Arial"/>
          <w:color w:val="000000"/>
          <w:lang w:eastAsia="es-CO"/>
        </w:rPr>
        <w:t>implementos</w:t>
      </w:r>
      <w:proofErr w:type="gramEnd"/>
      <w:r w:rsidRPr="009342F9">
        <w:rPr>
          <w:rFonts w:ascii="Arial" w:eastAsia="Times New Roman" w:hAnsi="Arial" w:cs="Arial"/>
          <w:color w:val="000000"/>
          <w:lang w:eastAsia="es-CO"/>
        </w:rPr>
        <w:t xml:space="preserve"> así como condiciones conforme a la normativa vigente en materia laboral y de salud ocupacional. </w:t>
      </w:r>
    </w:p>
    <w:p w14:paraId="558E527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FFE406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7. Los lixiviados almacenados en el vehículo que se originen durante la recolección y transporte de los residuos sólidos ordinarios serán depositados en el sitio de disposición final para su respectivo tratamiento. </w:t>
      </w:r>
    </w:p>
    <w:p w14:paraId="67FA5AF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A8130A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Cuando la recolección sea manual, el proceso de recolección deberá cumplir con lo dispuesto en las normas sobre seguridad industrial. </w:t>
      </w:r>
    </w:p>
    <w:p w14:paraId="5B19AD66" w14:textId="7ED4F79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672" w:name="ver_30075272"/>
      <w:bookmarkEnd w:id="1672"/>
    </w:p>
    <w:p w14:paraId="031E063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2.3.2.2.2.3.28. Sistemas de recolección. La recolección de residuos debe realizarse a partir de su presentación en la acera, unidades de almacenamiento o cajas de almacenamiento. Cuando existan, restricciones de acceso para los vehículos recolectores, el prestador, previa evaluación técnica, podrá realizar la recolección utilizando cajas de almacenamiento, o cualquier sistema alternativo que garantice su recolección. </w:t>
      </w:r>
    </w:p>
    <w:p w14:paraId="7370620E" w14:textId="6193904E"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673" w:name="ver_30075273"/>
      <w:bookmarkEnd w:id="1673"/>
    </w:p>
    <w:p w14:paraId="396EA8E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2.3.2.2.2.3.29. Recolección en zonas suburbanas, rurales y centros poblados rurales. Para la prestación del servicio de recolección en las zonas suburbanas, rurales y centros poblados rurales se contemplarán las siguientes condiciones: </w:t>
      </w:r>
    </w:p>
    <w:p w14:paraId="6551618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E17752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Existencia de vías adecuadas, de tal manera que se pueda hacer la recolección domiciliaria a lo largo de estas o al menos en sitios de almacenamiento colectivo previamente convenidos con la comunidad. </w:t>
      </w:r>
    </w:p>
    <w:p w14:paraId="64F6FFD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2C283E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En los sitios de almacenamiento colectivo debe haber condiciones de maniobrabilidad para los vehículos recolectores y de fácil acceso para los usuarios. </w:t>
      </w:r>
    </w:p>
    <w:p w14:paraId="2B4AD46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0C2BEE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La ubicación del sitio para el almacenamiento colectivo no debe causar molestias e impactos a la comunidad vecina. </w:t>
      </w:r>
    </w:p>
    <w:p w14:paraId="7A22245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ADA079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Disponer de cajas de almacenamiento adecuadas y suficientes para iniciar allí la presentación y almacenamiento de los residuos sólidos, aprovechables y no aprovechables, por parte de la comunidad de acuerdo con la frecuencia de recolección. La frecuencia, día y hora de recolección debe ser de obligatorio cumplimiento por parte de la persona prestadora del servicio público de aseo con el fin de evitar la acumulación de residuos sólidos en estos sitios. </w:t>
      </w:r>
    </w:p>
    <w:p w14:paraId="11A96B2B" w14:textId="53522671"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674" w:name="ver_30075274"/>
      <w:bookmarkEnd w:id="1674"/>
    </w:p>
    <w:p w14:paraId="2B810D2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2.3.2.2.2.3.30. Establecimiento de </w:t>
      </w:r>
      <w:proofErr w:type="spellStart"/>
      <w:r w:rsidRPr="009342F9">
        <w:rPr>
          <w:rFonts w:ascii="Arial" w:eastAsia="Times New Roman" w:hAnsi="Arial" w:cs="Arial"/>
          <w:color w:val="000000"/>
          <w:lang w:eastAsia="es-CO"/>
        </w:rPr>
        <w:t>macrorrutas</w:t>
      </w:r>
      <w:proofErr w:type="spellEnd"/>
      <w:r w:rsidRPr="009342F9">
        <w:rPr>
          <w:rFonts w:ascii="Arial" w:eastAsia="Times New Roman" w:hAnsi="Arial" w:cs="Arial"/>
          <w:color w:val="000000"/>
          <w:lang w:eastAsia="es-CO"/>
        </w:rPr>
        <w:t xml:space="preserve"> y </w:t>
      </w:r>
      <w:proofErr w:type="spellStart"/>
      <w:r w:rsidRPr="009342F9">
        <w:rPr>
          <w:rFonts w:ascii="Arial" w:eastAsia="Times New Roman" w:hAnsi="Arial" w:cs="Arial"/>
          <w:color w:val="000000"/>
          <w:lang w:eastAsia="es-CO"/>
        </w:rPr>
        <w:t>microrrutas</w:t>
      </w:r>
      <w:proofErr w:type="spellEnd"/>
      <w:r w:rsidRPr="009342F9">
        <w:rPr>
          <w:rFonts w:ascii="Arial" w:eastAsia="Times New Roman" w:hAnsi="Arial" w:cs="Arial"/>
          <w:color w:val="000000"/>
          <w:lang w:eastAsia="es-CO"/>
        </w:rPr>
        <w:t xml:space="preserve">. Las personas prestadoras del servicio público de aseo deberán establecer las </w:t>
      </w:r>
      <w:proofErr w:type="spellStart"/>
      <w:r w:rsidRPr="009342F9">
        <w:rPr>
          <w:rFonts w:ascii="Arial" w:eastAsia="Times New Roman" w:hAnsi="Arial" w:cs="Arial"/>
          <w:color w:val="000000"/>
          <w:lang w:eastAsia="es-CO"/>
        </w:rPr>
        <w:t>macrorrutas</w:t>
      </w:r>
      <w:proofErr w:type="spellEnd"/>
      <w:r w:rsidRPr="009342F9">
        <w:rPr>
          <w:rFonts w:ascii="Arial" w:eastAsia="Times New Roman" w:hAnsi="Arial" w:cs="Arial"/>
          <w:color w:val="000000"/>
          <w:lang w:eastAsia="es-CO"/>
        </w:rPr>
        <w:t xml:space="preserve"> y </w:t>
      </w:r>
      <w:proofErr w:type="spellStart"/>
      <w:r w:rsidRPr="009342F9">
        <w:rPr>
          <w:rFonts w:ascii="Arial" w:eastAsia="Times New Roman" w:hAnsi="Arial" w:cs="Arial"/>
          <w:color w:val="000000"/>
          <w:lang w:eastAsia="es-CO"/>
        </w:rPr>
        <w:t>microrrutas</w:t>
      </w:r>
      <w:proofErr w:type="spellEnd"/>
      <w:r w:rsidRPr="009342F9">
        <w:rPr>
          <w:rFonts w:ascii="Arial" w:eastAsia="Times New Roman" w:hAnsi="Arial" w:cs="Arial"/>
          <w:color w:val="000000"/>
          <w:lang w:eastAsia="es-CO"/>
        </w:rPr>
        <w:t xml:space="preserve"> que deben seguir cada uno de los vehículos recolectores en la prestación del servicio, de acuerdo con las necesidades y cumpliendo con las normas de tránsito. Estas rutas deberán diseñarse atendiendo a la eficiencia en la asignación de recursos físicos y humanos. </w:t>
      </w:r>
    </w:p>
    <w:p w14:paraId="10E2D51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916464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xml:space="preserve">Para el diseño de </w:t>
      </w:r>
      <w:proofErr w:type="spellStart"/>
      <w:r w:rsidRPr="009342F9">
        <w:rPr>
          <w:rFonts w:ascii="Arial" w:eastAsia="Times New Roman" w:hAnsi="Arial" w:cs="Arial"/>
          <w:color w:val="000000"/>
          <w:lang w:eastAsia="es-CO"/>
        </w:rPr>
        <w:t>macrorrutas</w:t>
      </w:r>
      <w:proofErr w:type="spellEnd"/>
      <w:r w:rsidRPr="009342F9">
        <w:rPr>
          <w:rFonts w:ascii="Arial" w:eastAsia="Times New Roman" w:hAnsi="Arial" w:cs="Arial"/>
          <w:color w:val="000000"/>
          <w:lang w:eastAsia="es-CO"/>
        </w:rPr>
        <w:t xml:space="preserve"> y </w:t>
      </w:r>
      <w:proofErr w:type="spellStart"/>
      <w:r w:rsidRPr="009342F9">
        <w:rPr>
          <w:rFonts w:ascii="Arial" w:eastAsia="Times New Roman" w:hAnsi="Arial" w:cs="Arial"/>
          <w:color w:val="000000"/>
          <w:lang w:eastAsia="es-CO"/>
        </w:rPr>
        <w:t>microrrutas</w:t>
      </w:r>
      <w:proofErr w:type="spellEnd"/>
      <w:r w:rsidRPr="009342F9">
        <w:rPr>
          <w:rFonts w:ascii="Arial" w:eastAsia="Times New Roman" w:hAnsi="Arial" w:cs="Arial"/>
          <w:color w:val="000000"/>
          <w:lang w:eastAsia="es-CO"/>
        </w:rPr>
        <w:t xml:space="preserve"> deberá tenerse en cuenta, entre otros aspectos, los siguientes: </w:t>
      </w:r>
    </w:p>
    <w:p w14:paraId="1692C0A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6F481C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Tipo de vías existentes (principales y secundarias, con separadores, estado de la vía) en los municipios y de alto tráfico vehicular y peatonal. </w:t>
      </w:r>
    </w:p>
    <w:p w14:paraId="3D22BBD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88C916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Uso del suelo (residencial, comercial, industrial, etc.). </w:t>
      </w:r>
    </w:p>
    <w:p w14:paraId="43B1F62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D3D0DC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Ubicación de hospitales, clínicas y entidades similares de atención a la salud, así como entidades asistenciales. </w:t>
      </w:r>
    </w:p>
    <w:p w14:paraId="4A45B24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ED52FB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Recolección en zonas industriales. </w:t>
      </w:r>
    </w:p>
    <w:p w14:paraId="0394B58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B05F16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 Zonas de difícil acceso. </w:t>
      </w:r>
    </w:p>
    <w:p w14:paraId="2E0B276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CF387B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6. Tipo de usuario o generador. </w:t>
      </w:r>
    </w:p>
    <w:p w14:paraId="25AB380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4911A6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7. Ubicación de áreas públicas como plazas, parques o similares. </w:t>
      </w:r>
    </w:p>
    <w:p w14:paraId="3DAF455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804564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8. Presencia de barreras geográficas naturales o artificiales. </w:t>
      </w:r>
    </w:p>
    <w:p w14:paraId="296FA23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AADD99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9. Tipo de residuos según sean aprovechables o no aprovechables. </w:t>
      </w:r>
    </w:p>
    <w:p w14:paraId="21B64E5C" w14:textId="7E40ACFB"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675" w:name="ver_30075275"/>
      <w:bookmarkEnd w:id="1675"/>
    </w:p>
    <w:p w14:paraId="69E8D11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2.3.2.2.2.3.31. Horarios de recolección. La persona prestadora del servicio público de aseo determinará el horario de la recolección de los residuos sólidos teniendo en cuenta la cantidad de residuos generados, las características de cada zona, la jornada de trabajo, el clima, la capacidad de los equipos, las dificultades generadas por el tráfico vehicular o peatonal y cualquier otro elemento que pueda tener influencia en la prestación del servicio. </w:t>
      </w:r>
    </w:p>
    <w:p w14:paraId="23AA965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256041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Cuando la recolección se efectúe entre las 21:00 horas y las 06:00 horas del día siguiente en zonas residenciales, hoteles, hospitales, clínicas y demás centros asistenciales deberán tomarse medidas especiales para mitigar el ruido en la recolección y la compactación. </w:t>
      </w:r>
    </w:p>
    <w:p w14:paraId="5985D62E" w14:textId="69C97E09"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676" w:name="ver_30075276"/>
      <w:bookmarkEnd w:id="1676"/>
    </w:p>
    <w:p w14:paraId="7E767CF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2.3.2.2.2.3.32. Frecuencias de recolección. La frecuencia de recolección dependerá de la naturaleza y cantidad de generación de residuos, de los programas de aprovechamiento de la zona, cuando haya lugar a ello, y características del clima, entre otros. En el caso de servicios a grandes generadores, la frecuencia dependerá de las cantidades y características de la producción. </w:t>
      </w:r>
    </w:p>
    <w:p w14:paraId="22A63E1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EA9EBE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La frecuencia mínima de recolección y transporte de residuos no aprovechables será de dos (2) veces por semana. </w:t>
      </w:r>
    </w:p>
    <w:p w14:paraId="1BC060FB" w14:textId="77296B31"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677" w:name="ver_30075277"/>
      <w:bookmarkEnd w:id="1677"/>
    </w:p>
    <w:p w14:paraId="3E5542F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2.3.2.2.2.3.33. Divulgación de frecuencias, rutas y horarios. La recolección se efectuará según horarios y frecuencias en las </w:t>
      </w:r>
      <w:proofErr w:type="spellStart"/>
      <w:r w:rsidRPr="009342F9">
        <w:rPr>
          <w:rFonts w:ascii="Arial" w:eastAsia="Times New Roman" w:hAnsi="Arial" w:cs="Arial"/>
          <w:color w:val="000000"/>
          <w:lang w:eastAsia="es-CO"/>
        </w:rPr>
        <w:t>macrorrutas</w:t>
      </w:r>
      <w:proofErr w:type="spellEnd"/>
      <w:r w:rsidRPr="009342F9">
        <w:rPr>
          <w:rFonts w:ascii="Arial" w:eastAsia="Times New Roman" w:hAnsi="Arial" w:cs="Arial"/>
          <w:color w:val="000000"/>
          <w:lang w:eastAsia="es-CO"/>
        </w:rPr>
        <w:t xml:space="preserve"> y </w:t>
      </w:r>
      <w:proofErr w:type="spellStart"/>
      <w:r w:rsidRPr="009342F9">
        <w:rPr>
          <w:rFonts w:ascii="Arial" w:eastAsia="Times New Roman" w:hAnsi="Arial" w:cs="Arial"/>
          <w:color w:val="000000"/>
          <w:lang w:eastAsia="es-CO"/>
        </w:rPr>
        <w:t>microrrutas</w:t>
      </w:r>
      <w:proofErr w:type="spellEnd"/>
      <w:r w:rsidRPr="009342F9">
        <w:rPr>
          <w:rFonts w:ascii="Arial" w:eastAsia="Times New Roman" w:hAnsi="Arial" w:cs="Arial"/>
          <w:color w:val="000000"/>
          <w:lang w:eastAsia="es-CO"/>
        </w:rPr>
        <w:t xml:space="preserve"> establecidas previamente en el programa de prestación del servicio, las cuales deberán darse a conocer a los usuarios, utilizando medios masivos de difusión de amplia circulación local. En las facturas de cobro del servicio público de aseo, deberá informarse las frecuencias de las diferentes actividades de recolección del servicio. </w:t>
      </w:r>
    </w:p>
    <w:p w14:paraId="67F5F58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1D873E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El prestador del servicio deberá publicar en la página web las rutas y horarios de prestación de las diferentes actividades de recolección del servicio. </w:t>
      </w:r>
    </w:p>
    <w:p w14:paraId="1F4BE2A3" w14:textId="0DA3D45E"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w:t>
      </w:r>
      <w:bookmarkStart w:id="1678" w:name="ver_30075278"/>
      <w:bookmarkEnd w:id="1678"/>
    </w:p>
    <w:p w14:paraId="3D423E7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2.3.2.2.2.3.34. Cumplimiento de las rutas. Las rutas y horarios deberán ser cumplidas por las personas prestadoras del servicio público de aseo de conformidad con los contratos de prestación del servicio público de aseo. Todo cambio en las rutas, horarios o frecuencias deberá ser comunicado con tres (3) días de anterioridad a los usuarios afectados, salvo caso fortuito o de fuerza mayor, utilizando medios masivos de difusión de amplia circulación local y página web cuando se disponga de ella. En caso de presentarse averías en un vehículo del servicio, deberá enviar el auxilio mecánico o remplazarlo con el equipo de suplencia de conformidad con lo establecido en este capítulo, restableciendo el servicio en un término máximo de tres (3) horas a partir del momento en que se presente la avería. Sólo podrá suspenderse el servicio por motivos de fuerza mayor o caso fortuito, debidamente comprobados. </w:t>
      </w:r>
    </w:p>
    <w:p w14:paraId="3162238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CF8FD6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Para los eventos de fuerza mayor o caso fortuito, en que sea imposible la prestación del servicio, la persona prestadora del servicio público de aseo deberá implementar las medidas para restablecer el servicio en el menor tiempo posible. </w:t>
      </w:r>
    </w:p>
    <w:p w14:paraId="300D5831" w14:textId="51E5117D"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679" w:name="ver_30075279"/>
      <w:bookmarkEnd w:id="1679"/>
    </w:p>
    <w:p w14:paraId="0AFD1B4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2.3.2.2.2.3.35. Normas sobre recolección a partir de cajas de almacenamiento. La recolección mediante cajas de almacenamiento se sujetará, entre otras, a las siguientes condiciones: </w:t>
      </w:r>
    </w:p>
    <w:p w14:paraId="2B0B631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EE4E7A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Se empleará para aquellos usuarios que individual o colectivamente generen residuos en cantidad suficiente que justifique su utilización a juicio de la persona prestadora del servicio público de aseo. </w:t>
      </w:r>
    </w:p>
    <w:p w14:paraId="5E9704D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2A2C2B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Se utilizarán también cajas de almacenamiento en aquellas áreas en las cuales no existan unidades de almacenamiento o infraestructura vial, o la existente resulte insuficiente para permitir el ingreso de los vehículos de recolección. En tales casos, la persona prestadora del servicio público de aseo coordinará con los usuarios o la comunidad el traslado de los residuos hasta las cajas de almacenamiento. </w:t>
      </w:r>
    </w:p>
    <w:p w14:paraId="1915C3C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3053B9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Las cajas de almacenamiento deberán ser compatibles con los vehículos destinados a este tipo de recolección. </w:t>
      </w:r>
    </w:p>
    <w:p w14:paraId="2ACC82A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2BBFB6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En áreas públicas, la persona prestadora del servicio público de aseo deberá determinar la conveniencia de ubicar las cajas de almacenamiento en un sitio específico, para la recolección de los residuos, con el fin de evitar que se generen puntos críticos. </w:t>
      </w:r>
    </w:p>
    <w:p w14:paraId="00A7AE7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BDD49E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 Las cajas de almacenamiento localizadas en áreas públicas deberán mantenerse en un adecuado estado de presentación, limpieza e higiene por parte de la persona prestadora del servicio público de aseo. </w:t>
      </w:r>
    </w:p>
    <w:p w14:paraId="475BB580" w14:textId="4EE2CA41"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680" w:name="ver_30075280"/>
      <w:bookmarkEnd w:id="1680"/>
    </w:p>
    <w:p w14:paraId="244EDB5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2.3.2.2.2.3.36. Características de los vehículos de recolección y transporte de residuos sólidos. Los vehículos para la prestación del servicio de aseo, empleados en las actividades de recolección y transporte de residuos con destino a disposición final, deberán tener, entre otras, las siguientes características: </w:t>
      </w:r>
    </w:p>
    <w:p w14:paraId="0040C13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F4222F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Los vehículos recolectores deberán ser motorizados, y estar claramente identificados (color, logotipos, placa de identificación, entre otras características). </w:t>
      </w:r>
    </w:p>
    <w:p w14:paraId="374352F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CD2A6A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En los municipios o distritos con más de 5.000 usuarios en el servicio público de aseo, deberán estar provistos de equipo de comunicaciones. </w:t>
      </w:r>
    </w:p>
    <w:p w14:paraId="2850DF4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w:t>
      </w:r>
    </w:p>
    <w:p w14:paraId="4191F1D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En los distritos o municipios con más de 5.000 usuarios en el servicio público de aseo, deberán contar con equipos de compactación de residuos. Se exceptúan aquellos que se destinen a la recolección de residuos separados con destino al aprovechamiento, manejo de residuos de construcción y demolición y otros residuos que no sean susceptibles de ser compactados. </w:t>
      </w:r>
    </w:p>
    <w:p w14:paraId="16F6CF0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570C27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La salida del tubo de escape debe estar hacia arriba y por encima de su altura máxima. Se deberá cumplir con las demás normas vigentes para emisiones atmosféricas y ajustarse a los requerimientos de tránsito. </w:t>
      </w:r>
    </w:p>
    <w:p w14:paraId="21E12C4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66D03A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 Los vehículos con caja compactadora deberán tener un sistema de compactación que pueda ser detenido en caso de emergencia. </w:t>
      </w:r>
    </w:p>
    <w:p w14:paraId="2F31DF4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75091A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6. Las cajas compactadoras de los vehículos destinados a la recolección y transporte de los residuos sólidos con destino a disposición final, deberán ser de tipo de compactación cerrada, de manera que impidan la pérdida del líquido (lixiviado), y contar con un mecanismo automático que permita una rápida acción de descarga. </w:t>
      </w:r>
    </w:p>
    <w:p w14:paraId="58F1414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A616FA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7. Los equipos destinados a la recolección deberán tener estribos con superficies antideslizantes, y manijas adecuadas para sujetarse de tal forma que el personal pueda transportarse momentáneamente en forma segura. </w:t>
      </w:r>
    </w:p>
    <w:p w14:paraId="4704F1A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3B7259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8. Los equipos deberán posibilitar el cargue y el descargue de los residuos sólidos almacenados de forma tal que evite la dispersión de estos y la emisión de partículas. </w:t>
      </w:r>
    </w:p>
    <w:p w14:paraId="4429620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2A36AE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9. Deberán estar diseñados de tal forma que no se permita el esparcimiento de los residuos sólidos durante el recorrido. </w:t>
      </w:r>
    </w:p>
    <w:p w14:paraId="52492C7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C3C619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10. En los vehículos que no utilicen caja compactadora, los residuos sólidos deberán estar cubiertos durante el transporte, de manera que se reduzca el contacto con la lluvia, el viento y se evite el esparcimiento e impacto visual. Así mismo, deberán estar provistos de mecanismos que eviten la pérdida del líquido (lixiviado). </w:t>
      </w:r>
    </w:p>
    <w:p w14:paraId="1378FF2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3E23DF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11. En los vehículos destinados a la recolección a partir de cajas de almacenamiento, deberán contar con un sistema adecuado para levantarlas y descargar su contenido en el vehículo recolector. </w:t>
      </w:r>
    </w:p>
    <w:p w14:paraId="396FCD5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124C38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12. Las especificaciones de los vehículos deberán corresponder a la capacidad y dimensión de las vías públicas. </w:t>
      </w:r>
    </w:p>
    <w:p w14:paraId="4A6D7B0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516118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13. Deberán cumplir con las especificaciones técnicas existentes para no afectar la salud ocupacional de los conductores y operarios. </w:t>
      </w:r>
    </w:p>
    <w:p w14:paraId="1AABABF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6F195A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14. Deberán estar dotados con equipos de carretera y de atención de incendios. </w:t>
      </w:r>
    </w:p>
    <w:p w14:paraId="3D06D68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A5FB42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15. Deberán estar dotados de dispositivos que minimicen el ruido, especialmente aquellos utilizados en la recolección de residuos sólidos en zonas residenciales y en las vecindades de hoteles, hospitales, clínicas, centros educativos, centros asistenciales e instituciones similares. </w:t>
      </w:r>
    </w:p>
    <w:p w14:paraId="548E48B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187FEC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16. Estarán dotados de elementos complementarios tales como cepillos, escobas y palas para efectuar la limpieza de la vía pública en los casos de dispersión de residuos durante la operación </w:t>
      </w:r>
      <w:r w:rsidRPr="009342F9">
        <w:rPr>
          <w:rFonts w:ascii="Arial" w:eastAsia="Times New Roman" w:hAnsi="Arial" w:cs="Arial"/>
          <w:color w:val="000000"/>
          <w:lang w:eastAsia="es-CO"/>
        </w:rPr>
        <w:lastRenderedPageBreak/>
        <w:t xml:space="preserve">de recolección, de forma </w:t>
      </w:r>
      <w:proofErr w:type="gramStart"/>
      <w:r w:rsidRPr="009342F9">
        <w:rPr>
          <w:rFonts w:ascii="Arial" w:eastAsia="Times New Roman" w:hAnsi="Arial" w:cs="Arial"/>
          <w:color w:val="000000"/>
          <w:lang w:eastAsia="es-CO"/>
        </w:rPr>
        <w:t>que</w:t>
      </w:r>
      <w:proofErr w:type="gramEnd"/>
      <w:r w:rsidRPr="009342F9">
        <w:rPr>
          <w:rFonts w:ascii="Arial" w:eastAsia="Times New Roman" w:hAnsi="Arial" w:cs="Arial"/>
          <w:color w:val="000000"/>
          <w:lang w:eastAsia="es-CO"/>
        </w:rPr>
        <w:t xml:space="preserve"> una vez realizada la recolección, no queden residuos diseminados en la vía pública. </w:t>
      </w:r>
    </w:p>
    <w:p w14:paraId="0944F20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505CE2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17. Deberán estar dotados de balizas o luces de tipo estroboscópico, ubicadas una sobre la cabina y otra en la parte posterior de la caja de compactación, así como de luces en la zona de la tolva. Para los vehículos recolectores sin compactación las luces deberán estar ubicadas sobre la cabina. </w:t>
      </w:r>
    </w:p>
    <w:p w14:paraId="3AC1D52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91B1B1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Los prestadores que por condiciones de capacidad, acceso o condiciones topográficas no puedan utilizar vehículos con las características señaladas en este artículo deberán informarlo y sustentarlo ante la SSPD y esta entidad determinará la existencia de tales condiciones para permitir que se emplee otro tipo de vehículos. </w:t>
      </w:r>
    </w:p>
    <w:p w14:paraId="23B49420" w14:textId="6D29A699"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681" w:name="ver_30075281"/>
      <w:bookmarkEnd w:id="1681"/>
    </w:p>
    <w:p w14:paraId="61A359C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2.3.2.2.2.3.37. Condiciones de equipos y accesorios para recolección y transporte de residuos sólidos. Los equipos, accesorios y ayudas de que estén dotados los vehículos destinados para transporte de residuos sólidos, deberán mantenerse siempre en óptimas condiciones de funcionamiento para la prestación del servicio y contar con los registros que evidencien el seguimiento a las condiciones de operación de los equipos y accesorios. </w:t>
      </w:r>
    </w:p>
    <w:p w14:paraId="76E61061" w14:textId="727D02E4"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30F3EF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2.3.2.2.2.3.38. Lavado de los vehículos y equipos de recolección y transporte. Los vehículos de recolección y transporte de residuos sólidos deberán lavarse al final de la jornada diaria. El lavado debe realizarse en sitios diseñados para tal fin y no puede efectuarse en áreas públicas ni en fuentes o cuerpos de agua. </w:t>
      </w:r>
    </w:p>
    <w:p w14:paraId="67D25EE1" w14:textId="31F332ED"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682" w:name="ver_30075283"/>
      <w:bookmarkEnd w:id="1682"/>
    </w:p>
    <w:p w14:paraId="0C8EDBF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2.3.2.2.2.3.39. Trasbordo en la actividad de recolección. Cuando existan restricciones para el ingreso de los vehículos recolectores en zonas de difícil acceso, el prestador del servicio de aseo podrá utilizar vehículos con características distintas a las generales establecidas en este decreto para la recolección y posterior trasbordo al vehículo recolector asignado a la respectiva </w:t>
      </w:r>
      <w:proofErr w:type="spellStart"/>
      <w:r w:rsidRPr="009342F9">
        <w:rPr>
          <w:rFonts w:ascii="Arial" w:eastAsia="Times New Roman" w:hAnsi="Arial" w:cs="Arial"/>
          <w:color w:val="000000"/>
          <w:lang w:eastAsia="es-CO"/>
        </w:rPr>
        <w:t>microrruta</w:t>
      </w:r>
      <w:proofErr w:type="spellEnd"/>
      <w:r w:rsidRPr="009342F9">
        <w:rPr>
          <w:rFonts w:ascii="Arial" w:eastAsia="Times New Roman" w:hAnsi="Arial" w:cs="Arial"/>
          <w:color w:val="000000"/>
          <w:lang w:eastAsia="es-CO"/>
        </w:rPr>
        <w:t>. </w:t>
      </w:r>
    </w:p>
    <w:p w14:paraId="5F9A7B9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483FAF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la actividad de trasbordo se deberá evitar las afectaciones sanitarias por derrame y esparcimiento de residuos sólidos y líquidos. Los vehículos utilizados deberán cumplir con las normas de tránsito establecidas por la autoridad competente. </w:t>
      </w:r>
    </w:p>
    <w:p w14:paraId="163EB40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E8D97D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Los sitios de trasbordo de residuos estarán ubicados en zonas donde no se genere afectación sobre la comunidad y su entorno; teniendo en cuenta la clasificación por sectores para los estándares máximos establecidos en las normas vigentes. </w:t>
      </w:r>
    </w:p>
    <w:p w14:paraId="19079D8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43400C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Los trasbordos deben hacerse en zonas alejadas de hospitales, bibliotecas, hogares geriátricos, guarderías, zonas residenciales o exclusivamente destinadas para desarrollo habitacional, hotelería y hospedajes. </w:t>
      </w:r>
    </w:p>
    <w:p w14:paraId="6A0E312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D815A3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Al hacer el trasbordo, el compactador debe accionarse solo cuando sea estrictamente necesario, minimizando así la generación de ruido, igualmente se debe garantizar un acople funcional y operativo para evitar los efectos que se pudieren generar. </w:t>
      </w:r>
    </w:p>
    <w:p w14:paraId="267006F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2C90B8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El trasbordo de los residuos deberá hacerse directamente de un vehículo a otro, evitando que en la operación sean arrojados al suelo. El trasbordo solo se podrá hacer desde vehículos cuya capacidad máxima sea de 750 kilógramos. </w:t>
      </w:r>
    </w:p>
    <w:p w14:paraId="00C3BA1B" w14:textId="58C3CBFC"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683" w:name="ver_30075284"/>
      <w:bookmarkEnd w:id="1683"/>
    </w:p>
    <w:p w14:paraId="6FC7536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Artículo 2.3.2.2.2.3.40. Recolección de residuos acumulados por el barrido manual de calles. La recolección y el transporte de los residuos sólidos provenientes del barrido manual de calles deben efectuarse por la persona prestadora del servicio de público de aseo en su área de prestación del servicio. Los residuos de barrido no podrán permanecer en las calles por más de ocho (8) horas una vez se hace la presentación para transportarlos. </w:t>
      </w:r>
    </w:p>
    <w:p w14:paraId="4CD6AB9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9554BCA"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684" w:name="ver_30075285"/>
      <w:bookmarkEnd w:id="1684"/>
      <w:r w:rsidRPr="009342F9">
        <w:rPr>
          <w:rFonts w:ascii="Arial" w:eastAsia="Times New Roman" w:hAnsi="Arial" w:cs="Arial"/>
          <w:color w:val="000000"/>
          <w:lang w:eastAsia="es-CO"/>
        </w:rPr>
        <w:t>Artículo 2.3.2.2.2.3.41. Recolección de residuos de poda de árboles y corte de césped. La recolección y transporte de los residuos sólidos originados por poda de árboles o arbustos, y corte del césped en áreas públicas, deberá realizarse por una persona prestadora del servicio público de aseo. En lo posible estos residuos deben destinarse a procesos de aprovechamiento. </w:t>
      </w:r>
    </w:p>
    <w:p w14:paraId="6849623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248DB8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Los operativos para la recolección de los árboles caídos en espacio público por situaciones de emergencia serán de responsabilidad de la entidad territorial, quien podrá contratar con la empresa prestadora del servicio público de aseo su recolección y disposición final. La entidad territorial deberá tomar las medidas para garantizar el retiro de estos residuos dentro de las ocho (8) horas siguientes de presentado el suceso con el propósito de preservar y mantener limpia el área. </w:t>
      </w:r>
    </w:p>
    <w:p w14:paraId="640FC0CA" w14:textId="4BF6DCEB"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685" w:name="ver_30075529"/>
      <w:bookmarkEnd w:id="1685"/>
    </w:p>
    <w:p w14:paraId="4B63E5D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2.3.2.2.2.3.42. Recolección en plazas de mercado, mataderos y cementerios. Para la recolección de los residuos ordinarios generados en las plazas de mercado, mataderos y cementerios del municipio o distrito, se utilizarán cajas de almacenamiento ubicadas estratégicamente, tanto para residuos aprovechables como no aprovechables. </w:t>
      </w:r>
    </w:p>
    <w:p w14:paraId="527453F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3C74C0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 recolección de los residuos sólidos en estos lugares estará a cargo de las personas prestadoras del servicio de aseo y se debe efectuar en horarios que no interfieran el adecuado flujo vehicular y peatonal de la zona ni el desarrollo normal de las actividades de estos establecimientos. </w:t>
      </w:r>
    </w:p>
    <w:p w14:paraId="15A4788B" w14:textId="5E3AD6F0"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686" w:name="ver_30075530"/>
      <w:bookmarkEnd w:id="1686"/>
    </w:p>
    <w:p w14:paraId="61B1328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2.3.2.2.2.3.43. Recolección de animales muertos. Para la recolección de animales muertos de especies menores, que no excedan los 50 kg, abandonados en las vías y áreas públicas, la persona prestadora del servicio público de aseo efectuará el retiro en el transcurso de las seis (6) horas siguientes a la recepción de la solicitud, la cual puede ser presentada por cualquier ciudadano, para ser trasladados al sitio donde le indique la entidad territorial, en cumplimiento de las normas vigentes para el manejo y disposición final de este tipo de residuos. El pago de este servicio de recolección y transporte, así como de disposición final estará a cargo de la entidad territorial. </w:t>
      </w:r>
    </w:p>
    <w:p w14:paraId="65ED450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A7F114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La recolección de animales muertos que excedan los 50 kg, abandonados en las vías y áreas públicas, es responsabilidad de la entidad territorial. </w:t>
      </w:r>
    </w:p>
    <w:p w14:paraId="79203B51" w14:textId="58D1B695"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687" w:name="ver_30075531"/>
      <w:bookmarkEnd w:id="1687"/>
    </w:p>
    <w:p w14:paraId="64909DD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2.3.2.2.2.3.44. Recolección de residuos de construcción y demolición. La responsabilidad por el manejo y disposición de los residuos de construcción y demolición serán del generador, con sujeción a las normas que regulen la materia. </w:t>
      </w:r>
    </w:p>
    <w:p w14:paraId="1B0528D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FFC75C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El municipio o distrito deberá coordinar con las personas prestadoras del servicio público de aseo o con terceros la ejecución de estas actividades y pactar libremente su remuneración para garantizar la recolección, transporte y disposición final adecuados. No obstante, la entidad territorial deberá tomar acciones para la eliminación de los sitios de arrojo clandestinos de residuos de construcción y demolición en vías, andenes, separadores y áreas públicas según sus características. </w:t>
      </w:r>
    </w:p>
    <w:p w14:paraId="033E490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7854CB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La persona prestadora del servicio público de aseo podrá prestar este servicio, y deberá hacerlo de acuerdo con las disposiciones vigentes. En cualquier caso, la recolección, transporte y disposición final de residuos de construcción y demolición deberá efectuarse en forma separada del resto de residuos. </w:t>
      </w:r>
    </w:p>
    <w:p w14:paraId="1FDBFB6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5481B0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El prestador del servicio público de aseo será responsable de la recolección de residuos de construcción y demolición residenciales cuando se haya realizado la solicitud respectiva por parte del usuario y la aceptación por parte del prestador. En tales casos, el plazo para prestar el servicio solicitado no podrá superar cinco (5) días hábiles. </w:t>
      </w:r>
    </w:p>
    <w:p w14:paraId="0B7C1BCC" w14:textId="17A3C9E8"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688" w:name="ver_30075532"/>
      <w:bookmarkEnd w:id="1688"/>
    </w:p>
    <w:p w14:paraId="33431F9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2.3.2.2.2.3.45. Censo de puntos críticos. Las personas prestadoras del servicio público de aseo en las actividades de recolección y transporte en su área de </w:t>
      </w:r>
      <w:proofErr w:type="gramStart"/>
      <w:r w:rsidRPr="009342F9">
        <w:rPr>
          <w:rFonts w:ascii="Arial" w:eastAsia="Times New Roman" w:hAnsi="Arial" w:cs="Arial"/>
          <w:color w:val="000000"/>
          <w:lang w:eastAsia="es-CO"/>
        </w:rPr>
        <w:t>prestación,</w:t>
      </w:r>
      <w:proofErr w:type="gramEnd"/>
      <w:r w:rsidRPr="009342F9">
        <w:rPr>
          <w:rFonts w:ascii="Arial" w:eastAsia="Times New Roman" w:hAnsi="Arial" w:cs="Arial"/>
          <w:color w:val="000000"/>
          <w:lang w:eastAsia="es-CO"/>
        </w:rPr>
        <w:t xml:space="preserve"> harán censos de puntos críticos, realizarán operativos de limpieza y remitirán la información a la entidad territorial y la autoridad de policía para efectos de lo previsto en la normatividad vigente. </w:t>
      </w:r>
    </w:p>
    <w:p w14:paraId="31201D2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80B429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El municipio o distrito deberá coordinar con las personas prestadoras del servicio público de aseo o con terceros la ejecución de estas actividades y pactar libremente la remuneración. </w:t>
      </w:r>
    </w:p>
    <w:p w14:paraId="3C40971F" w14:textId="197C7D5F"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689" w:name="ver_30075533"/>
      <w:bookmarkEnd w:id="1689"/>
    </w:p>
    <w:p w14:paraId="14F2419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2.3.2.2.2.3.46. Almacenamiento y recolección de residuos generados en eventos y espectáculos masivos. El almacenamiento y presentación de residuos generados con ocasión de eventos y espectáculos masivos, en recintos cerrados o en áreas públicas es responsabilidad del organizador de </w:t>
      </w:r>
      <w:proofErr w:type="gramStart"/>
      <w:r w:rsidRPr="009342F9">
        <w:rPr>
          <w:rFonts w:ascii="Arial" w:eastAsia="Times New Roman" w:hAnsi="Arial" w:cs="Arial"/>
          <w:color w:val="000000"/>
          <w:lang w:eastAsia="es-CO"/>
        </w:rPr>
        <w:t>los mismos</w:t>
      </w:r>
      <w:proofErr w:type="gramEnd"/>
      <w:r w:rsidRPr="009342F9">
        <w:rPr>
          <w:rFonts w:ascii="Arial" w:eastAsia="Times New Roman" w:hAnsi="Arial" w:cs="Arial"/>
          <w:color w:val="000000"/>
          <w:lang w:eastAsia="es-CO"/>
        </w:rPr>
        <w:t>, quien deberá contratar el servicio de aseo con una persona prestadora del servicio público de aseo. </w:t>
      </w:r>
    </w:p>
    <w:p w14:paraId="2CCB736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4173B0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El costo del servicio que preste la persona prestadora al organizador del evento será pactado libremente entre las partes, así como su forma de pago. </w:t>
      </w:r>
    </w:p>
    <w:p w14:paraId="5A40DBC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53D3A4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Se deberán separar los residuos sólidos aprovechables de los no aprovechables para lo cual el organizador del evento deberá proveer los recipientes necesarios y garantizar su transporte. </w:t>
      </w:r>
    </w:p>
    <w:p w14:paraId="3199B5AF" w14:textId="50A554F6"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690" w:name="ver_30075534"/>
      <w:bookmarkEnd w:id="1690"/>
    </w:p>
    <w:p w14:paraId="70DBD6F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2.3.2.2.2.3.47. Almacenamiento y recolección de residuos generados en puntos de ventas en áreas públicas. Los vendedores estacionarios localizados en áreas públicas, debidamente autorizados, deberán mantener limpios los alrededores de sus puestos de ventas, tener recipientes accesibles al público para el almacenamiento de los residuos generados en su actividad y presentarlos para su recolección a la persona prestadora del servicio público de aseo. El control y vigilancia de estas obligaciones estará a cargo de las autoridades de policía. Los vendedores estacionarios serán considerados suscriptores no residenciales. </w:t>
      </w:r>
    </w:p>
    <w:p w14:paraId="43EBD891" w14:textId="191006DB"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691" w:name="ver_30075535"/>
      <w:bookmarkEnd w:id="1691"/>
    </w:p>
    <w:p w14:paraId="49DFF9E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2.3.2.2.2.3.48. Responsabilidad por los residuos sólidos generados en el cargue y descargue de mercancías y materiales. Los responsables de cargue, descargue y transporte de mercancías o materiales, deberán recoger los residuos sólidos originados por esas actividades y entregarlos a la persona prestadora del servicio público de aseo. El control y vigilancia de esta obligación estará a cargo de las autoridades de policía. </w:t>
      </w:r>
    </w:p>
    <w:p w14:paraId="2032E7E5" w14:textId="6F887E6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692" w:name="ver_30075536"/>
      <w:bookmarkEnd w:id="1692"/>
    </w:p>
    <w:p w14:paraId="5BF6FEF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2.3.2.2.2.3.49. Monitoreo de la actividad de recolección de residuos sólidos. Las personas prestadoras del servicio público de aseo que atiendan en ciudades de más de un millón de habitantes deberán implementar sistemas de monitoreo, tales como: </w:t>
      </w:r>
    </w:p>
    <w:p w14:paraId="2D9FAA6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1595AD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1. Georreferenciación de las </w:t>
      </w:r>
      <w:proofErr w:type="spellStart"/>
      <w:r w:rsidRPr="009342F9">
        <w:rPr>
          <w:rFonts w:ascii="Arial" w:eastAsia="Times New Roman" w:hAnsi="Arial" w:cs="Arial"/>
          <w:color w:val="000000"/>
          <w:lang w:eastAsia="es-CO"/>
        </w:rPr>
        <w:t>microrrutas</w:t>
      </w:r>
      <w:proofErr w:type="spellEnd"/>
      <w:r w:rsidRPr="009342F9">
        <w:rPr>
          <w:rFonts w:ascii="Arial" w:eastAsia="Times New Roman" w:hAnsi="Arial" w:cs="Arial"/>
          <w:color w:val="000000"/>
          <w:lang w:eastAsia="es-CO"/>
        </w:rPr>
        <w:t xml:space="preserve"> de recolección y transporte. </w:t>
      </w:r>
    </w:p>
    <w:p w14:paraId="3BFE6B4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A67659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Posición geográfica de los vehículos (GPS). </w:t>
      </w:r>
    </w:p>
    <w:p w14:paraId="5BB0BB3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w:t>
      </w:r>
    </w:p>
    <w:p w14:paraId="260B7F7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Monitoreo de tiempos y movimientos de los vehículos recolectores. </w:t>
      </w:r>
    </w:p>
    <w:p w14:paraId="66BED427"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693" w:name="ver_30075537"/>
      <w:bookmarkEnd w:id="1693"/>
    </w:p>
    <w:p w14:paraId="41DDD63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2.3.2.2.2.3.50. Características de las bases de operación. Las personas prestadoras del servicio público de aseo que presten el servicio en municipio o distritos mayores de 5.000 usuarios deberán tener base de operación, las cuales deberán ubicarse de acuerdo con lo definido en las normas de ordenamiento territorial y cumplir con las siguientes características: </w:t>
      </w:r>
    </w:p>
    <w:p w14:paraId="767044C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C0BCB6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Contar con áreas adecuadas para el parqueo y maniobra de los vehículos, depósito de insumos para la prestación de servicio, zona de control de operaciones, vestidores e instalaciones sanitarias para el personal, y oficinas administrativas. </w:t>
      </w:r>
    </w:p>
    <w:p w14:paraId="7B8810E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DFD54D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Contar con los servicios públicos. </w:t>
      </w:r>
    </w:p>
    <w:p w14:paraId="6AADB8A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59240C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Contar con una adecuada señalización en las diferentes áreas, así como de los sentidos de circulación. </w:t>
      </w:r>
    </w:p>
    <w:p w14:paraId="76CCD9A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BC6CC1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Contar con señales y equipo de seguridad para la prevención de accidentes, que permitan la inmediata y oportuna atención cuando se produzcan situaciones de emergencia. </w:t>
      </w:r>
    </w:p>
    <w:p w14:paraId="048F46F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7A28B0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 Contar con equipos de control de incendios. </w:t>
      </w:r>
    </w:p>
    <w:p w14:paraId="01BCA42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CF305E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6. Contar con equipos de comunicación entre la base y los equipos de recolección. </w:t>
      </w:r>
    </w:p>
    <w:p w14:paraId="5236213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1A4677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1°. En las bases de operación no se podrán almacenar residuos sólidos provenientes de las actividades de recolección y transporte. </w:t>
      </w:r>
    </w:p>
    <w:p w14:paraId="1B20F93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B05C8C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2°. Las personas prestadoras de la actividad de aprovechamiento que requieran menos de tres (3) vehículos para la prestación del servicio no están obligadas a contar con base de operaciones. </w:t>
      </w:r>
    </w:p>
    <w:p w14:paraId="35019B9D" w14:textId="4A5BF0DF"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9BB96C7" w14:textId="77777777" w:rsidR="00FC79C1" w:rsidRPr="009342F9" w:rsidRDefault="00FC79C1" w:rsidP="00F74103">
      <w:pPr>
        <w:spacing w:after="0" w:line="240" w:lineRule="auto"/>
        <w:jc w:val="center"/>
        <w:rPr>
          <w:rFonts w:ascii="Arial" w:eastAsia="Times New Roman" w:hAnsi="Arial" w:cs="Arial"/>
          <w:b/>
          <w:bCs/>
          <w:color w:val="000000"/>
          <w:lang w:eastAsia="es-CO"/>
        </w:rPr>
      </w:pPr>
      <w:bookmarkStart w:id="1694" w:name="ver_30075719"/>
      <w:bookmarkEnd w:id="1694"/>
      <w:r w:rsidRPr="009342F9">
        <w:rPr>
          <w:rFonts w:ascii="Arial" w:eastAsia="Times New Roman" w:hAnsi="Arial" w:cs="Arial"/>
          <w:b/>
          <w:bCs/>
          <w:color w:val="000000"/>
          <w:lang w:eastAsia="es-CO"/>
        </w:rPr>
        <w:t>SUBSECCIÓN 4</w:t>
      </w:r>
    </w:p>
    <w:p w14:paraId="4C94015F" w14:textId="77777777" w:rsidR="00FC79C1" w:rsidRPr="009342F9" w:rsidRDefault="00FC79C1" w:rsidP="00F74103">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BARRIDO Y LIMPIEZA DE ÁREAS PÚBLICAS</w:t>
      </w:r>
    </w:p>
    <w:p w14:paraId="65057260"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695" w:name="ver_30075720"/>
      <w:bookmarkEnd w:id="1695"/>
    </w:p>
    <w:p w14:paraId="1D01B70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2.3.2.2.2.4.51. Responsabilidad en barrido y limpieza de vías y áreas públicas. Las labores de barrido y limpieza de vías y áreas públicas son responsabilidad de la persona prestadora del servicio público de aseo en el área de prestación donde realice las actividades de recolección y transporte. </w:t>
      </w:r>
    </w:p>
    <w:p w14:paraId="65D82FF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1B4B9B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 prestación de este componente en todo caso deberá realizarse de acuerdo con la frecuencia y horarios establecidos en el programa para la prestación del servicio público de aseo, y cumpliendo con las exigencias establecidas en el PGIRS del respectivo municipio o distrito. La determinación de los kilómetros a barrer deberá tener en cuenta las frecuencias de barrido. </w:t>
      </w:r>
    </w:p>
    <w:p w14:paraId="7D45C16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818718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calles no pavimentadas y en áreas donde no sea posible realizar el barrido por sus características físicas, se desarrollarán labores de limpieza manual. </w:t>
      </w:r>
    </w:p>
    <w:p w14:paraId="5CC8AA1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93281B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 persona prestadora de servicio público de aseo deberá adelantar labores de limpieza de vías y áreas públicas para superar situaciones de caso fortuito o fuerza mayor, tales como terremotos, inundaciones, siniestros y catástrofes de cualquier tipo. </w:t>
      </w:r>
    </w:p>
    <w:p w14:paraId="41A7DE6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00C6F8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En el caso de producirse accidentes o hechos imprevistos que generen suciedad en la vía pública, dentro del área de prestación, la persona prestadora del servicio público de aseo deberá concurrir para restablecer la condición de limpieza del área. Para tales efectos, la persona prestadora deberá hacer presencia en el sitio dentro de las tres (3) horas siguientes al momento de haber sido avisada para prestar el servicio en el área afectada. </w:t>
      </w:r>
    </w:p>
    <w:p w14:paraId="581FAB3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1F9468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1°. En desarrollo de las actividades de barrido de vías y áreas públicas, se prohíbe arrojar residuos hacia las alcantarillas del sistema pluvial y sanitario del municipio y/o distrito. Para el efecto la persona prestadora del servicio público de aseo deberá capacitar a los operarios de barrido para evitar que el producto de esta actividad se disponga en sumideros de alcantarillado pluvial, y de esta forma prevenir su taponamiento. </w:t>
      </w:r>
    </w:p>
    <w:p w14:paraId="6312D30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436794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2°. Cuando en un área confluya más de un prestador, estos serán responsables de la actividad de barrido y limpieza en proporción al número de usuarios que cada prestador atienda en dicha área. </w:t>
      </w:r>
    </w:p>
    <w:p w14:paraId="18D85CE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F720E1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 Comisión de Regulación de Agua Potable y Saneamiento Básico determinará la metodología de cálculo de los kilómetros a barrer por cada prestador en función del número de usuarios que cada uno atienda en el área de confluencia. </w:t>
      </w:r>
    </w:p>
    <w:p w14:paraId="633EC5CE" w14:textId="12921753"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696" w:name="ver_30075721"/>
      <w:bookmarkEnd w:id="1696"/>
    </w:p>
    <w:p w14:paraId="7A374D6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2.3.2.2.2.4.52. Acuerdos de barrido y limpieza. Las personas prestadoras deberán suscribir acuerdos de barrido y limpieza en los que se determinen las vías y áreas públicas que cada persona prestadora vaya a atender en el respectivo municipio, sin perjuicio de que en el mismo acuerdo se convenga que solo uno de ellos sea quien atiende la totalidad del área. En los mismos acuerdos se podrá establecer la forma de remunerarse entre los prestadores de las mencionadas actividades. </w:t>
      </w:r>
    </w:p>
    <w:p w14:paraId="36A2088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12D998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Lo anterior, so pena que la Superintendencia de Servicios Públicos Domiciliarios imponga las sanciones de que trata el artículo 81 de la Ley 142 de 1994, por incumplimiento del régimen de servicios públicos domiciliarios y falla en la prestación de dichos servicios. </w:t>
      </w:r>
    </w:p>
    <w:p w14:paraId="4D67A74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C88794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Estos acuerdos deberán suscribirse dentro de los tres (3) meses siguientes a la vigencia del presente capítulo. </w:t>
      </w:r>
    </w:p>
    <w:p w14:paraId="3AA25A9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17AF22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el evento que habiéndose firmado el acuerdo de que trata el presente artículo, ingrese o se retire una determinada persona prestadora dentro del área de confluencia, se deberá revisar y ajustar el acuerdo de barrido celebrado, para lo cual los prestadores tendrán un plazo máximo de tres (3) meses contados a partir del ingreso o retiro del prestador, so pena de la imposición de las sanciones, por parte de la Superintendencia de Servicios Públicos Domiciliarios, en ejercicio de la competencia establecida en el artículo 81 de la Ley 142 de 1994. </w:t>
      </w:r>
    </w:p>
    <w:p w14:paraId="64A7C58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352FC8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En el evento que no se logre un acuerdo entre las personas prestadoras en los términos previstos en el presente artículo, cualquiera de ellas podrá solicitar a la Comisión de Regulación de Agua Potable y Saneamiento Básico la resolución de dicha controversia, en los términos del artículo 73, numeral 73.9, de la Ley 142 de 1994. </w:t>
      </w:r>
    </w:p>
    <w:p w14:paraId="23EE019D" w14:textId="793210F6"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697" w:name="ver_30075722"/>
      <w:bookmarkEnd w:id="1697"/>
    </w:p>
    <w:p w14:paraId="7CC0AB8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2.3.2.2.2.4.53. Frecuencias mínimas de barrido y limpieza de vías y áreas públicas. La frecuencia mínima de barrido y limpieza del área de prestación a cargo del prestador será de dos (2) veces por semana para municipios y/o distritos de primera categoría o especiales, y de una (1) vez por semana para las demás categorías establecidas en la ley. El establecimiento de mayores frecuencias definidas en el PGIRS para la totalidad del área urbana del municipio y/o </w:t>
      </w:r>
      <w:r w:rsidRPr="009342F9">
        <w:rPr>
          <w:rFonts w:ascii="Arial" w:eastAsia="Times New Roman" w:hAnsi="Arial" w:cs="Arial"/>
          <w:color w:val="000000"/>
          <w:lang w:eastAsia="es-CO"/>
        </w:rPr>
        <w:lastRenderedPageBreak/>
        <w:t>distrito o partes específicas de la misma, deberá ser solicitado por el ente territorial al prestador y su costo será reconocido vía tarifa. </w:t>
      </w:r>
    </w:p>
    <w:p w14:paraId="0680CBB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614AA9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El prestador de la actividad de recolección y transporte de residuos sólidos deberá garantizar la frecuencia mínima de barrido y limpieza, o la que determine el PGIRS en toda el área de prestación a su cargo. </w:t>
      </w:r>
    </w:p>
    <w:p w14:paraId="0EEA8582" w14:textId="1DEE8B60"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698" w:name="ver_30075723"/>
      <w:bookmarkEnd w:id="1698"/>
    </w:p>
    <w:p w14:paraId="561084A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2.3.2.2.2.4.54. Establecimiento del horario de barrido y limpieza de vías y áreas públicas. El barrido y limpieza de vías y áreas públicas deberá realizarse en horarios que causen la menor afectación al flujo de vehículos y de peatones. </w:t>
      </w:r>
    </w:p>
    <w:p w14:paraId="734D077F" w14:textId="49045029"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699" w:name="ver_30075724"/>
      <w:bookmarkEnd w:id="1699"/>
    </w:p>
    <w:p w14:paraId="6D25830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2.3.2.2.2.4.55. Establecimiento de </w:t>
      </w:r>
      <w:proofErr w:type="spellStart"/>
      <w:r w:rsidRPr="009342F9">
        <w:rPr>
          <w:rFonts w:ascii="Arial" w:eastAsia="Times New Roman" w:hAnsi="Arial" w:cs="Arial"/>
          <w:color w:val="000000"/>
          <w:lang w:eastAsia="es-CO"/>
        </w:rPr>
        <w:t>macrorrutas</w:t>
      </w:r>
      <w:proofErr w:type="spellEnd"/>
      <w:r w:rsidRPr="009342F9">
        <w:rPr>
          <w:rFonts w:ascii="Arial" w:eastAsia="Times New Roman" w:hAnsi="Arial" w:cs="Arial"/>
          <w:color w:val="000000"/>
          <w:lang w:eastAsia="es-CO"/>
        </w:rPr>
        <w:t xml:space="preserve"> y </w:t>
      </w:r>
      <w:proofErr w:type="spellStart"/>
      <w:r w:rsidRPr="009342F9">
        <w:rPr>
          <w:rFonts w:ascii="Arial" w:eastAsia="Times New Roman" w:hAnsi="Arial" w:cs="Arial"/>
          <w:color w:val="000000"/>
          <w:lang w:eastAsia="es-CO"/>
        </w:rPr>
        <w:t>microrrutas</w:t>
      </w:r>
      <w:proofErr w:type="spellEnd"/>
      <w:r w:rsidRPr="009342F9">
        <w:rPr>
          <w:rFonts w:ascii="Arial" w:eastAsia="Times New Roman" w:hAnsi="Arial" w:cs="Arial"/>
          <w:color w:val="000000"/>
          <w:lang w:eastAsia="es-CO"/>
        </w:rPr>
        <w:t xml:space="preserve"> para el barrido y limpieza de vías y áreas públicas. Las personas prestadoras del servicio público de aseo están obligadas a establecer las </w:t>
      </w:r>
      <w:proofErr w:type="spellStart"/>
      <w:r w:rsidRPr="009342F9">
        <w:rPr>
          <w:rFonts w:ascii="Arial" w:eastAsia="Times New Roman" w:hAnsi="Arial" w:cs="Arial"/>
          <w:color w:val="000000"/>
          <w:lang w:eastAsia="es-CO"/>
        </w:rPr>
        <w:t>macrorrutas</w:t>
      </w:r>
      <w:proofErr w:type="spellEnd"/>
      <w:r w:rsidRPr="009342F9">
        <w:rPr>
          <w:rFonts w:ascii="Arial" w:eastAsia="Times New Roman" w:hAnsi="Arial" w:cs="Arial"/>
          <w:color w:val="000000"/>
          <w:lang w:eastAsia="es-CO"/>
        </w:rPr>
        <w:t xml:space="preserve"> y </w:t>
      </w:r>
      <w:proofErr w:type="spellStart"/>
      <w:r w:rsidRPr="009342F9">
        <w:rPr>
          <w:rFonts w:ascii="Arial" w:eastAsia="Times New Roman" w:hAnsi="Arial" w:cs="Arial"/>
          <w:color w:val="000000"/>
          <w:lang w:eastAsia="es-CO"/>
        </w:rPr>
        <w:t>microrrutas</w:t>
      </w:r>
      <w:proofErr w:type="spellEnd"/>
      <w:r w:rsidRPr="009342F9">
        <w:rPr>
          <w:rFonts w:ascii="Arial" w:eastAsia="Times New Roman" w:hAnsi="Arial" w:cs="Arial"/>
          <w:color w:val="000000"/>
          <w:lang w:eastAsia="es-CO"/>
        </w:rPr>
        <w:t xml:space="preserve"> que deben seguir cada una de las cuadrillas de barrido y limpieza de vías y áreas públicas teniendo en cuenta las normas de tránsito, las características físicas del municipio o distrito, así como con las frecuencias establecidas. Esas rutas deberán ser informadas a los usuarios y cumplidas cabalmente por las personas prestadoras del servicio. </w:t>
      </w:r>
    </w:p>
    <w:p w14:paraId="770711DB" w14:textId="4D95A4D9"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700" w:name="ver_30075725"/>
      <w:bookmarkEnd w:id="1700"/>
    </w:p>
    <w:p w14:paraId="6544ED6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2.3.2.2.2.4.56. Actividad de barrido y limpieza manual de vías y áreas públicas. Los residuos resultantes de la labor de barrido y limpieza manual de vías y áreas públicas deberán ser colocados en bolsas plásticas, que una vez llenas serán cerradas y ubicadas en el sitio preestablecido para su posterior recolección. Esta actividad incluye la recolección de bolsas de las cestas colocadas en las vías y áreas públicas. </w:t>
      </w:r>
    </w:p>
    <w:p w14:paraId="47654842" w14:textId="38BACE3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701" w:name="ver_30075726"/>
      <w:bookmarkEnd w:id="1701"/>
    </w:p>
    <w:p w14:paraId="1391E37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2.3.2.2.2.4.57. Instalación de cestas o canastillas públicas de residuos sólidos en las vías y áreas públicas. Las personas prestadoras del servicio de aseo deberán colocar canastillas o cestas, en vías y áreas públicas, para almacenamiento exclusivo de residuos sólidos producidos por los transeúntes. Para la ubicación de las cestas a cargo del prestador, se requerirá aprobación previa del municipio o distrito. </w:t>
      </w:r>
    </w:p>
    <w:p w14:paraId="5ED1389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B75785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 recolección de los residuos sólidos depositados en las cestas es responsabilidad de las personas prestadoras del servicio público de aseo. La persona prestadora del servicio público de aseo deberá llevar un inventario de las cestas que suministre, así como de su estado, para efectos de su mantenimiento y reposición. </w:t>
      </w:r>
    </w:p>
    <w:p w14:paraId="04974A6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B0DF0E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Los costos de inversión y mantenimiento de las cestas de almacenamiento se deberán tener en cuenta en la regulación tarifaria, para lo cual la Comisión de Regulación de Agua Potable y Saneamiento establecerá en la fórmula tarifaria el costo eficiente para esta actividad de acuerdo con el número de suscriptores. </w:t>
      </w:r>
    </w:p>
    <w:p w14:paraId="456D95EF" w14:textId="652C1E2E"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702" w:name="ver_30075727"/>
      <w:bookmarkEnd w:id="1702"/>
    </w:p>
    <w:p w14:paraId="181DD12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2.3.2.2.2.4.58. Características de las canastillas o cestas públicas. Las canastillas o cestas públicas deben cumplir con las siguientes características: </w:t>
      </w:r>
    </w:p>
    <w:p w14:paraId="4AECE0F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C80295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Estar diseñadas de tal forma que se facilite el depósito de los residuos, aspecto que debe tenerse en cuenta en los casos en que se coloquen tapas. </w:t>
      </w:r>
    </w:p>
    <w:p w14:paraId="5BBFE4B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BB6647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Deben tener algún dispositivo para evitar que se llenen de agua cuando llueva. </w:t>
      </w:r>
    </w:p>
    <w:p w14:paraId="4F3A4D6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AB9410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Deben estar ancladas para evitar que sean hurtadas. </w:t>
      </w:r>
    </w:p>
    <w:p w14:paraId="7FFFF7F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9D7A8F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4. Los soportes tienen que ser resistentes, teniendo en cuenta el uso a que son sometidos las cestas y que se trata de mobiliario público. </w:t>
      </w:r>
    </w:p>
    <w:p w14:paraId="0179486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4DA330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 Para su ubicación debe tenerse en cuenta la afluencia de público, la generación de residuos y las condiciones del espacio público, evitando que se obstruya el paso de peatones y la visibilidad a los conductores de vehículos automotores. </w:t>
      </w:r>
    </w:p>
    <w:p w14:paraId="61E4C7E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0D5898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6. El material y diseño de los recipientes deben facilitar su utilización a los usuarios, así como la recolección de los residuos depositados, su limpieza y mantenimiento. </w:t>
      </w:r>
    </w:p>
    <w:p w14:paraId="4B2B31A2" w14:textId="261C2DEB"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703" w:name="ver_30075728"/>
      <w:bookmarkEnd w:id="1703"/>
    </w:p>
    <w:p w14:paraId="531BE2C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2.3.2.2.2.4.59. Equipo para la actividad de barrido manual. El personal operativo para la actividad de barrido manual deberá contar con el equipo necesario para la limpieza, barrido almacenamiento, recolección y el transporte manual de los residuos sólidos, incluidos los elementos de seguridad industrial y salud ocupacional necesarios. </w:t>
      </w:r>
    </w:p>
    <w:p w14:paraId="1AC86A88" w14:textId="7C9A1FF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704" w:name="ver_30075729"/>
      <w:bookmarkEnd w:id="1704"/>
    </w:p>
    <w:p w14:paraId="15AB9F3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2.3.2.2.2.4.60. Actividad de barrido mecánico. Se podrá utilizar barrido mecánico en aquellas calles pavimentadas </w:t>
      </w:r>
      <w:proofErr w:type="gramStart"/>
      <w:r w:rsidRPr="009342F9">
        <w:rPr>
          <w:rFonts w:ascii="Arial" w:eastAsia="Times New Roman" w:hAnsi="Arial" w:cs="Arial"/>
          <w:color w:val="000000"/>
          <w:lang w:eastAsia="es-CO"/>
        </w:rPr>
        <w:t>que</w:t>
      </w:r>
      <w:proofErr w:type="gramEnd"/>
      <w:r w:rsidRPr="009342F9">
        <w:rPr>
          <w:rFonts w:ascii="Arial" w:eastAsia="Times New Roman" w:hAnsi="Arial" w:cs="Arial"/>
          <w:color w:val="000000"/>
          <w:lang w:eastAsia="es-CO"/>
        </w:rPr>
        <w:t xml:space="preserve"> por su longitud, estado de las vías, amplitud, volumen de los residuos, tráfico y riesgo de la operación manual ameriten el uso de este tipo de maquinaria. La descarga de los residuos de barrido mecánico se efectuará en los sitios previamente establecidos en el correspondiente programa de la prestación del servicio público de aseo. El drenaje del agua para aspersión de </w:t>
      </w:r>
      <w:proofErr w:type="gramStart"/>
      <w:r w:rsidRPr="009342F9">
        <w:rPr>
          <w:rFonts w:ascii="Arial" w:eastAsia="Times New Roman" w:hAnsi="Arial" w:cs="Arial"/>
          <w:color w:val="000000"/>
          <w:lang w:eastAsia="es-CO"/>
        </w:rPr>
        <w:t>los mismos</w:t>
      </w:r>
      <w:proofErr w:type="gramEnd"/>
      <w:r w:rsidRPr="009342F9">
        <w:rPr>
          <w:rFonts w:ascii="Arial" w:eastAsia="Times New Roman" w:hAnsi="Arial" w:cs="Arial"/>
          <w:color w:val="000000"/>
          <w:lang w:eastAsia="es-CO"/>
        </w:rPr>
        <w:t xml:space="preserve"> obligatoriamente deberá efectuarse antes del pesaje de los vehículos y podrá efectuarse en sumideros, pero en todo caso deberá evitarse el taponamiento de las rejillas. </w:t>
      </w:r>
    </w:p>
    <w:p w14:paraId="74073F6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518C82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 persona prestadora del servicio público de aseo deberá retirar de la senda del barrido mecánico todos aquellos residuos que por sus características físicas dificulten su aspiración por el vehículo, debiendo recolectarlos al momento de la realización de esta actividad. </w:t>
      </w:r>
    </w:p>
    <w:p w14:paraId="32C4848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81CCD2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Las personas prestadoras del servicio de aseo en las actividades de barrido y limpieza no deberán arrojar residuos de barrido, ni arenilla en los sumideros de aguas lluvias. </w:t>
      </w:r>
    </w:p>
    <w:p w14:paraId="435F4669" w14:textId="163CD3C4"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705" w:name="ver_30075730"/>
      <w:bookmarkEnd w:id="1705"/>
    </w:p>
    <w:p w14:paraId="391CFC1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2.3.2.2.2.4.61. Responsabilidad de los anunciantes en materia de limpieza. La limpieza y remoción de los avisos publicitarios o propaganda será responsabilidad de los anunciantes, quien podrá contratar con la persona prestadora del servicio público de aseo la remoción y el manejo de los residuos sólidos generados por la remoción de los avisos publicitarios o propaganda, cuyo costo será pactado entre el anunciante y la persona prestadora del servicio público de aseo como manejo de un residuo especial. Las autoridades de policía deberán velar por el cumplimiento de esta obligación. </w:t>
      </w:r>
    </w:p>
    <w:p w14:paraId="5D424A3B" w14:textId="7B89EA08"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706" w:name="ver_30075731"/>
      <w:bookmarkEnd w:id="1706"/>
    </w:p>
    <w:p w14:paraId="53269DB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2.3.2.2.2.4.62. Limpieza de playas. La persona prestadora del servicio público de aseo deberá efectuar la limpieza de playas costeras o ribereñas en las áreas urbanas definidas en el PGIRS e instalar cestas de almacenamiento en las zonas aledañas. </w:t>
      </w:r>
    </w:p>
    <w:p w14:paraId="0B7C442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94E5BA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La comisión de regulación de agua potable y saneamiento básico definirá la metodología para establecer el costo eficiente a reconocer vía tarifa. </w:t>
      </w:r>
    </w:p>
    <w:p w14:paraId="3D28A523" w14:textId="1A7A7EF8" w:rsidR="00FC79C1" w:rsidRPr="009342F9" w:rsidRDefault="00FC79C1" w:rsidP="000443A9">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B5408CE" w14:textId="77777777" w:rsidR="00FC79C1" w:rsidRPr="009342F9" w:rsidRDefault="00FC79C1" w:rsidP="00F74103">
      <w:pPr>
        <w:spacing w:after="0" w:line="240" w:lineRule="auto"/>
        <w:jc w:val="center"/>
        <w:rPr>
          <w:rFonts w:ascii="Arial" w:eastAsia="Times New Roman" w:hAnsi="Arial" w:cs="Arial"/>
          <w:b/>
          <w:bCs/>
          <w:color w:val="000000"/>
          <w:lang w:eastAsia="es-CO"/>
        </w:rPr>
      </w:pPr>
      <w:bookmarkStart w:id="1707" w:name="ver_30075732"/>
      <w:bookmarkEnd w:id="1707"/>
      <w:r w:rsidRPr="009342F9">
        <w:rPr>
          <w:rFonts w:ascii="Arial" w:eastAsia="Times New Roman" w:hAnsi="Arial" w:cs="Arial"/>
          <w:b/>
          <w:bCs/>
          <w:color w:val="000000"/>
          <w:lang w:eastAsia="es-CO"/>
        </w:rPr>
        <w:t>SUBSECCIÓN 5</w:t>
      </w:r>
    </w:p>
    <w:p w14:paraId="41E29F8D" w14:textId="77777777" w:rsidR="00FC79C1" w:rsidRPr="009342F9" w:rsidRDefault="00FC79C1" w:rsidP="00F74103">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LAVADO DE ÁREAS PÚBLICAS</w:t>
      </w:r>
    </w:p>
    <w:p w14:paraId="2E0FC076"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708" w:name="ver_30075733"/>
      <w:bookmarkEnd w:id="1708"/>
    </w:p>
    <w:p w14:paraId="2D57395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Artículo 2.3.2.2.2.5.63. Responsabilidad en el lavado de áreas públicas. Las labores de lavado de áreas públicas son responsabilidad de los prestadores del servicio público de aseo en el área de prestación donde realicen las actividades de recolección y transporte. </w:t>
      </w:r>
    </w:p>
    <w:p w14:paraId="063FD3F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9B2786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 prestación de este componente en todo caso deberá realizarse de acuerdo con la frecuencia y horarios establecidos en el programa para la prestación del servicio público de aseo, y cumpliendo con las exigencias establecidas en el PGIRS del respectivo municipio o distrito. </w:t>
      </w:r>
    </w:p>
    <w:p w14:paraId="2EC1D59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D2B06D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Los municipios o distritos están en la obligación de suministrar a las personas prestadoras el inventario de los puentes peatonales y áreas públicas objeto de lavado, detallando como mínimo, su ubicación y área de lavado, entre otros aspectos. </w:t>
      </w:r>
    </w:p>
    <w:p w14:paraId="56B19CC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6D7524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Cuando en un área confluya más de un prestador, estos serán responsables de la actividad de lavado de áreas públicas en proporción al número de usuarios que cada prestador atienda en dicha área. </w:t>
      </w:r>
    </w:p>
    <w:p w14:paraId="3D7B860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6D131C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 Comisión de Regulación de Agua Potable y Saneamiento Básico determinará la metodología de cálculo de las áreas públicas de lavado que le corresponde a cada prestador en función del número de usuarios que cada uno atienda en el área de confluencia. </w:t>
      </w:r>
    </w:p>
    <w:p w14:paraId="64AB66AC" w14:textId="0F88B7E3"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709" w:name="ver_30075734"/>
      <w:bookmarkEnd w:id="1709"/>
    </w:p>
    <w:p w14:paraId="1E8EBF1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2.3.2.2.2.5.64. Acuerdos de lavado de áreas públicas. Las personas prestadoras deberán suscribir acuerdos donde se determinen las áreas públicas, incluidos los puentes peatonales a cargo de cada prestador y las frecuencias de ejecución de la actividad que cada persona prestadora vaya a realizar, sin perjuicio de que en el mismo acuerdo se convenga que solo uno de ellos sea quien atienda la totalidad del área. En los mismos acuerdos se podrá establecer la forma de remunerarse entre los prestadores de las mencionadas actividades. </w:t>
      </w:r>
    </w:p>
    <w:p w14:paraId="65465AD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7185A8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Lo anterior so pena que la Superintendencia de Servicios Públicos Domiciliarios imponga las sanciones de que trata el artículo 81 de la Ley 142 de 1994, por incumplimiento del régimen de servicios públicos domiciliarios y falla en la prestación de dichos servicios. </w:t>
      </w:r>
    </w:p>
    <w:p w14:paraId="5C56A8A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390781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Estos acuerdos deberán suscribirse dentro de los tres (3) meses siguientes a la fecha de aplicación de la metodología tarifaria que expida la Comisión de Regulación de Agua Potable y Saneamiento Básico, en la que se determinen los costos de esta actividad, so pena que la Superintendencia de Servicios Públicos Domiciliarios imponga las sanciones de que trata el artículo 81 de la Ley 142 de 1994, por incumplimiento del régimen de servicios públicos domiciliarios y falla en la prestación de dichos servicios. </w:t>
      </w:r>
    </w:p>
    <w:p w14:paraId="585CD6E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CACA0F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el evento que habiéndose firmado el acuerdo de que trata el presente artículo, ingrese o se retire una determinada persona prestadora dentro del área de confluencia, se deberá revisar y ajustar el acuerdo de lavado de áreas públicas celebrado, para lo cual los prestadores tendrán un plazo máximo de tres (3) meses contados a partir del ingreso o retiro del prestador, so pena de la imposición de las sanciones, por parte de la Superintendencia de Servicios Públicos Domiciliarios, en ejercicio de la competencia establecida en el artículo 81 de la Ley 142 de 1994. </w:t>
      </w:r>
    </w:p>
    <w:p w14:paraId="05A765F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200815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En el evento que no se logre un acuerdo entre las personas prestadoras en los términos previstos en el presente artículo, cualquiera de ellas podrá solicitar a la Comisión de Regulación de Agua Potable y Saneamiento Básico la resolución de dicha controversia, en los términos del artículo 73, numeral 73.9, de la Ley 142 de 1994. </w:t>
      </w:r>
    </w:p>
    <w:p w14:paraId="1FBA3C6C" w14:textId="3180C881"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710" w:name="ver_30075735"/>
      <w:bookmarkEnd w:id="1710"/>
    </w:p>
    <w:p w14:paraId="46ACADD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Artículo 2.3.2.2.2.5.65. Alcance del lavado de áreas públicas. La actividad de lavado de áreas públicas dentro del servicio de aseo comprende el lavado de puentes peatonales y de aquellas áreas públicas cuya condición de limpieza se deteriora por un uso inadecuado de tales áreas constituyéndose en puntos críticos sanitarios. </w:t>
      </w:r>
    </w:p>
    <w:p w14:paraId="6994CF5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CE3211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1°. Solo se podrá trasladar a la tarifa del suscriptor del servicio de aseo el lavado de puentes peatonales en el área urbana con una frecuencia máxima de dos (2) veces al año. Mayores frecuencias deberán ser cubiertas por el ente territorial. </w:t>
      </w:r>
    </w:p>
    <w:p w14:paraId="007912B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FD012D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 Comisión de Regulación de Agua Potable y Saneamiento Básico definirá el costo máximo a reconocer vía tarifa por esta actividad. </w:t>
      </w:r>
    </w:p>
    <w:p w14:paraId="2C70389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83901A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Parágrafo 2°. El lavado de áreas públicas se realizará con cargo a la tarifa del suscriptor del servicio público de aseo para restablecer la condición de limpieza deteriorada por el uso inadecuado de tales áreas, al constituirse en punto crítico sanitario. El ente territorial deberá adoptar las medidas para su eliminación dentro de los quince (15) días siguientes a que este sea reportado por el prestador o por un usuario. En caso de no adoptar las medidas correctivas, el lavado de </w:t>
      </w:r>
      <w:proofErr w:type="gramStart"/>
      <w:r w:rsidRPr="009342F9">
        <w:rPr>
          <w:rFonts w:ascii="Arial" w:eastAsia="Times New Roman" w:hAnsi="Arial" w:cs="Arial"/>
          <w:color w:val="000000"/>
          <w:lang w:eastAsia="es-CO"/>
        </w:rPr>
        <w:t>las mismas</w:t>
      </w:r>
      <w:proofErr w:type="gramEnd"/>
      <w:r w:rsidRPr="009342F9">
        <w:rPr>
          <w:rFonts w:ascii="Arial" w:eastAsia="Times New Roman" w:hAnsi="Arial" w:cs="Arial"/>
          <w:color w:val="000000"/>
          <w:lang w:eastAsia="es-CO"/>
        </w:rPr>
        <w:t xml:space="preserve"> estará a cargo del ente territorial quien deberá pactar el valor de esta actividad, su frecuencia y área de intervención con el prestador. </w:t>
      </w:r>
    </w:p>
    <w:p w14:paraId="6E005D7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F0EB89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3°. Esta actividad no aplica al lavado de parques, monumentos, esculturas, pilas y demás mobiliario urbano y bienes de interés cultural cuya limpieza y mantenimiento no estará a cargo de la tarifa que pagan los suscriptores del servicio de aseo a las personas prestadoras. </w:t>
      </w:r>
    </w:p>
    <w:p w14:paraId="29369C6F" w14:textId="560A1238" w:rsidR="00F74103"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5C36289" w14:textId="77777777" w:rsidR="00FC79C1" w:rsidRPr="009342F9" w:rsidRDefault="00FC79C1" w:rsidP="00F74103">
      <w:pPr>
        <w:spacing w:after="0" w:line="240" w:lineRule="auto"/>
        <w:jc w:val="center"/>
        <w:rPr>
          <w:rFonts w:ascii="Arial" w:eastAsia="Times New Roman" w:hAnsi="Arial" w:cs="Arial"/>
          <w:b/>
          <w:bCs/>
          <w:color w:val="000000"/>
          <w:lang w:eastAsia="es-CO"/>
        </w:rPr>
      </w:pPr>
      <w:bookmarkStart w:id="1711" w:name="ver_30075736"/>
      <w:bookmarkEnd w:id="1711"/>
      <w:r w:rsidRPr="009342F9">
        <w:rPr>
          <w:rFonts w:ascii="Arial" w:eastAsia="Times New Roman" w:hAnsi="Arial" w:cs="Arial"/>
          <w:b/>
          <w:bCs/>
          <w:color w:val="000000"/>
          <w:lang w:eastAsia="es-CO"/>
        </w:rPr>
        <w:t>SUBSECCIÓN 6</w:t>
      </w:r>
    </w:p>
    <w:p w14:paraId="53A7EC19" w14:textId="77777777" w:rsidR="00FC79C1" w:rsidRPr="009342F9" w:rsidRDefault="00FC79C1" w:rsidP="00F74103">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CORTE DE CÉSPED Y PODA DE ÁRBOLES</w:t>
      </w:r>
    </w:p>
    <w:p w14:paraId="6C195C1D"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712" w:name="ver_30075737"/>
      <w:bookmarkEnd w:id="1712"/>
    </w:p>
    <w:p w14:paraId="23EFA6F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2.3.2.2.2.6.66. Actividad de corte de césped. Esta actividad debe realizarse en las áreas verdes públicas de los municipios, tales como: separadores viales ubicados en vías de tránsito automotor o peatonal, glorietas, rotondas, orejas o asimilables, parques públicos sin restricción de acceso definidos en las normas de ordenamiento territorial, que se encuentren dentro del perímetro urbano. Se excluye de esta actividad el corte de césped de los antejardines frente a los inmuebles el cual será responsabilidad de los propietarios de estos. </w:t>
      </w:r>
    </w:p>
    <w:p w14:paraId="3BE62BD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82C176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Se excluyen las actividades de ornato y embellecimiento. </w:t>
      </w:r>
    </w:p>
    <w:p w14:paraId="32F1D0DC" w14:textId="6F70E3C4"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713" w:name="ver_30075738"/>
      <w:bookmarkEnd w:id="1713"/>
    </w:p>
    <w:p w14:paraId="01E6573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2.3.2.2.2.6.67. Frecuencias y horarios para la actividad de corte de césped. El desarrollo de las tareas de corte de césped se hará de forma programada, teniendo en cuenta que el área debe intervenirse cuando la altura del césped supere los diez (10) centímetros. En todo caso la altura mínima del césped una vez cortado no debe ser inferior a dos (2) centímetros. </w:t>
      </w:r>
    </w:p>
    <w:p w14:paraId="7CABF9B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C98F36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Esta actividad deberá realizarse en horario diurno para zonas residenciales. Se exceptúan de esta obligación aquellas zonas que no puedan atenderse en horario diurno, por las dificultades generadas por el tránsito peatonal o vehicular y cualquier otra zona que por sus características particulares no permita la realización de la actividad en el horario mencionado. </w:t>
      </w:r>
    </w:p>
    <w:p w14:paraId="116116EC" w14:textId="4B58B10D"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714" w:name="ver_30075739"/>
      <w:bookmarkEnd w:id="1714"/>
    </w:p>
    <w:p w14:paraId="54B916D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2.3.2.2.2.6.68. Normas de seguridad para la actividad de corte de césped. La persona prestadora del servicio público de aseo deberá optar todas las medidas tendientes a evitar accidentes y molestias durante la ejecución del corte del césped. En este sentido adelantará las siguientes actividades: </w:t>
      </w:r>
    </w:p>
    <w:p w14:paraId="5BAE8F1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2B48D1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Información: Se colocará una valla informativa en el sitio del área a intervenir indicando el objeto de la labor, así como el nombre de la persona prestadora del servicio público de aseo, el número del teléfono de peticiones, quejas y recursos (línea de atención al cliente) y la página web en caso de contar con ella. </w:t>
      </w:r>
    </w:p>
    <w:p w14:paraId="7396AC5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65E436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Demarcación: Se hará mediante cinta para encerrar el área de trabajo con el fin de aislarla del tráfico vehicular y tránsito peatonal. Igualmente, se colocarán mallas de protección para prevenir accidentes ocasionados por guijarros u otros residuos impulsados en el momento de efectuar el corte de césped y deberá tener una longitud concordante con el área intervenida, con una altura mínima de 1,50 m y soportada por una estructura que permita moverla fácilmente. La colocación de la malla de protección no sustituirá la utilización de vallas de información. </w:t>
      </w:r>
    </w:p>
    <w:p w14:paraId="005846C2" w14:textId="5374A4DF"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715" w:name="ver_30075740"/>
      <w:bookmarkEnd w:id="1715"/>
    </w:p>
    <w:p w14:paraId="559F2ED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2.3.2.2.2.6.69. Normas de seguridad para el operario en la actividad de corte de césped. En la ejecución de esta actividad la persona prestadora deberá brindar las medidas de seguridad para preservar la integridad física del operario durante la realización de la labor de corte de césped de acuerdo con las normas de seguridad industrial. </w:t>
      </w:r>
    </w:p>
    <w:p w14:paraId="56D5721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587694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 persona prestadora del servicio público de aseo deberá capacitar a los operarios sobre las especificaciones y condiciones técnicas de la actividad y las normas de seguridad industrial que deben aplicarse. </w:t>
      </w:r>
    </w:p>
    <w:p w14:paraId="0DD09F31" w14:textId="6526B1B8"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716" w:name="ver_30075741"/>
      <w:bookmarkEnd w:id="1716"/>
    </w:p>
    <w:p w14:paraId="1777D76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2.3.2.2.2.6.70. Actividad de poda de árboles. Las actividades que la componen son: corte de ramas, follajes, recolección, presentación y transporte para disposición final o aprovechamiento siguiendo los lineamientos que determine la autoridad competente. Esta actividad se realizará sobre los árboles ubicados en separadores viales ubicados en vías de tránsito automotor, vías peatonales, glorietas, rotondas, orejas o asimilables, parques públicos sin restricción de acceso, definidos en las normas de ordenamiento territorial, que se encuentren dentro del perímetro urbano. Se excluyen de esta actividad los árboles ubicados en antejardines frente a los inmuebles los cuales serán responsabilidad de los propietarios de estos. </w:t>
      </w:r>
    </w:p>
    <w:p w14:paraId="6B8FFBA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DB7644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1°. Se exceptuarán la poda de árboles ubicados en las zonas de seguridad definidas por el Reglamento Técnico de Instalaciones Eléctricas (RETIE). </w:t>
      </w:r>
    </w:p>
    <w:p w14:paraId="4F8EF3C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A2BCA8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2°. Se excluyen de esta actividad la poda de los árboles ubicados en las rondas y zonas de manejo y preservación ambiental de quebradas, ríos, canales y en general de árboles plantados en sitios donde se adelanten obras en espacio público. </w:t>
      </w:r>
    </w:p>
    <w:p w14:paraId="3D065D3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832C03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También se excluye del alcance de esta actividad la tala de árboles, así como las labores de ornato y embellecimiento. </w:t>
      </w:r>
    </w:p>
    <w:p w14:paraId="39396780" w14:textId="7253C5CC"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717" w:name="ver_30075742"/>
      <w:bookmarkEnd w:id="1717"/>
    </w:p>
    <w:p w14:paraId="6A4462B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2.3.2.2.2.6.71. Normas de seguridad para la actividad de poda de árboles. La persona prestadora del servicio público de aseo deberá adoptar todas las medidas tendientes a evitar accidentes y molestias durante la ejecución de la poda de árboles. En este sentido adelantará las siguientes actividades: </w:t>
      </w:r>
    </w:p>
    <w:p w14:paraId="5C8B7EF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E93837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Información: Se colocará una valla informativa en el sitio del área a intervenir indicando el objeto de la labor, así como el nombre de la persona prestadora del servicio público de aseo, el número del teléfono de peticiones, quejas y recursos (línea de atención al cliente) y la página web en caso de contar con ella. </w:t>
      </w:r>
    </w:p>
    <w:p w14:paraId="2C26E74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B83B5F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Demarcación: Se hará mediante cinta para encerrar el área de trabajo con el fin de aislarla del tráfico vehicular y tránsito peatonal. Igualmente, se colocarán mallas de protección para prevenir accidentes. La colocación de la malla de protección no sustituirá la utilización de vallas de información. </w:t>
      </w:r>
    </w:p>
    <w:p w14:paraId="3AABE7C3" w14:textId="19DEC682"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718" w:name="ver_30075743"/>
      <w:bookmarkEnd w:id="1718"/>
    </w:p>
    <w:p w14:paraId="6FE6F18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2.3.2.2.2.6.72. Normas de seguridad para el operario en la actividad de poda de árboles. En la ejecución de esta actividad la persona prestadora deberá brindar las medidas de seguridad para preservar la integridad física del operario durante la realización de la labor de poda de árboles de acuerdo con las normas de seguridad industrial. </w:t>
      </w:r>
    </w:p>
    <w:p w14:paraId="09CD22D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DBE2E3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 persona prestadora del servicio público de aseo deberá capacitar a los operarios sobre las especificaciones y condiciones técnicas de la actividad y las normas de seguridad industrial que deben aplicarse. </w:t>
      </w:r>
    </w:p>
    <w:p w14:paraId="620E403F" w14:textId="40AAC56B"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719" w:name="ver_30075744"/>
      <w:bookmarkEnd w:id="1719"/>
    </w:p>
    <w:p w14:paraId="57C3953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2.3.2.2.2.6.73. Autorizaciones para las actividades de poda de árboles. Para la actividad de poda de árboles se deberán obtener las autorizaciones que establezca la respectiva autoridad competente. </w:t>
      </w:r>
    </w:p>
    <w:p w14:paraId="65940C8F" w14:textId="05B9879A" w:rsidR="00F74103"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720" w:name="ver_30075745"/>
      <w:bookmarkEnd w:id="1720"/>
    </w:p>
    <w:p w14:paraId="2E6A1D9F" w14:textId="2F1C23BE" w:rsidR="00FC79C1" w:rsidRPr="009342F9" w:rsidRDefault="00FC79C1" w:rsidP="00F74103">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SUBSECCIÓN 7</w:t>
      </w:r>
    </w:p>
    <w:p w14:paraId="37FF2E36" w14:textId="77777777" w:rsidR="00FC79C1" w:rsidRPr="009342F9" w:rsidRDefault="00FC79C1" w:rsidP="00F74103">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TRANSFERENCIAS</w:t>
      </w:r>
    </w:p>
    <w:p w14:paraId="539C921A"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721" w:name="ver_30075746"/>
      <w:bookmarkEnd w:id="1721"/>
    </w:p>
    <w:p w14:paraId="389DCA0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2.3.2.2.2.7.74. Utilización de estaciones de transferencia. Las personas prestadoras del servicio de aseo en las actividades de recolección y transporte deberán evaluar la conveniencia de utilizar estaciones de transferencia, como infraestructura para la prestación del servicio en los eventos en que la misma se constituya en una solución de costo mínimo, con el objetivo de incrementar eficiencia al optimizar costos de recolección racionalizando los recursos económicos, energéticos, con el fin de coadyuvar al logro de una mayor productividad de la mano de obra y del equipo utilizado, sin perjuicio de obtener previamente las autorizaciones ambientales a que haya lugar. </w:t>
      </w:r>
    </w:p>
    <w:p w14:paraId="2AA9540E" w14:textId="6301C2A2"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722" w:name="ver_30075747"/>
      <w:bookmarkEnd w:id="1722"/>
    </w:p>
    <w:p w14:paraId="3D0A6BF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2.3.2.2.2.7.75. Obligación de las entidades territoriales. Los municipios o distritos deberán definir las áreas donde es posible la localización y el funcionamiento de estaciones de transferencia de residuos sólidos de conformidad con los usos del suelo previstos en las normas de ordenamiento territorial. </w:t>
      </w:r>
    </w:p>
    <w:p w14:paraId="741BF89F" w14:textId="318A0660"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723" w:name="ver_30075748"/>
      <w:bookmarkEnd w:id="1723"/>
    </w:p>
    <w:p w14:paraId="701DED7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2.3.2.2.2.7.76. Instalación de estaciones de transferencia. Cuando se considere necesario ubicar una estación de transferencia la persona prestadora del servicio deberá realizar los estudios que incluyan la evaluación económica, técnica operativa, jurídica, comercial, financiera, institucional, sociocultural y de riesgos cumpliendo con la reglamentación técnica vigente para el sector y sin perjuicio de la obtención de las autorizaciones ambientales a que haya lugar. </w:t>
      </w:r>
    </w:p>
    <w:p w14:paraId="27F05D3E" w14:textId="06B06844"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724" w:name="ver_30075749"/>
      <w:bookmarkEnd w:id="1724"/>
    </w:p>
    <w:p w14:paraId="4B35E1F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2.3.2.2.2.7.77. Características de los vehículos de transferencia para transporte de residuos sólidos. Los vehículos empleados en la actividad de transporte a granel de los residuos sólidos deberán tener, entre otras las siguientes características: </w:t>
      </w:r>
    </w:p>
    <w:p w14:paraId="6D2AEE1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2FDB48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Ser motorizados, y estar claramente identificados (color, logotipos, placa de identificación, iconos informativos, entre otras características). </w:t>
      </w:r>
    </w:p>
    <w:p w14:paraId="7A02E7A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C7E826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Estar provistos de equipo de comunicaciones, el cual se utilizará para la logística y coordinación con las otras actividades del servicio. </w:t>
      </w:r>
    </w:p>
    <w:p w14:paraId="7C5DB03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w:t>
      </w:r>
    </w:p>
    <w:p w14:paraId="313DFF0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Podrán o no tener incorporados elementos de compactación de los residuos, lo cual dependerá de las condiciones operativas, la capacidad de la unidad de almacenamiento, las restricciones viales, las condiciones del cargue y descargue de los residuos y la naturaleza física y química de los mismos. </w:t>
      </w:r>
    </w:p>
    <w:p w14:paraId="326E843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4D4154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Cumplir con las normas vigentes para emisiones atmosféricas y ajustarse a los requerimientos de tránsito. </w:t>
      </w:r>
    </w:p>
    <w:p w14:paraId="67419EC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B74616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5. En caso de contar con equipos de compactación, estos deberán tener un sistema de parada de emergencia que detenga totalmente y de forma inmediata la operación </w:t>
      </w:r>
      <w:proofErr w:type="gramStart"/>
      <w:r w:rsidRPr="009342F9">
        <w:rPr>
          <w:rFonts w:ascii="Arial" w:eastAsia="Times New Roman" w:hAnsi="Arial" w:cs="Arial"/>
          <w:color w:val="000000"/>
          <w:lang w:eastAsia="es-CO"/>
        </w:rPr>
        <w:t>del mismo</w:t>
      </w:r>
      <w:proofErr w:type="gramEnd"/>
      <w:r w:rsidRPr="009342F9">
        <w:rPr>
          <w:rFonts w:ascii="Arial" w:eastAsia="Times New Roman" w:hAnsi="Arial" w:cs="Arial"/>
          <w:color w:val="000000"/>
          <w:lang w:eastAsia="es-CO"/>
        </w:rPr>
        <w:t>. </w:t>
      </w:r>
    </w:p>
    <w:p w14:paraId="1AC8851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9A71F7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6. Las unidades de almacenamiento de los vehículos destinados al transporte de los residuos sólidos, deberán ser estancos y permitir su cierre o cubierta, de manera que impidan la fuga y descarga en la vía pública de los líquidos (lixiviados) durante el transporte, evitar el arrastre y la dispersión de residuos, de material particulado y de olores, y deben contar con un dispositivo automático que permita una rápida acción de descarga en el sistema de disposición final. </w:t>
      </w:r>
    </w:p>
    <w:p w14:paraId="3B7017F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65332F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7. Posibilitar el cargue y el descargue de los residuos sólidos almacenados de forma tal que se evite la dispersión de estos y la emisión de partículas. </w:t>
      </w:r>
    </w:p>
    <w:p w14:paraId="50D82E3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070C13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8. Estar cubiertos durante el transporte, de manera que se reduzca el contacto con la lluvia y el viento y, se evite el esparcimiento y el impacto negativo visual y estético. </w:t>
      </w:r>
    </w:p>
    <w:p w14:paraId="50B0B29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5C04EB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9. Las especificaciones de los vehículos deberán corresponder a la capacidad y dimensión de las vías públicas. </w:t>
      </w:r>
    </w:p>
    <w:p w14:paraId="5D9929C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7E4D34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10. Cumplir con las especificaciones técnicas existentes para no afectar la salud ocupacional de los conductores y operarios. </w:t>
      </w:r>
    </w:p>
    <w:p w14:paraId="008AC4D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6ADD80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11. Estar dotados con los equipos de carretera y de atención de incendios. </w:t>
      </w:r>
    </w:p>
    <w:p w14:paraId="3645444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A5A5FB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12. Estar dotados de dispositivos de control de ruido. </w:t>
      </w:r>
    </w:p>
    <w:p w14:paraId="1817DC1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662E63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Las personas prestadoras del servicio público de aseo deben determinar el número mínimo de vehículos con la capacidad de carga y compactación necesarias para el transporte a granel de los residuos transferidos. La transferencia debe garantizar que los residuos se puedan transportar en la jornada laboral sin permitir que se acumulen y se generen focos de contaminación y perturbación del bienestar ciudadano. </w:t>
      </w:r>
    </w:p>
    <w:p w14:paraId="209E11C0" w14:textId="389B367A" w:rsidR="00FC79C1" w:rsidRPr="009342F9" w:rsidRDefault="00FC79C1" w:rsidP="000443A9">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1225876" w14:textId="77777777" w:rsidR="00F74103" w:rsidRPr="009342F9" w:rsidRDefault="00F74103" w:rsidP="00FC79C1">
      <w:pPr>
        <w:spacing w:after="0" w:line="240" w:lineRule="auto"/>
        <w:jc w:val="both"/>
        <w:rPr>
          <w:rFonts w:ascii="Arial" w:eastAsia="Times New Roman" w:hAnsi="Arial" w:cs="Arial"/>
          <w:color w:val="000000"/>
          <w:lang w:eastAsia="es-CO"/>
        </w:rPr>
      </w:pPr>
      <w:bookmarkStart w:id="1725" w:name="ver_30075750"/>
      <w:bookmarkEnd w:id="1725"/>
    </w:p>
    <w:p w14:paraId="6B1BA6D3" w14:textId="7BB2B04C" w:rsidR="00FC79C1" w:rsidRPr="009342F9" w:rsidRDefault="00FC79C1" w:rsidP="00F74103">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SUBSECCIÓN 8</w:t>
      </w:r>
    </w:p>
    <w:p w14:paraId="1EDBCFB6" w14:textId="77777777" w:rsidR="00FC79C1" w:rsidRPr="009342F9" w:rsidRDefault="00FC79C1" w:rsidP="00F74103">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RECOLECCIÓN Y TRANSPORTE SELECTIVO DE RESIDUOS</w:t>
      </w:r>
    </w:p>
    <w:p w14:paraId="71BC31AF" w14:textId="77777777" w:rsidR="00FC79C1" w:rsidRPr="009342F9" w:rsidRDefault="00FC79C1" w:rsidP="00F74103">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PARA APROVECHAMIENTO</w:t>
      </w:r>
    </w:p>
    <w:p w14:paraId="5BCB0C18"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726" w:name="ver_30075751"/>
      <w:bookmarkEnd w:id="1726"/>
    </w:p>
    <w:p w14:paraId="179BE8E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2.3.2.2.2.8.78. Recolección y transporte de residuos para aprovechamiento como actividad complementaria del servicio público de aseo. Son el conjunto de actividades complementarias de aseo realizada por la persona prestadora del servicio público, dirigidas a efectuar la recolección de los residuos sólidos de manera separada para su transporte hasta las estaciones de clasificación y aprovechamiento o a las plantas de aprovechamiento. </w:t>
      </w:r>
    </w:p>
    <w:p w14:paraId="5343E81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F2BE7A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Parágrafo. La Comisión de Regulación de Agua Potable y Saneamiento Básico establecerá la forma de remuneración de la actividad de recolección, transporte selectivo y clasificación de residuos aprovechables. </w:t>
      </w:r>
    </w:p>
    <w:p w14:paraId="65193275" w14:textId="583082B4"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727" w:name="ver_30075752"/>
      <w:bookmarkEnd w:id="1727"/>
    </w:p>
    <w:p w14:paraId="12B1B19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2.3.2.2.2.8.79. Características de los vehículos de recolección selectiva. Los vehículos empleados en la recolección y transporte de residuos aprovechables deberán tener entre otras, las siguientes características: </w:t>
      </w:r>
    </w:p>
    <w:p w14:paraId="45F67D5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C3449A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Pueden contar con equipos para compactar algunas fracciones de los materiales recolectados dependiendo de su naturaleza. En caso de contar con tales equipos, estos deberán tener un sistema de emergencia que detenga de forma inmediata la operación de compactación. </w:t>
      </w:r>
    </w:p>
    <w:p w14:paraId="1CF96E1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80168E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Los vehículos de transporte deberán ser motorizados, y estar claramente identificados (color, logotipos, placa de identificación, iconos informativos que indiquen que se transportan materiales para aprovechamiento, entre otras características). </w:t>
      </w:r>
    </w:p>
    <w:p w14:paraId="592366F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E32499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Los vehículos y/o el personal operativo deberán estar provistos de equipo de comunicaciones, el cual se utilizará para la logística y coordinación con las otras actividades del servicio. </w:t>
      </w:r>
    </w:p>
    <w:p w14:paraId="2A3E8F6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D10694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Los vehículos deberán cumplir con las normas vigentes para emisiones atmosféricas y ajustarse a los requerimientos de tránsito. </w:t>
      </w:r>
    </w:p>
    <w:p w14:paraId="39A413E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69D2EF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 Las unidades de almacenamiento de los vehículos destinados al transporte de fracciones de residuos sólidos orgánicos biodegradables deberán tener depósitos estancos y permitir su cierre o cubierta, de manera que impidan la fuga y descarga en la vía pública de los líquidos resultantes, el arrastre y la dispersión de residuos de material particulado y de olores. Deben contar con un mecanismo que permita una rápida acción de descarga para los lixiviados en los sitios dispuestos para tal fin, cuando se trate del transporte de residuos orgánicos. </w:t>
      </w:r>
    </w:p>
    <w:p w14:paraId="372042C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BADAB5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6. Los equipos deberán posibilitar el cargue y el descargue de los residuos sólidos almacenados de forma tal que se evite la dispersión de estos y la emisión de partículas. </w:t>
      </w:r>
    </w:p>
    <w:p w14:paraId="009348E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D5FA79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7. Los vehículos deberán estar cubiertos durante el transporte, de manera que se reduzca el contacto con la lluvia y el viento y se evite el esparcimiento y el impacto negativo visual y estético. </w:t>
      </w:r>
    </w:p>
    <w:p w14:paraId="49AD537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9684BD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8. Las especificaciones de los vehículos deberán corresponder a la capacidad y dimensión de las vías públicas. </w:t>
      </w:r>
    </w:p>
    <w:p w14:paraId="5131870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415621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9. Deberán cumplir con las especificaciones técnicas existentes para no afectar la salud ocupacional de los conductores y operarios. </w:t>
      </w:r>
    </w:p>
    <w:p w14:paraId="7362058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27B8E0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10. Deberán estar dotados con los equipos de carretera y de atención de incendios. </w:t>
      </w:r>
    </w:p>
    <w:p w14:paraId="29043EA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2E3F7D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11. Deberán estar dotados de balizas o luces de tipo estroboscópico, ubicadas una sobre la cabina, así como de luces en la parte trasera del vehículo. Estarán dotados de elementos complementarios tales como cepillos, escobas y palas para efectuar la limpieza de la vía pública en los casos de dispersión de residuos durante la operación de recolección, de forma </w:t>
      </w:r>
      <w:proofErr w:type="gramStart"/>
      <w:r w:rsidRPr="009342F9">
        <w:rPr>
          <w:rFonts w:ascii="Arial" w:eastAsia="Times New Roman" w:hAnsi="Arial" w:cs="Arial"/>
          <w:color w:val="000000"/>
          <w:lang w:eastAsia="es-CO"/>
        </w:rPr>
        <w:t>que</w:t>
      </w:r>
      <w:proofErr w:type="gramEnd"/>
      <w:r w:rsidRPr="009342F9">
        <w:rPr>
          <w:rFonts w:ascii="Arial" w:eastAsia="Times New Roman" w:hAnsi="Arial" w:cs="Arial"/>
          <w:color w:val="000000"/>
          <w:lang w:eastAsia="es-CO"/>
        </w:rPr>
        <w:t xml:space="preserve"> una vez realizada la recolección, no queden residuos diseminados en la vía pública. </w:t>
      </w:r>
    </w:p>
    <w:p w14:paraId="1EA7B9E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394127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12. Los equipos destinados a la recolección deberán tener estribos con superficies antideslizantes, y manijas adecuadas para sujetarse de tal forma que el personal pueda transportarse momentáneamente en forma segura. </w:t>
      </w:r>
    </w:p>
    <w:p w14:paraId="029410A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54FB8D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Parágrafo. El transporte de residuos aprovechables en vehículos motorizados podrá combinarse con vehículos de tracción humana para el desarrollo de las </w:t>
      </w:r>
      <w:proofErr w:type="spellStart"/>
      <w:r w:rsidRPr="009342F9">
        <w:rPr>
          <w:rFonts w:ascii="Arial" w:eastAsia="Times New Roman" w:hAnsi="Arial" w:cs="Arial"/>
          <w:color w:val="000000"/>
          <w:lang w:eastAsia="es-CO"/>
        </w:rPr>
        <w:t>microrrutas</w:t>
      </w:r>
      <w:proofErr w:type="spellEnd"/>
      <w:r w:rsidRPr="009342F9">
        <w:rPr>
          <w:rFonts w:ascii="Arial" w:eastAsia="Times New Roman" w:hAnsi="Arial" w:cs="Arial"/>
          <w:color w:val="000000"/>
          <w:lang w:eastAsia="es-CO"/>
        </w:rPr>
        <w:t xml:space="preserve"> de recolección. </w:t>
      </w:r>
    </w:p>
    <w:p w14:paraId="180C340A" w14:textId="34222309" w:rsidR="00FC79C1" w:rsidRPr="009342F9" w:rsidRDefault="00FC79C1" w:rsidP="00FC79C1">
      <w:pPr>
        <w:spacing w:after="0" w:line="240" w:lineRule="auto"/>
        <w:jc w:val="both"/>
        <w:rPr>
          <w:rFonts w:ascii="Arial" w:eastAsia="Times New Roman" w:hAnsi="Arial" w:cs="Arial"/>
          <w:color w:val="000000"/>
          <w:lang w:eastAsia="es-CO"/>
        </w:rPr>
      </w:pPr>
      <w:bookmarkStart w:id="1728" w:name="ver_30110812"/>
      <w:bookmarkStart w:id="1729" w:name="ver_30110809"/>
      <w:bookmarkEnd w:id="1728"/>
      <w:r w:rsidRPr="009342F9">
        <w:rPr>
          <w:rFonts w:ascii="Arial" w:eastAsia="Times New Roman" w:hAnsi="Arial" w:cs="Arial"/>
          <w:color w:val="000000"/>
          <w:lang w:eastAsia="es-CO"/>
        </w:rPr>
        <w:t>Artículo 2.3.2.2.2.8.80.</w:t>
      </w:r>
      <w:r w:rsidR="00452CA3">
        <w:rPr>
          <w:rFonts w:ascii="Arial" w:eastAsia="Times New Roman" w:hAnsi="Arial" w:cs="Arial"/>
          <w:color w:val="000000"/>
          <w:lang w:eastAsia="es-CO"/>
        </w:rPr>
        <w:t xml:space="preserve"> </w:t>
      </w:r>
      <w:r w:rsidRPr="009342F9">
        <w:rPr>
          <w:rFonts w:ascii="Arial" w:eastAsia="Times New Roman" w:hAnsi="Arial" w:cs="Arial"/>
          <w:color w:val="000000"/>
          <w:lang w:eastAsia="es-CO"/>
        </w:rPr>
        <w:t>Recolección, transbordo y transporte de residuos sólidos aprovechables. En la recolección y transporte de residuos aprovechables se tendrá en cuenta como mínimo: </w:t>
      </w:r>
    </w:p>
    <w:p w14:paraId="2735147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A5FC35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La persona prestadora del servicio público de aseo en la actividad de aprovechamiento establecerá de acuerdo con el Plan de Gestión Integral de Residuos Sólidos (PGIRS) las frecuencias, horarios y formas de presentación para la recolección de los residuos sólidos aprovechables, las cuales y en todo caso podrá coordinarlas con la persona prestadora de la actividad de recolección y transporte de residuos sólidos no aprovechables con el fin de hacer más eficiente la prestación del servicio. </w:t>
      </w:r>
    </w:p>
    <w:p w14:paraId="06D6E3B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CE9980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La recolección de residuos sólidos aprovechables puede efectuarse a partir de la acera, o de unidades y cajas de almacenamiento o cualquier sistema alternativo que garantice la recolección y el mantenimiento de sus características. En todo caso, durante la recolección se deberá mantener la condición de limpieza del área, evitando derrames y esparcimientos de residuos sólidos y líquidos. </w:t>
      </w:r>
    </w:p>
    <w:p w14:paraId="287AFEA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187C43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En el caso en el cual el transporte de residuos sólidos aprovechables se combine con vehículos de tracción humana, se podrá hacer trasbordo a vehículos motorizados únicamente en los sitios que la entidad territorial determine en el respectivo Plan de Gestión Integral de Residuos Sólidos (PGIRS), sin generar afectaciones a la comunidad o al entorno, ni la libre circulación vehicular y peatonal. </w:t>
      </w:r>
    </w:p>
    <w:p w14:paraId="207EC49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A48126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El transbordo se deberá realizar en áreas alejadas de hospitales, bibliotecas, parques, hogares geriátricos, guarderías, colegios, zonas residenciales o exclusivamente destinadas para desarrollo habitacional, hotelería y hospedajes. </w:t>
      </w:r>
    </w:p>
    <w:p w14:paraId="79F6821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0EA48B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El trasbordo se deberá realizar directamente del vehículo de tracción humana al vehículo motorizado, teniendo en cuenta que la clasificación se debe hacer en las Estaciones de Clasificación y Aprovechamiento (ECA). </w:t>
      </w:r>
    </w:p>
    <w:p w14:paraId="36F42E2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09C802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Una vez terminada la labor, el sitio deberá quedar libre de equipos de recolección, herramientas y cualquier tipo de material. </w:t>
      </w:r>
    </w:p>
    <w:p w14:paraId="1EEDAE5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F4511D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1°. En consideración a que el transbordo de residuos sólidos aprovechables puede realizarse en espacio público de acuerdo con lo determinado por el Plan de Gestión Integral de Residuos Sólidos (PGIRS), en caso de incumplimiento de lo aquí dispuesto, se aplicarán las sanciones y acciones legales a que haya lugar. </w:t>
      </w:r>
    </w:p>
    <w:p w14:paraId="1C278A6E"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730" w:name="ver_30075754"/>
      <w:bookmarkEnd w:id="1729"/>
      <w:bookmarkEnd w:id="1730"/>
    </w:p>
    <w:p w14:paraId="33F658C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2.3.2.2.2.8.81. Propósitos del aprovechamiento. El aprovechamiento de los materiales contenidos en los residuos </w:t>
      </w:r>
      <w:proofErr w:type="gramStart"/>
      <w:r w:rsidRPr="009342F9">
        <w:rPr>
          <w:rFonts w:ascii="Arial" w:eastAsia="Times New Roman" w:hAnsi="Arial" w:cs="Arial"/>
          <w:color w:val="000000"/>
          <w:lang w:eastAsia="es-CO"/>
        </w:rPr>
        <w:t>sólidos,</w:t>
      </w:r>
      <w:proofErr w:type="gramEnd"/>
      <w:r w:rsidRPr="009342F9">
        <w:rPr>
          <w:rFonts w:ascii="Arial" w:eastAsia="Times New Roman" w:hAnsi="Arial" w:cs="Arial"/>
          <w:color w:val="000000"/>
          <w:lang w:eastAsia="es-CO"/>
        </w:rPr>
        <w:t xml:space="preserve"> tiene como propósitos fundamentales: </w:t>
      </w:r>
    </w:p>
    <w:p w14:paraId="0CB8BAB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5DEB71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Racionalizar el uso y consumo de las materias primas provenientes de los recursos naturales. </w:t>
      </w:r>
    </w:p>
    <w:p w14:paraId="6C2306A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6C34D4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2. Recuperar valores económicos y energéticos que hayan sido utilizados en los diferentes procesos productivos. </w:t>
      </w:r>
    </w:p>
    <w:p w14:paraId="5D79369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E306B3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Disminuir el consumo de energía en los procesos productivos que utilizan materiales reciclados. </w:t>
      </w:r>
    </w:p>
    <w:p w14:paraId="728D07F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776C44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Aumentar la vida útil de los rellenos sanitarios al reducir la cantidad de residuos a disponer finalmente en forma adecuada. </w:t>
      </w:r>
    </w:p>
    <w:p w14:paraId="1253B67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08C170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 Reducir el caudal y la carga contaminante de lixiviados en el relleno sanitario, especialmente cuando se aprovechan residuos orgánicos. </w:t>
      </w:r>
    </w:p>
    <w:p w14:paraId="095C1D9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DE71C1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6. Disminuir los impactos ambientales, tanto por demanda y uso de materias primas como por los procesos de disposición final. </w:t>
      </w:r>
    </w:p>
    <w:p w14:paraId="162D851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B57519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7. Garantizar la participación de los recicladores de oficio, en las actividades de recuperación y aprovechamiento, con el fin de consolidar productivamente estas actividades y mejorar sus condiciones de vida. </w:t>
      </w:r>
    </w:p>
    <w:p w14:paraId="4A2320DB" w14:textId="242FC1C1"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731" w:name="ver_30110816"/>
      <w:bookmarkStart w:id="1732" w:name="ver_30110814"/>
      <w:bookmarkEnd w:id="1731"/>
    </w:p>
    <w:p w14:paraId="40B05118" w14:textId="1CA6E70A"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2.3.2.2.2.8.82.</w:t>
      </w:r>
      <w:r w:rsidR="00452CA3">
        <w:rPr>
          <w:rFonts w:ascii="Arial" w:eastAsia="Times New Roman" w:hAnsi="Arial" w:cs="Arial"/>
          <w:color w:val="000000"/>
          <w:lang w:eastAsia="es-CO"/>
        </w:rPr>
        <w:t xml:space="preserve"> </w:t>
      </w:r>
      <w:r w:rsidRPr="009342F9">
        <w:rPr>
          <w:rFonts w:ascii="Arial" w:eastAsia="Times New Roman" w:hAnsi="Arial" w:cs="Arial"/>
          <w:color w:val="000000"/>
          <w:lang w:eastAsia="es-CO"/>
        </w:rPr>
        <w:t>Requerimientos de los residuos sólidos para el aprovechamiento. En las actividades de aprovechamiento, los residuos deben cumplir por lo menos con los siguientes criterios básicos y requerimientos, para que los métodos de aprovechamiento se realicen en forma óptima:  </w:t>
      </w:r>
    </w:p>
    <w:p w14:paraId="4723CFE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3EB7DA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Los residuos sólidos deben estar debidamente separados por tipo de material, de acuerdo con los lineamientos establecidos en el Plan de Gestión Integral de Residuos Sólidos (PGIRS) o en su defecto sujetándose a lo establecido en el programa de prestación por la persona prestadora de la actividad de aprovechamiento.  </w:t>
      </w:r>
    </w:p>
    <w:p w14:paraId="3C40340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617D70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No deben estar contaminados con residuos peligrosos, metales pesados, ni bifenilos policlorados.  </w:t>
      </w:r>
    </w:p>
    <w:p w14:paraId="5BA0875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87450F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En el caso de las fracciones de residuos sólidos orgánicos biodegradables, el almacenamiento temporal no puede superar las cuarenta y ocho (48) horas”. </w:t>
      </w:r>
    </w:p>
    <w:p w14:paraId="0C8B0F35"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733" w:name="ver_30075756"/>
      <w:bookmarkEnd w:id="1732"/>
      <w:bookmarkEnd w:id="1733"/>
    </w:p>
    <w:p w14:paraId="4DD32CB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2.3.2.2.2.8.83. Almacenamiento de materiales aprovechables. El almacenamiento de los materiales aprovechables deberá realizarse de tal manera, que no se deteriore su calidad ni se pierda su valor. Los residuos sólidos aprovechables separados en la </w:t>
      </w:r>
      <w:proofErr w:type="gramStart"/>
      <w:r w:rsidRPr="009342F9">
        <w:rPr>
          <w:rFonts w:ascii="Arial" w:eastAsia="Times New Roman" w:hAnsi="Arial" w:cs="Arial"/>
          <w:color w:val="000000"/>
          <w:lang w:eastAsia="es-CO"/>
        </w:rPr>
        <w:t>fuente,</w:t>
      </w:r>
      <w:proofErr w:type="gramEnd"/>
      <w:r w:rsidRPr="009342F9">
        <w:rPr>
          <w:rFonts w:ascii="Arial" w:eastAsia="Times New Roman" w:hAnsi="Arial" w:cs="Arial"/>
          <w:color w:val="000000"/>
          <w:lang w:eastAsia="es-CO"/>
        </w:rPr>
        <w:t xml:space="preserve"> deben almacenarse de manera que no afecten el entorno físico, la salud humana y la seguridad; por lo tanto, deben controlarse los vectores, olores, explosiones y fuentes de llama o chispas que puedan generar incendios. Los lugares de almacenamiento deben salvaguardar las características físicas y químicas de los residuos sólidos allí depositados. Se deben almacenar bajo condiciones seguras dependiendo de sus características. Los materiales reciclables inorgánicos pueden almacenarse en altura. </w:t>
      </w:r>
    </w:p>
    <w:p w14:paraId="346F8307" w14:textId="6832BF54"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734" w:name="ver_30075757"/>
      <w:bookmarkEnd w:id="1734"/>
    </w:p>
    <w:p w14:paraId="35027AB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2.3.2.2.2.8.84. Compactación o densificación de materiales aprovechables. En las instalaciones de almacenamiento se podrá incrementar la densidad de los residuos sólidos, ya sea para reducir las necesidades de almacenamiento o para la reducción del volumen para el transporte, con los equipos tecnológicos disponibles en el mercado. </w:t>
      </w:r>
    </w:p>
    <w:p w14:paraId="4A38F737" w14:textId="313200F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735" w:name="ver_30075758"/>
      <w:bookmarkEnd w:id="1735"/>
    </w:p>
    <w:p w14:paraId="0670D06D" w14:textId="77777777" w:rsidR="00FC79C1" w:rsidRPr="009342F9" w:rsidRDefault="00FC79C1" w:rsidP="00FC79C1">
      <w:pPr>
        <w:spacing w:after="0" w:line="240" w:lineRule="auto"/>
        <w:jc w:val="both"/>
        <w:rPr>
          <w:rFonts w:ascii="Arial" w:eastAsia="Times New Roman" w:hAnsi="Arial" w:cs="Arial"/>
          <w:color w:val="000000"/>
          <w:lang w:eastAsia="es-CO"/>
        </w:rPr>
      </w:pPr>
      <w:r w:rsidRPr="231E957E">
        <w:rPr>
          <w:rFonts w:ascii="Arial" w:eastAsia="Times New Roman" w:hAnsi="Arial" w:cs="Arial"/>
          <w:color w:val="000000" w:themeColor="text1"/>
          <w:lang w:eastAsia="es-CO"/>
        </w:rPr>
        <w:lastRenderedPageBreak/>
        <w:t>Artículo 2.3.2.2.2.8.85. Sistemas de aprovechamiento y valorización regionales. Los municipios o distritos como responsables de asegurar la prestación del servicio público de aseo, y las personas prestadoras del servicio y/o los recicladores de oficio debidamente formalizados pueden optar por establecer sistemas de aprovechamiento de residuos de carácter regional incorporando la gestión de residuos aprovechables provenientes de varios municipios. </w:t>
      </w:r>
    </w:p>
    <w:p w14:paraId="1D561358" w14:textId="42D5AEC9" w:rsidR="00452CA3" w:rsidRPr="009342F9" w:rsidRDefault="00FC79C1" w:rsidP="000443A9">
      <w:pPr>
        <w:spacing w:after="0" w:line="240" w:lineRule="auto"/>
        <w:jc w:val="both"/>
        <w:rPr>
          <w:rFonts w:ascii="Arial" w:eastAsia="Times New Roman" w:hAnsi="Arial" w:cs="Arial"/>
          <w:b/>
          <w:bCs/>
          <w:color w:val="000000"/>
          <w:lang w:eastAsia="es-CO"/>
        </w:rPr>
      </w:pPr>
      <w:r w:rsidRPr="009342F9">
        <w:rPr>
          <w:rFonts w:ascii="Arial" w:eastAsia="Times New Roman" w:hAnsi="Arial" w:cs="Arial"/>
          <w:color w:val="000000"/>
          <w:lang w:eastAsia="es-CO"/>
        </w:rPr>
        <w:t>  </w:t>
      </w:r>
      <w:bookmarkStart w:id="1736" w:name="ver_30075759"/>
      <w:bookmarkEnd w:id="1736"/>
    </w:p>
    <w:p w14:paraId="4CA16336" w14:textId="6DA85C4A" w:rsidR="00FC79C1" w:rsidRPr="009342F9" w:rsidRDefault="00FC79C1" w:rsidP="00F74103">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SUBSECCIÓN 9</w:t>
      </w:r>
    </w:p>
    <w:p w14:paraId="6667FE55" w14:textId="77777777" w:rsidR="00FC79C1" w:rsidRPr="009342F9" w:rsidRDefault="00FC79C1" w:rsidP="00F74103">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ESTACIONES DE CLASIFICACIÓN Y APROVECHAMIENTO</w:t>
      </w:r>
    </w:p>
    <w:p w14:paraId="3E94FC6A"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737" w:name="ver_30110820"/>
      <w:bookmarkStart w:id="1738" w:name="ver_30110818"/>
      <w:bookmarkEnd w:id="1737"/>
    </w:p>
    <w:p w14:paraId="74A439CF" w14:textId="0A30D5D6"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2.3.2.2.2.9.86.</w:t>
      </w:r>
      <w:r w:rsidR="00452CA3">
        <w:rPr>
          <w:rFonts w:ascii="Arial" w:eastAsia="Times New Roman" w:hAnsi="Arial" w:cs="Arial"/>
          <w:color w:val="000000"/>
          <w:lang w:eastAsia="es-CO"/>
        </w:rPr>
        <w:t xml:space="preserve"> </w:t>
      </w:r>
      <w:r w:rsidRPr="009342F9">
        <w:rPr>
          <w:rFonts w:ascii="Arial" w:eastAsia="Times New Roman" w:hAnsi="Arial" w:cs="Arial"/>
          <w:color w:val="000000"/>
          <w:lang w:eastAsia="es-CO"/>
        </w:rPr>
        <w:t>Requisitos mínimos para las Estaciones de Clasificación y Aprovechamiento (ECA). Las estaciones de clasificación y aprovechamiento deberán cumplir como mínimo con los siguientes requisitos: </w:t>
      </w:r>
    </w:p>
    <w:p w14:paraId="5B4AA91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A45D0F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Contar con el uso del suelo compatible con la actividad. </w:t>
      </w:r>
    </w:p>
    <w:p w14:paraId="436E660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D4BF8C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Contar con una zona operativa y de almacenamiento de materiales cubierta y con cerramiento físico con el fin de prevenir o mitigar los impactos sobre el área de influencia. </w:t>
      </w:r>
    </w:p>
    <w:p w14:paraId="6693978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729CAF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Contar con el respectivo diagrama de flujo del proceso incluidos la recepción, pesaje y registro. </w:t>
      </w:r>
    </w:p>
    <w:p w14:paraId="295C88A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DF2379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Contar con medidas de seguridad industrial. </w:t>
      </w:r>
    </w:p>
    <w:p w14:paraId="304C8BE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39FFF2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 Contar con áreas para: </w:t>
      </w:r>
    </w:p>
    <w:p w14:paraId="2C0C33A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B26D8F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Administración </w:t>
      </w:r>
    </w:p>
    <w:p w14:paraId="4C5DB41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1D30A6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Recepción </w:t>
      </w:r>
    </w:p>
    <w:p w14:paraId="5843242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2CDD27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Pesaje </w:t>
      </w:r>
    </w:p>
    <w:p w14:paraId="4D10F0B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DEF2DC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Selección y clasificación </w:t>
      </w:r>
    </w:p>
    <w:p w14:paraId="7BBC76A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820971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Almacenamiento temporal de materiales aprovechables </w:t>
      </w:r>
    </w:p>
    <w:p w14:paraId="655156F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C83685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Almacenamiento temporal para materiales de rechazo incluidos aquellos de rápida biodegradación. </w:t>
      </w:r>
    </w:p>
    <w:p w14:paraId="5846236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5C7F10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6. Contar con instrumentos de pesaje debidamente calibrados de acuerdo con lo dispuesto en el Decreto número 1074 de 2015 “por medio del cual se expide el Decreto Único Reglamentario del Sector Comercio, Industria y Turismo”. </w:t>
      </w:r>
    </w:p>
    <w:p w14:paraId="327609C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5631E7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7. Contar con un sistema de control de emisión de olores. </w:t>
      </w:r>
    </w:p>
    <w:p w14:paraId="7695AED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7629ED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8. Contar con un sistema de prevención y control de incendios. </w:t>
      </w:r>
    </w:p>
    <w:p w14:paraId="4D7390D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5895F6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9. Contar con sistemas de drenaje para las aguas lluvias y escorrentía subsuperficial. </w:t>
      </w:r>
    </w:p>
    <w:p w14:paraId="621EBD1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04871F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10. Contar con sistema de recolección y tratamiento de lixiviados cuando sea del caso. </w:t>
      </w:r>
    </w:p>
    <w:p w14:paraId="064A134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2D2B49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11. Contar con pisos rígidos y las paredes que permitan su aseo, desinfección periódica y mantenimiento mediante el lavado. </w:t>
      </w:r>
    </w:p>
    <w:p w14:paraId="4866828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w:t>
      </w:r>
    </w:p>
    <w:p w14:paraId="1FAA836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12. Estar vinculado al servicio público de aseo como usuario, para efectos de la presentación y entrega de rechazos con destino a disposición final. </w:t>
      </w:r>
    </w:p>
    <w:p w14:paraId="6B800B1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A374BA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Ninguna autoridad podrá imponer obligaciones adicionales a las establecidas en el presente decreto para la operación de las Estaciones de Clasificación y Aprovechamiento (ECA)”. </w:t>
      </w:r>
    </w:p>
    <w:p w14:paraId="456128FF" w14:textId="77777777" w:rsidR="00FC79C1" w:rsidRPr="009342F9" w:rsidRDefault="00FC79C1" w:rsidP="00F74103">
      <w:pPr>
        <w:spacing w:after="0" w:line="240" w:lineRule="auto"/>
        <w:jc w:val="center"/>
        <w:rPr>
          <w:rFonts w:ascii="Arial" w:eastAsia="Times New Roman" w:hAnsi="Arial" w:cs="Arial"/>
          <w:b/>
          <w:bCs/>
          <w:color w:val="000000"/>
          <w:lang w:eastAsia="es-CO"/>
        </w:rPr>
      </w:pPr>
    </w:p>
    <w:p w14:paraId="3B6E95C7" w14:textId="77777777" w:rsidR="00FC79C1" w:rsidRPr="009342F9" w:rsidRDefault="00FC79C1" w:rsidP="00F74103">
      <w:pPr>
        <w:spacing w:after="0" w:line="240" w:lineRule="auto"/>
        <w:jc w:val="center"/>
        <w:rPr>
          <w:rFonts w:ascii="Arial" w:eastAsia="Times New Roman" w:hAnsi="Arial" w:cs="Arial"/>
          <w:b/>
          <w:bCs/>
          <w:color w:val="000000"/>
          <w:lang w:eastAsia="es-CO"/>
        </w:rPr>
      </w:pPr>
      <w:bookmarkStart w:id="1739" w:name="ver_30075761"/>
      <w:bookmarkEnd w:id="1738"/>
      <w:bookmarkEnd w:id="1739"/>
      <w:r w:rsidRPr="009342F9">
        <w:rPr>
          <w:rFonts w:ascii="Arial" w:eastAsia="Times New Roman" w:hAnsi="Arial" w:cs="Arial"/>
          <w:b/>
          <w:bCs/>
          <w:color w:val="000000"/>
          <w:lang w:eastAsia="es-CO"/>
        </w:rPr>
        <w:t>SECCIÓN 3</w:t>
      </w:r>
    </w:p>
    <w:p w14:paraId="1C74D6A6" w14:textId="77777777" w:rsidR="00FC79C1" w:rsidRPr="009342F9" w:rsidRDefault="00FC79C1" w:rsidP="00F74103">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GESTIÓN INTEGRAL DE LOS RESIDUOS SÓLIDOS</w:t>
      </w:r>
    </w:p>
    <w:p w14:paraId="495B7299"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740" w:name="ver_30075762"/>
      <w:bookmarkEnd w:id="1740"/>
    </w:p>
    <w:p w14:paraId="54483EA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2.3.2.2.3.87. Plan para la gestión integral de residuos sólidos, PGIRS. Los municipios y </w:t>
      </w:r>
      <w:proofErr w:type="gramStart"/>
      <w:r w:rsidRPr="009342F9">
        <w:rPr>
          <w:rFonts w:ascii="Arial" w:eastAsia="Times New Roman" w:hAnsi="Arial" w:cs="Arial"/>
          <w:color w:val="000000"/>
          <w:lang w:eastAsia="es-CO"/>
        </w:rPr>
        <w:t>distritos,</w:t>
      </w:r>
      <w:proofErr w:type="gramEnd"/>
      <w:r w:rsidRPr="009342F9">
        <w:rPr>
          <w:rFonts w:ascii="Arial" w:eastAsia="Times New Roman" w:hAnsi="Arial" w:cs="Arial"/>
          <w:color w:val="000000"/>
          <w:lang w:eastAsia="es-CO"/>
        </w:rPr>
        <w:t xml:space="preserve"> deberán elaborar, implementar y mantener actualizado un plan municipal o distrital para la gestión integral de residuos o desechos sólidos en el ámbito local y/o regional según el caso, en el marco de la gestión integral de los residuos, el presente decreto y la metodología para la elaboración de los PGIRS. </w:t>
      </w:r>
    </w:p>
    <w:p w14:paraId="7299970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9434D5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El PGIRS deberá incorporar y fortalecer de manera permanente y progresiva las acciones afirmativas a favor de la población recicladora. </w:t>
      </w:r>
    </w:p>
    <w:p w14:paraId="75FA06B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3E1C3E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Así mismo, el PGIRS tendrá en cuenta entre otros, los siguientes lineamientos estratégicos: </w:t>
      </w:r>
    </w:p>
    <w:p w14:paraId="57261C5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C1AD74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Reducción en el origen: Implica acciones orientadas a promover cambios en el consumo de bienes y servicios para reducir la cantidad de residuos generados por parte de los usuarios. Incluye el desarrollo de acciones que fomenten el ecodiseño de productos y empaques que faciliten su reutilización o aprovechamiento, la optimización de los procesos productivos, el desarrollo de programas y proyectos de sensibilización, educación y capacitación. </w:t>
      </w:r>
    </w:p>
    <w:p w14:paraId="5CC1A12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B5101D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Aprovechamiento: Implica el desarrollo de proyectos de aprovechamiento de residuos para su incorporación en el ciclo productivo con viabilidad social, económica y financiera que garanticen su sostenibilidad en el tiempo y evaluables a través del establecimiento de metas por parte del municipio o distrito. </w:t>
      </w:r>
    </w:p>
    <w:p w14:paraId="3DC1057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0FBE7C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Disposición final de los residuos generados que no puedan ser aprovechados. </w:t>
      </w:r>
    </w:p>
    <w:p w14:paraId="4AF7513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CF3DDB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 implementación de los programas y proyectos establecidos en el PGIRS deberá incorporarse en los planes de desarrollo del nivel municipal y/o distrital y con la asignación de los recursos correspondientes. </w:t>
      </w:r>
    </w:p>
    <w:p w14:paraId="028C649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EFB721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 formulación e implementación del Plan para la Gestión Integral de Residuos Sólidos, PGIRS, estará en consonancia con lo dispuesto en los planes de ordenamiento territorial y lo establecido en este decreto. La revisión y actualización es obligatoria y deberá realizarse dentro de los doce (12) meses siguientes al inicio del período constitucional del alcalde distrital o municipal. </w:t>
      </w:r>
    </w:p>
    <w:p w14:paraId="6F54742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5FA16C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1°. En los estudios de factibilidad para la elaboración del Plan de Gestión Integral de los Residuos Sólidos, las autoridades distritales y municipales deberán garantizar la participación de los recicladores de oficio en la formulación, implementación y actualización. </w:t>
      </w:r>
    </w:p>
    <w:p w14:paraId="364892C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932D46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2°. El ente territorial no podrá delegar en la persona prestadora del servicio público de aseo la elaboración, implementación y actualización de los PGIRS. </w:t>
      </w:r>
    </w:p>
    <w:p w14:paraId="4E0A2DA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7875EF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Parágrafo 3°. Los Ministerios de Vivienda, Ciudad y Territorio y Ambiente y Desarrollo Sostenible deberán adoptar la metodología para la elaboración de los PGIRS. Mientras se expide la norma de metodología, se seguirá aplicando la Resolución 1045 de 2003, en lo que no sea contrario a lo dispuesto en el presente capítulo. </w:t>
      </w:r>
    </w:p>
    <w:p w14:paraId="7D89F53E" w14:textId="136D4756"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741" w:name="ver_30075763"/>
      <w:bookmarkEnd w:id="1741"/>
    </w:p>
    <w:p w14:paraId="30924A1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2.3.2.2.3.88. Del interés social y utilidad pública. Las áreas potenciales que la entidad territorial seleccione y determine de acuerdo con· las normas· de ordenamiento territorial para la ubicación de infraestructuras para la provisión del servicio público de aseo en la actividad complementaria de aprovechamiento, hacen parte de los bienes y servicios de interés común, los cuales prevalecerán sobre el interés particular. La formulación del PGIRS deberá contar con los estudios técnicos que soporten las decisiones adoptadas. </w:t>
      </w:r>
    </w:p>
    <w:p w14:paraId="5C378BA9" w14:textId="048FE3AA"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742" w:name="ver_30075764"/>
      <w:bookmarkEnd w:id="1742"/>
    </w:p>
    <w:p w14:paraId="59F5C5A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2.3.2.2.3.89. Aprovechamiento en el marco de los PGIRS. Los municipios y distritos al actualizar el respectivo plan de gestión integral de residuos sólidos PGIRS están en la obligación de diseñar, implementar y mantener actualizados, programas y proyectos sostenibles de aprovechamiento de residuos sólidos. En desarrollo de esta actividad deberán dar prioridad a los estudios de factibilidad sobre aprovechamiento de residuos. </w:t>
      </w:r>
    </w:p>
    <w:p w14:paraId="2A0AAD83" w14:textId="66EE2893"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743" w:name="ver_30075765"/>
      <w:bookmarkEnd w:id="1743"/>
    </w:p>
    <w:p w14:paraId="76AF41C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2.3.2.2.3.90. Programa de aprovechamiento. En el marco de la Gestión Integral de Residuos Sólidos, el municipio o distrito deberá diseñar implementar y mantener actualizado un programa de aprovechamiento de residuos sólidos como parte del Plan de Gestión Integral de Residuos Sólidos -PGIRS. </w:t>
      </w:r>
    </w:p>
    <w:p w14:paraId="3C7B11D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8680E8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A las autoridades ambientales competentes, les corresponde realizar el control y seguimiento de la ejecución del PGIRS, exclusivamente en lo relacionado con las metas de aprovechamiento y las autorizaciones ambientales que requiera el prestador del servicio de aseo, de conformidad con la normatividad ambiental vigente. </w:t>
      </w:r>
    </w:p>
    <w:p w14:paraId="68472356" w14:textId="0EEBB2F6"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744" w:name="ver_30075766"/>
      <w:bookmarkEnd w:id="1744"/>
    </w:p>
    <w:p w14:paraId="0C2397E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2.3.2.2.3.91. Viabilidad de los proyectos de aprovechamiento. El ente territorial en el marco de los PGIRS deberá determinar la viabilidad de los proyectos de aprovechamiento de residuos, teniendo en cuenta aspectos sociales, económicos, técnicos, operativos, financieros y </w:t>
      </w:r>
      <w:proofErr w:type="gramStart"/>
      <w:r w:rsidRPr="009342F9">
        <w:rPr>
          <w:rFonts w:ascii="Arial" w:eastAsia="Times New Roman" w:hAnsi="Arial" w:cs="Arial"/>
          <w:color w:val="000000"/>
          <w:lang w:eastAsia="es-CO"/>
        </w:rPr>
        <w:t>comerciales</w:t>
      </w:r>
      <w:proofErr w:type="gramEnd"/>
      <w:r w:rsidRPr="009342F9">
        <w:rPr>
          <w:rFonts w:ascii="Arial" w:eastAsia="Times New Roman" w:hAnsi="Arial" w:cs="Arial"/>
          <w:color w:val="000000"/>
          <w:lang w:eastAsia="es-CO"/>
        </w:rPr>
        <w:t xml:space="preserve"> así como los beneficios, entre otros los ambientales. Para ello deberá considerar, por lo menos, los siguientes factores: </w:t>
      </w:r>
    </w:p>
    <w:p w14:paraId="4C871D7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682EA1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Realización de un análisis de mercado en el cual se evalué como mínimo la oferta, la demanda, los precios históricos de compra y venta de materiales; identificación de los actores de la cadena de comercialización y transformación de material reciclable, que permita estimar la cantidad de residuos a ser incorporados en el ciclo productivo en un periodo determinado de tiempo. </w:t>
      </w:r>
    </w:p>
    <w:p w14:paraId="175BA8E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26CA96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Realización de la cuantificación y caracterización de los residuos para determinar el potencial de aprovechamiento, de acuerdo con sus propiedades y condiciones de mercado. </w:t>
      </w:r>
    </w:p>
    <w:p w14:paraId="0DAA857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1CF0BE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3. Realización del </w:t>
      </w:r>
      <w:proofErr w:type="spellStart"/>
      <w:r w:rsidRPr="009342F9">
        <w:rPr>
          <w:rFonts w:ascii="Arial" w:eastAsia="Times New Roman" w:hAnsi="Arial" w:cs="Arial"/>
          <w:color w:val="000000"/>
          <w:lang w:eastAsia="es-CO"/>
        </w:rPr>
        <w:t>predimensionamiento</w:t>
      </w:r>
      <w:proofErr w:type="spellEnd"/>
      <w:r w:rsidRPr="009342F9">
        <w:rPr>
          <w:rFonts w:ascii="Arial" w:eastAsia="Times New Roman" w:hAnsi="Arial" w:cs="Arial"/>
          <w:color w:val="000000"/>
          <w:lang w:eastAsia="es-CO"/>
        </w:rPr>
        <w:t xml:space="preserve"> de la infraestructura y equipos necesarios, en lo posible considerando por lo menos dos (2) alternativas tecnológicas y administrativas, apropiadas a las condiciones socioeconómicas del municipio. Para el efecto se considerará la cantidad y tipo de residuos que se gestionarán en el proyecto de aprovechamiento, teniendo en cuenta el tipo de producto que el proyecto ofrecerá en el mercado. </w:t>
      </w:r>
    </w:p>
    <w:p w14:paraId="5F08AFC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B4C3FB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Comparación de alternativas a través de indicadores como beneficio/costo, empleos generados, costos de operación y mantenimiento, ingresos, entre otros. </w:t>
      </w:r>
    </w:p>
    <w:p w14:paraId="6735CBF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5DF87D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5. Evaluación de la viabilidad financiera y comercial de la alternativa seleccionada, para lo cual deberá considerar los costos de inversión, operación, administración y mantenimiento. Así mismo, deberá incluir los ingresos’ por concepto de comercialización de materiales y de tarifas. El análisis deberá ser desarrollado para un periodo mínimo de diez años, incorporando indicadores financieros como B/C, VPN y TIA. La viabilidad del proyecto se considera positiva en condiciones de indiferencia de estos indicadores. </w:t>
      </w:r>
    </w:p>
    <w:p w14:paraId="3B6B48A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DCE163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6. En el marco de los PGIRS, el municipio deberá considerar la articulación del proyecto de aprovechamiento de residuos con los demás componentes del servicio público de aseo como la presentación de los residuos separados en la· fuente, recolección y transporte selectivo, sensibilización y capacitación en separación en la fuente. </w:t>
      </w:r>
    </w:p>
    <w:p w14:paraId="0636172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422828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7. Sensibilización, educación y capacitación a los usuarios del servicio público, funcionarios de la administración municipal, empleados de las empresas prestadoras del servicio público de aseo, en temas de competencia de cada grupo objetivo, que garantice la articulación· del esquema de aprovechamiento en el ente territorial. </w:t>
      </w:r>
    </w:p>
    <w:p w14:paraId="1AF6C66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825D78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8. El sitio donde se instalará la infraestructura debe ser compatible con los usos del suelo definidos en las normas de ordenamiento territorial vigentes. </w:t>
      </w:r>
    </w:p>
    <w:p w14:paraId="2EC915E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35B096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9. El proyecto debe contar con los permisos, concesiones y autorizaciones a que haya lugar, según lo establecido en la normativa vigente. </w:t>
      </w:r>
    </w:p>
    <w:p w14:paraId="06857CC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A0FD02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10. Estructurar las estrategias para la vinculación de los recicladores de oficio cuando sea del caso. </w:t>
      </w:r>
    </w:p>
    <w:p w14:paraId="51777080" w14:textId="0B90374C"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745" w:name="ver_30075767"/>
      <w:bookmarkEnd w:id="1745"/>
    </w:p>
    <w:p w14:paraId="6E23B20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2.3.2.2.3.92. Gestión diferencial de residuos aprovechables. Cuando sea viable el desarrollo de proyectos de aprovechamiento, el ente territorial deberá establecer, acorde con el régimen de servicios públicos, una estrategia técnica, operativa y administrativa que garantice la gestión diferencial de residuos aprovechables y no aprovechables. Para ello se deberá tener en cuenta los siguientes aspectos: </w:t>
      </w:r>
    </w:p>
    <w:p w14:paraId="6A723E2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BC6C58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Desarrollar un programa de separación en la fuente. </w:t>
      </w:r>
    </w:p>
    <w:p w14:paraId="53943C0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8CEF78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Implementar rutas de recolección selectiva a través de las cuales podrán diferenciar los días, de recolección y transporte para los residuos aprovechables, de los residuos con destino a disposición final. </w:t>
      </w:r>
    </w:p>
    <w:p w14:paraId="36FA2DD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6BC5A8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Estas opciones deben ser identificadas y evaluadas en el respectivo PGIRS de cada municipio o distrito. </w:t>
      </w:r>
    </w:p>
    <w:p w14:paraId="72E8EDD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CF8346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1°. Es deber de los usuarios realizar separación en la fuente cuando se haga recolección selectiva de residuos sólidos aprovechables, de acuerdo con las condiciones establecidas por las respectivos Planes de Gestión Integral de Residuos Sólidos-PGIRS y el Programa de Prestación del Servicio. </w:t>
      </w:r>
    </w:p>
    <w:p w14:paraId="0900412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9CFF28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2°. Es deber del ente territorial, dentro de su responsabilidad como garante de la prestación del servicio público de aseo, incorporar las condiciones técnicas y operativas que permitan el desarrollo del esquema dé aprovechamiento y valorización de residuos definidos en el PGIRS y el Programa de Prestación del Servicio. </w:t>
      </w:r>
    </w:p>
    <w:p w14:paraId="75C3BC6C" w14:textId="7B30092C"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746" w:name="ver_30075768"/>
      <w:bookmarkEnd w:id="1746"/>
    </w:p>
    <w:p w14:paraId="712077F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Artículo 2.3.2.2.3.93. Fortalecimiento del aprovechamiento. Con el objeto de fomentar y fortalecer el aprovechamiento de los residuos sólidos, en condiciones adecuadas para la salud y el medio ambiente, el Ministerio de Ambiente y Desarrollo Sostenible en coordinación con el Ministerio de Vivienda, Ciudad y Territorio, con apoyo de la industria y la participación de las universidades y/o centros de investigación y otras entidades estatales, podrán adelantar estudios de valoración de residuos potencialmente aprovechables, con el fin de promocionar la recuperación de nuevos materiales, disminuir las cantidades de residuos a disponer y reunir la información técnica, económica y empresarial necesaria para incorporar dichos materiales a los procesos productivos. </w:t>
      </w:r>
    </w:p>
    <w:p w14:paraId="40220539" w14:textId="4B41CAF0"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747" w:name="ver_30075769"/>
      <w:bookmarkEnd w:id="1747"/>
    </w:p>
    <w:p w14:paraId="742F2C4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2.3.2.2.3.94. Campañas de orientación y capacitación. Es obligación de los municipios, como responsables de la gestión integral de residuos sólidos, la implementación continua de campañas de orientación y capacitación de cómo separar y aprovechar los residuos sólidos en el marco del PGIRS. </w:t>
      </w:r>
    </w:p>
    <w:p w14:paraId="16618DF0" w14:textId="00617F4C"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748" w:name="ver_30075770"/>
      <w:bookmarkEnd w:id="1748"/>
    </w:p>
    <w:p w14:paraId="378EDC0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2.3.2.2.3.95. Obligaciones de los municipios y distritos. Los municipios y distritos en ejercicios de sus funciones deberán: </w:t>
      </w:r>
    </w:p>
    <w:p w14:paraId="7E9B8F9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0E19E8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Garantizar la prestación del servicio público de aseo en el área de su territorio de manera eficiente. </w:t>
      </w:r>
    </w:p>
    <w:p w14:paraId="5A8A895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FC2A2B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2. Definir el esquema de prestación del servicio de aseo y sus diferentes actividades de acuerdo con las condiciones </w:t>
      </w:r>
      <w:proofErr w:type="gramStart"/>
      <w:r w:rsidRPr="009342F9">
        <w:rPr>
          <w:rFonts w:ascii="Arial" w:eastAsia="Times New Roman" w:hAnsi="Arial" w:cs="Arial"/>
          <w:color w:val="000000"/>
          <w:lang w:eastAsia="es-CO"/>
        </w:rPr>
        <w:t>del mismo</w:t>
      </w:r>
      <w:proofErr w:type="gramEnd"/>
      <w:r w:rsidRPr="009342F9">
        <w:rPr>
          <w:rFonts w:ascii="Arial" w:eastAsia="Times New Roman" w:hAnsi="Arial" w:cs="Arial"/>
          <w:color w:val="000000"/>
          <w:lang w:eastAsia="es-CO"/>
        </w:rPr>
        <w:t>. </w:t>
      </w:r>
    </w:p>
    <w:p w14:paraId="38E952D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A1B244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Formular y desarrollar el Plan de Gestión Integral de Residuos Sólidos de acuerdo con lo definido en este capítulo. </w:t>
      </w:r>
    </w:p>
    <w:p w14:paraId="2E4C419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E7C15D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Definir las áreas para la localización de estaciones de clasificación y aprovechamiento, plantas de aprovechamiento, sitios de disposición final de residuos y estaciones de transferencia, de acuerdo con los resultados de los estudios técnicos, requisitos ambientales, así como en el marco de las normas urbanísticas del respectivo municipio o distrito. </w:t>
      </w:r>
    </w:p>
    <w:p w14:paraId="395FB65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7E33FD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 Adoptar en los PGIRS las determinaciones para incentivar procesos de separación en la fuente, recolección selectiva, acopio y reciclaje de residuos, como actividades fundamentales en los procesos de aprovechamiento de residuos sólidos. </w:t>
      </w:r>
    </w:p>
    <w:p w14:paraId="5415B85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04E684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6. Realizar y adoptar la estratificación municipal y tenerla a disposición de las personas prestadoras del servicio público de aseo para los efectos propios del catastro de suscriptores. </w:t>
      </w:r>
    </w:p>
    <w:p w14:paraId="3B044BB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EDA252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7. Establecer en el municipio o distrito una nomenclatura alfanumérica precisa, que permita individualizar cada predio. </w:t>
      </w:r>
    </w:p>
    <w:p w14:paraId="01CFB89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8EA0D0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8. Otorgar los subsidios para los usuarios de menores ingresos y suscribir los contratos respectivos. </w:t>
      </w:r>
    </w:p>
    <w:p w14:paraId="660326B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1F0B1B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9. Formalizar la población recicladora de oficio, para que participe de manera organizada y coordinada en la prestación del servicio público que comprende la actividad complementaria de aprovechamiento, con el fin de dar cumplimiento a lo previsto en este decreto y en la regulación vigente. </w:t>
      </w:r>
    </w:p>
    <w:p w14:paraId="29DE89A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953B32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10. Adoptar y fortalecer las acciones afirmativas en favor de la población recicladora. </w:t>
      </w:r>
    </w:p>
    <w:p w14:paraId="7B0C665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w:t>
      </w:r>
    </w:p>
    <w:p w14:paraId="25BFC20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11. Adelantar la actualización del censo de recicladores en su territorio, así como identificarlos y carnetizarlos con el fin de identificar la población objetivo y focalizar las acciones afirmativas para esta población vulnerable. </w:t>
      </w:r>
    </w:p>
    <w:p w14:paraId="48840C1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CD1B8D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12. Las demás que establezcan las autoridades sanitarias y ambientales de acuerdo con sus funciones y competencias. </w:t>
      </w:r>
    </w:p>
    <w:p w14:paraId="64ADA13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40EBE4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Independientemente del esquema de prestación del servicio público de aseo que adopte el municipio o distrito, este debe garantizar la prestación eficiente del servicio y sus actividades complementarias a todos los habitantes en su territorio, de acuerdo con los objetivos y metas definidos en el PGIRS. </w:t>
      </w:r>
    </w:p>
    <w:p w14:paraId="6D53E4AA" w14:textId="65FD67C6" w:rsidR="00F74103"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749" w:name="ver_30075771"/>
      <w:bookmarkEnd w:id="1749"/>
    </w:p>
    <w:p w14:paraId="1FAC53C8" w14:textId="0C853521" w:rsidR="00FC79C1" w:rsidRDefault="00FC79C1" w:rsidP="00F74103">
      <w:pPr>
        <w:spacing w:after="0" w:line="240" w:lineRule="auto"/>
        <w:jc w:val="center"/>
        <w:rPr>
          <w:rFonts w:ascii="Arial" w:eastAsia="Times New Roman" w:hAnsi="Arial" w:cs="Arial"/>
          <w:b/>
          <w:bCs/>
          <w:color w:val="000000"/>
          <w:lang w:eastAsia="es-CO"/>
        </w:rPr>
      </w:pPr>
      <w:r w:rsidRPr="231E957E">
        <w:rPr>
          <w:rFonts w:ascii="Arial" w:eastAsia="Times New Roman" w:hAnsi="Arial" w:cs="Arial"/>
          <w:b/>
          <w:color w:val="000000" w:themeColor="text1"/>
          <w:lang w:eastAsia="es-CO"/>
        </w:rPr>
        <w:t>SECCIÓN 4</w:t>
      </w:r>
    </w:p>
    <w:p w14:paraId="64A2AB5C" w14:textId="77777777" w:rsidR="00723293" w:rsidRPr="009342F9" w:rsidRDefault="00723293" w:rsidP="00F74103">
      <w:pPr>
        <w:spacing w:after="0" w:line="240" w:lineRule="auto"/>
        <w:jc w:val="center"/>
        <w:rPr>
          <w:rFonts w:ascii="Arial" w:eastAsia="Times New Roman" w:hAnsi="Arial" w:cs="Arial"/>
          <w:b/>
          <w:bCs/>
          <w:color w:val="000000"/>
          <w:lang w:eastAsia="es-CO"/>
        </w:rPr>
      </w:pPr>
    </w:p>
    <w:p w14:paraId="3116D0F6" w14:textId="77777777" w:rsidR="00FC79C1" w:rsidRPr="009342F9" w:rsidRDefault="00FC79C1" w:rsidP="00F74103">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SUBSECCION 1</w:t>
      </w:r>
    </w:p>
    <w:p w14:paraId="535B34C6" w14:textId="77777777" w:rsidR="00FC79C1" w:rsidRPr="009342F9" w:rsidRDefault="00FC79C1" w:rsidP="00F74103">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ATENCIÓN AL USUARIO Y GESTIÓN COMERCIAL DEL SERVICIO PÚBLICO DE ASEO</w:t>
      </w:r>
    </w:p>
    <w:p w14:paraId="6D046DBD"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750" w:name="ver_30075772"/>
      <w:bookmarkEnd w:id="1750"/>
    </w:p>
    <w:p w14:paraId="5DF2D56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2.3.2.2.4.1.96. Facturación conjunta del servicio público de aseo. Quienes presten cualquiera de los servicios públicos a los que se refiere la Ley 142 de 1994, prestarán oportunamente el servicio de facturación conjunta a las personas prestadoras del servicio de aseo, reconociendo por tal actividad el costo de estas más una utilidad razonable. </w:t>
      </w:r>
    </w:p>
    <w:p w14:paraId="47F0F5D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213AF1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los casos en que en el convenio de facturación conjunta se haya acordado el recaudo, el prestador responsable de esta actividad deberá transferir al prestador del servicio de aseo las sumas recaudadas en un plazo no mayor a treinta (30) días. </w:t>
      </w:r>
    </w:p>
    <w:p w14:paraId="5877230A" w14:textId="6726181F"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751" w:name="ver_30075773"/>
      <w:bookmarkEnd w:id="1751"/>
    </w:p>
    <w:p w14:paraId="6D882DD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2.3.2.2.4.1.97. Requisitos especiales de la factura. La factura del servicio público de aseo además de los requisitos establecidos en la Ley 142 de 1994 deberá indicar como mínimo la frecuencia de prestación del servicio. Así mismo, el prestador está obligado a entregar oportunamente las facturas a los suscriptores, de conformidad con las normas vigentes y los duplicados cuando a ello haya lugar. </w:t>
      </w:r>
    </w:p>
    <w:p w14:paraId="134FA531" w14:textId="6CE3328F"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752" w:name="ver_30075774"/>
      <w:bookmarkEnd w:id="1752"/>
    </w:p>
    <w:p w14:paraId="71810CE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2.3.2.2.4.1.98. Facturación para usuarios agrupados en unidades inmobiliarias. El costo del servicio público de aseo para el caso de usuarios agrupados en unidades inmobiliarias, centros habitacionales, conjuntos residenciales, condominios o similares bajo el régimen de propiedad horizontal vigente o concentrados en centros comerciales o similares, los cuales hayan escogido la opción tarifaria de multiusuario, será igual a la suma de: </w:t>
      </w:r>
    </w:p>
    <w:p w14:paraId="7ED924C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B63DF5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Un cargo fijo, que será establecido de conformidad con la metodología definida por la Comisión de Regulación de Agua Potable y Saneamiento Básico (CRA). </w:t>
      </w:r>
    </w:p>
    <w:p w14:paraId="717C2E1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400798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Un cargo por la parte proporcional a los residuos sólidos generados y presentados por la agrupación o concentración de usuarios a la persona prestadora del servicio público de aseo, de acuerdo con el aforo realizado por esta y según la metodología definida por la Comisión de Regulación de Agua Potable y Saneamiento Básico (CRA). </w:t>
      </w:r>
    </w:p>
    <w:p w14:paraId="6142F5C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0DC976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w:t>
      </w:r>
      <w:proofErr w:type="gramStart"/>
      <w:r w:rsidRPr="009342F9">
        <w:rPr>
          <w:rFonts w:ascii="Arial" w:eastAsia="Times New Roman" w:hAnsi="Arial" w:cs="Arial"/>
          <w:color w:val="000000"/>
          <w:lang w:eastAsia="es-CO"/>
        </w:rPr>
        <w:t>El valor máximo a cobrar</w:t>
      </w:r>
      <w:proofErr w:type="gramEnd"/>
      <w:r w:rsidRPr="009342F9">
        <w:rPr>
          <w:rFonts w:ascii="Arial" w:eastAsia="Times New Roman" w:hAnsi="Arial" w:cs="Arial"/>
          <w:color w:val="000000"/>
          <w:lang w:eastAsia="es-CO"/>
        </w:rPr>
        <w:t xml:space="preserve"> por concepto del servicio de aseo a inmuebles desocupados será definido por la Comisión de Regulación de Agua Potable y Saneamiento Básico (CRA). Para acceder a esta tarifa será indispensable acreditar la desocupación del inmueble según los requisitos establecidos por la CRA. </w:t>
      </w:r>
    </w:p>
    <w:p w14:paraId="6DE7D750" w14:textId="67A41E84"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w:t>
      </w:r>
      <w:bookmarkStart w:id="1753" w:name="ver_30075775"/>
      <w:bookmarkEnd w:id="1753"/>
    </w:p>
    <w:p w14:paraId="723C084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2.3.2.2.4.1.99. Prepago en facturación conjunta. Cuando se facture el servicio público de aseo de manera conjunta con cualquier otro servicio que tenga establecido un sistema de comercialización a través de la modalidad de prepago, no se podrá dejar de pagar el servicio público de aseo, </w:t>
      </w:r>
      <w:proofErr w:type="gramStart"/>
      <w:r w:rsidRPr="009342F9">
        <w:rPr>
          <w:rFonts w:ascii="Arial" w:eastAsia="Times New Roman" w:hAnsi="Arial" w:cs="Arial"/>
          <w:color w:val="000000"/>
          <w:lang w:eastAsia="es-CO"/>
        </w:rPr>
        <w:t>de acuerdo al</w:t>
      </w:r>
      <w:proofErr w:type="gramEnd"/>
      <w:r w:rsidRPr="009342F9">
        <w:rPr>
          <w:rFonts w:ascii="Arial" w:eastAsia="Times New Roman" w:hAnsi="Arial" w:cs="Arial"/>
          <w:color w:val="000000"/>
          <w:lang w:eastAsia="es-CO"/>
        </w:rPr>
        <w:t xml:space="preserve"> parágrafo del artículo 147 de la Ley 142 de 1994. </w:t>
      </w:r>
    </w:p>
    <w:p w14:paraId="526BCD64" w14:textId="01976201"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754" w:name="ver_30075776"/>
      <w:bookmarkEnd w:id="1754"/>
    </w:p>
    <w:p w14:paraId="0CB352E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2.3.2.2.4.1.100. Información al usuario. Las personas prestadoras del servicio público de aseo deberán contar con la información completa y actualizada de sus usuarios, en especial de los datos sobre su identificación, de la modalidad del servicio que reciben, cantidad de residuos que genera, estado de cuentas y demás información que sea necesaria para el seguimiento y control del servicio. </w:t>
      </w:r>
    </w:p>
    <w:p w14:paraId="5680AFD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1E6232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 persona prestadora suministrará al usuario la información que le permita evaluar el servicio prestado en los términos establecidos en el artículo 9.4 de la Ley 142 de 1994. </w:t>
      </w:r>
    </w:p>
    <w:p w14:paraId="2BB2E523" w14:textId="394C302E"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755" w:name="ver_30075777"/>
      <w:bookmarkEnd w:id="1755"/>
    </w:p>
    <w:p w14:paraId="090D3B2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2.3.2.2.4.1.101. Oficina de peticiones, quejas y recursos. Todas las personas prestadoras del servicio público de aseo deben disponer de una oficina para recibir, atender, tramitar y resolver todo tipo de peticiones, quejas y recursos que presenten los usuarios y/o suscriptores de conformidad con lo establecido en la Ley 142 de 1994. </w:t>
      </w:r>
    </w:p>
    <w:p w14:paraId="5BA3B71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2B3B85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Estas oficinas llevarán un registro y harán un seguimiento detallado de cada una de las peticiones, quejas y recursos donde aparezca entre otros aspectos: motivo de la petición o queja, fecha en que se presentó, medio que utilizó el usuario y/o suscriptor, respuesta que se le dio y tiempo que utilizó la empresa para resolverla. La anterior información debe estar disponible en todo momento para consulta de los usuarios que lo soliciten y en particular de la autoridad competente. </w:t>
      </w:r>
    </w:p>
    <w:p w14:paraId="407F276E" w14:textId="0C3CE902"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756" w:name="ver_30075778"/>
      <w:bookmarkEnd w:id="1756"/>
    </w:p>
    <w:p w14:paraId="6918797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2.3.2.2.4.1.102. Suspensión en interés del servicio. En caso de presentarse suspensión en interés en la prestación del servicio público de aseo por cualquier causa, la persona prestadora deberá mantener informados a los usuarios de dicha circunstancia e implementar las medidas transitorias requeridas. </w:t>
      </w:r>
    </w:p>
    <w:p w14:paraId="6AF856D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4277D8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caso de suspensiones programadas del servicio público de aseo, la persona prestadora del servicio deberá avisar a sus usuarios con cinco (5) días de anticipación, a través del medio de difusión más efectivo que se disponga en la población o sector atendido. </w:t>
      </w:r>
    </w:p>
    <w:p w14:paraId="77188BD9" w14:textId="51483BA3"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757" w:name="ver_30075779"/>
      <w:bookmarkEnd w:id="1757"/>
    </w:p>
    <w:p w14:paraId="03B9ED6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2.3.2.2.4.1.103. Descuentos por fallas en la prestación del servicio público de aseo. La persona prestadora del servicio público de aseo está obligada a hacer los descuentos y reparar e indemnizar los perjuicios ocasionados como consecuencia de falla en la prestación del servicio, salvo que medie caso fortuito o fuerza mayor de acuerdo con lo establecido por la Ley 142 de 1994 y demás normas reglamentarias y regulatorias, sin perjuicio de los indicadores de descuento que defina la Comisión de Regulación de Agua Potable y Saneamiento Básico. </w:t>
      </w:r>
    </w:p>
    <w:p w14:paraId="05A1246F" w14:textId="6E4E21E3"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758" w:name="ver_30075780"/>
      <w:bookmarkEnd w:id="1758"/>
    </w:p>
    <w:p w14:paraId="11FF77D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2.3.2.2.4.1.104. Relaciones con la comunidad. La persona prestadora deberá desarrollar programas orientados a establecer y fortalecer relaciones con los usuarios del servicio en el marco del Programa de Prestación del Servicio. </w:t>
      </w:r>
    </w:p>
    <w:p w14:paraId="10A436F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6DD516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Estos programas deberán atender los siguientes objetivos: </w:t>
      </w:r>
    </w:p>
    <w:p w14:paraId="73880A8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5087C1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Suministrar información a los usuarios acerca de los horarios, frecuencias, normas y características generales de la prestación del servicio. </w:t>
      </w:r>
    </w:p>
    <w:p w14:paraId="718C537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F6A09E4" w14:textId="77777777" w:rsidR="00FC79C1" w:rsidRPr="009342F9" w:rsidRDefault="00FC79C1" w:rsidP="00FC79C1">
      <w:pPr>
        <w:spacing w:after="0" w:line="240" w:lineRule="auto"/>
        <w:jc w:val="both"/>
        <w:rPr>
          <w:rFonts w:ascii="Arial" w:eastAsia="Times New Roman" w:hAnsi="Arial" w:cs="Arial"/>
          <w:color w:val="000000"/>
          <w:lang w:eastAsia="es-CO"/>
        </w:rPr>
      </w:pPr>
      <w:r w:rsidRPr="231E957E">
        <w:rPr>
          <w:rFonts w:ascii="Arial" w:eastAsia="Times New Roman" w:hAnsi="Arial" w:cs="Arial"/>
          <w:color w:val="000000" w:themeColor="text1"/>
          <w:lang w:eastAsia="es-CO"/>
        </w:rPr>
        <w:lastRenderedPageBreak/>
        <w:t>2. Promover actividades de capacitación a la comunidad sobre el uso eficiente del servicio, y sobre la cultura de la no basura de acuerdo con lo establecido en el PGIRS. </w:t>
      </w:r>
    </w:p>
    <w:p w14:paraId="1A7689C4" w14:textId="4105D722" w:rsidR="00452CA3" w:rsidRPr="009342F9" w:rsidRDefault="00FC79C1" w:rsidP="00723293">
      <w:pPr>
        <w:spacing w:after="0" w:line="240" w:lineRule="auto"/>
        <w:jc w:val="both"/>
        <w:rPr>
          <w:rFonts w:ascii="Arial" w:eastAsia="Times New Roman" w:hAnsi="Arial" w:cs="Arial"/>
          <w:b/>
          <w:bCs/>
          <w:color w:val="000000"/>
          <w:lang w:eastAsia="es-CO"/>
        </w:rPr>
      </w:pPr>
      <w:r w:rsidRPr="231E957E">
        <w:rPr>
          <w:rFonts w:ascii="Arial" w:eastAsia="Times New Roman" w:hAnsi="Arial" w:cs="Arial"/>
          <w:color w:val="000000" w:themeColor="text1"/>
          <w:lang w:eastAsia="es-CO"/>
        </w:rPr>
        <w:t>  </w:t>
      </w:r>
      <w:bookmarkStart w:id="1759" w:name="ver_30075781"/>
      <w:bookmarkEnd w:id="1759"/>
    </w:p>
    <w:p w14:paraId="44929532" w14:textId="46783802" w:rsidR="00FC79C1" w:rsidRPr="009342F9" w:rsidRDefault="00FC79C1" w:rsidP="00F74103">
      <w:pPr>
        <w:spacing w:after="0" w:line="240" w:lineRule="auto"/>
        <w:jc w:val="center"/>
        <w:rPr>
          <w:rFonts w:ascii="Arial" w:eastAsia="Times New Roman" w:hAnsi="Arial" w:cs="Arial"/>
          <w:b/>
          <w:bCs/>
          <w:color w:val="000000"/>
          <w:lang w:eastAsia="es-CO"/>
        </w:rPr>
      </w:pPr>
      <w:r w:rsidRPr="231E957E">
        <w:rPr>
          <w:rFonts w:ascii="Arial" w:eastAsia="Times New Roman" w:hAnsi="Arial" w:cs="Arial"/>
          <w:b/>
          <w:color w:val="000000" w:themeColor="text1"/>
          <w:lang w:eastAsia="es-CO"/>
        </w:rPr>
        <w:t>SUBSECCIÓN 2</w:t>
      </w:r>
    </w:p>
    <w:p w14:paraId="46727149" w14:textId="77777777" w:rsidR="00FC79C1" w:rsidRPr="009342F9" w:rsidRDefault="00FC79C1" w:rsidP="00F74103">
      <w:pPr>
        <w:spacing w:after="0" w:line="240" w:lineRule="auto"/>
        <w:jc w:val="center"/>
        <w:rPr>
          <w:rFonts w:ascii="Arial" w:eastAsia="Times New Roman" w:hAnsi="Arial" w:cs="Arial"/>
          <w:b/>
          <w:bCs/>
          <w:color w:val="000000"/>
          <w:lang w:eastAsia="es-CO"/>
        </w:rPr>
      </w:pPr>
      <w:r w:rsidRPr="231E957E">
        <w:rPr>
          <w:rFonts w:ascii="Arial" w:eastAsia="Times New Roman" w:hAnsi="Arial" w:cs="Arial"/>
          <w:b/>
          <w:color w:val="000000" w:themeColor="text1"/>
          <w:lang w:eastAsia="es-CO"/>
        </w:rPr>
        <w:t>RELACIONES ENTRE LOS USUARIOS Y LA PERSONA PRESTADORA DEL SERVICIO</w:t>
      </w:r>
    </w:p>
    <w:p w14:paraId="2F70DA5B"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760" w:name="ver_30075782"/>
      <w:bookmarkEnd w:id="1760"/>
    </w:p>
    <w:p w14:paraId="1775B0E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2.3.2.2.4.2.105. Régimen jurídico aplicable. Las relaciones entre la persona prestadora del servicio público de aseo y los usuarios se someterán a las normas establecidas en la Ley 142 de 1994, el presente capítulo y normatividad complementaria del servicio público de aseo. </w:t>
      </w:r>
    </w:p>
    <w:p w14:paraId="04BBCB92" w14:textId="279D87FA"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761" w:name="ver_30075783"/>
      <w:bookmarkEnd w:id="1761"/>
    </w:p>
    <w:p w14:paraId="337D596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2.3.2.2.4.2.106. Clasificación de los suscriptores y/o usuarios del servicio de aseo. Los usuarios del servicio público de aseo se clasificarán en residenciales y no residenciales, y estos últimos en pequeños y grandes generadores de acuerdo con su producción. </w:t>
      </w:r>
    </w:p>
    <w:p w14:paraId="4B37BD32" w14:textId="226ADA2E"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762" w:name="ver_30075784"/>
      <w:bookmarkEnd w:id="1762"/>
    </w:p>
    <w:p w14:paraId="34620F9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2.3.2.2.4.2.107. Condiciones de acceso al servicio. Para obtener la prestación del servicio público de aseo, basta que el usuario lo solicite, el inmueble se encuentre en las condiciones previstas por el prestador y este cuente con la capacidad técnica para suministrarlo. </w:t>
      </w:r>
    </w:p>
    <w:p w14:paraId="30FDDBD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5E6BC5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Las personas prestadoras deberán disponer de formularios para la recepción de las solicitudes que los usuarios presenten de manera verbal. </w:t>
      </w:r>
    </w:p>
    <w:p w14:paraId="4FD4202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7E2947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Cuando haya servicio público de aseo disponible será obligatorio vincularse como usuario y cumplir con los deberes respectivos, o acreditar que se dispone de alternativas que no perjudiquen a la comunidad. La Superintendencia de Servicios Públicos Domiciliarios será la entidad competente para determinar si la alternativa propuesta no causa perjuicios a la comunidad. </w:t>
      </w:r>
    </w:p>
    <w:p w14:paraId="3ABA497E" w14:textId="6102B24F"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763" w:name="ver_30075785"/>
      <w:bookmarkEnd w:id="1763"/>
    </w:p>
    <w:p w14:paraId="17A248B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2.3.2.2.4.2.108. De los derechos. Son derechos de los usuarios: </w:t>
      </w:r>
    </w:p>
    <w:p w14:paraId="47CC0AB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9C4DD5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El ejercicio de la libre elección del prestador del servicio público de aseo en los términos previstos en las disposiciones legales vigentes. En caso de presentarse una solicitud de terminación anticipada del contrato por parte del usuario la persona prestadora deberá resolver la petición en un plazo de quince (15) días hábiles, so pena que la Superintendencia de Servicios Públicos Domiciliarios imponga, al prestador que incumpla esta obligación, las sanciones correspondientes por violación del régimen de servicios públicos domiciliarios, conforme al artículo 81 de la Ley 142 de 1994. </w:t>
      </w:r>
    </w:p>
    <w:p w14:paraId="106BFC9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9C515B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Acceso a la información de manera completa, precisa y oportuna en los términos del artículo 9.4 de la Ley 142 de 1994. </w:t>
      </w:r>
    </w:p>
    <w:p w14:paraId="38DF4C4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97CF84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Hacer parte de los Comités de Desarrollo y Control Social. </w:t>
      </w:r>
    </w:p>
    <w:p w14:paraId="7A4CE0F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25FD15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Hacer consultas, peticiones, quejas e interponer los recursos. </w:t>
      </w:r>
    </w:p>
    <w:p w14:paraId="60EE5CC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3693ED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 Tener un servicio de buena calidad. </w:t>
      </w:r>
    </w:p>
    <w:p w14:paraId="679C991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DA90EA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6. El cobro individual por la prestación del servicio en los términos previstos en la legislación vigente. </w:t>
      </w:r>
    </w:p>
    <w:p w14:paraId="59A3B83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8DFF65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7. Recibir oportunamente la factura por la prestación del servicio en los términos previstos en la legislación vigente. </w:t>
      </w:r>
    </w:p>
    <w:p w14:paraId="42FB57C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w:t>
      </w:r>
    </w:p>
    <w:p w14:paraId="3F6443C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8. Obtener, el descuento en la factura por falla en la prestación del servicio de aseo imputable a la persona prestadora. </w:t>
      </w:r>
    </w:p>
    <w:p w14:paraId="048980F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A2447E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9. Obtener el aforo de los residuos sólidos, de conformidad con lo que establezca la Comisión de Regulación de Agua Potable y Saneamiento Básico. </w:t>
      </w:r>
    </w:p>
    <w:p w14:paraId="658239E6"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764" w:name="ver_30075786"/>
      <w:bookmarkEnd w:id="1764"/>
      <w:r w:rsidRPr="009342F9">
        <w:rPr>
          <w:rFonts w:ascii="Arial" w:eastAsia="Times New Roman" w:hAnsi="Arial" w:cs="Arial"/>
          <w:color w:val="000000"/>
          <w:lang w:eastAsia="es-CO"/>
        </w:rPr>
        <w:t>Artículo 2.3.2.2.4.2.109. De los deberes. Son deberes de los usuarios, entre otros: </w:t>
      </w:r>
    </w:p>
    <w:p w14:paraId="4FF40F1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0F3935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Vincularse al servicio de aseo, siempre que haya un servicio disponible, o acreditar que se dispone de alternativas que no perjudiquen a la comunidad, de acuerdo con lo establecido por la ley. </w:t>
      </w:r>
    </w:p>
    <w:p w14:paraId="7B691E7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AC39B1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Hacer buen uso del servicio, de modo que no genere riesgos o se constituya en un obstáculo para la prestación del servicio a los demás miembros de la comunidad. Todo usuario está en la obligación de facilitar la medición periódica de sus residuos sólidos, de conformidad con las normas de aforo vigentes. </w:t>
      </w:r>
    </w:p>
    <w:p w14:paraId="0D21C0F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2F45DA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Realizar la separación de los residuos sólidos en la fuente de manera que se permita la recolección selectiva, de acuerdo con el plan de gestión integral de residuos sólidos y los Programas de Prestación del Servicio de aseo establecidos. </w:t>
      </w:r>
    </w:p>
    <w:p w14:paraId="53B9CA0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98839C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Presentar los residuos sólidos para su recolección en las condiciones y horarios establecidos en el presente decreto y por la persona prestadora del servicio y de conformidad con el programa de aprovechamiento viable y sostenible que desarrolle la persona prestadora del servicio. </w:t>
      </w:r>
    </w:p>
    <w:p w14:paraId="1A1D227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AC1132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 Mantener limpios y cerrados los lotes de terreno de su propiedad, así como las construcciones que amenacen ruina. Cuando por ausencia o deficiencia en el cierre y/o mantenimiento de estos se acumulen residuos sólidos en los mismos, el propietario del predio deberá contratar la recolección, transporte y disposición final con una persona prestadora del servicio público de aseo. </w:t>
      </w:r>
    </w:p>
    <w:p w14:paraId="0C081DF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E72C7C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6. Recoger los residuos sólidos originados por el cargue, descargue o transporte de cualquier mercancía. </w:t>
      </w:r>
    </w:p>
    <w:p w14:paraId="0465F8F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70D5BB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7. Pagar oportunamente el servicio prestado. En caso de no recibir oportunamente la factura, el suscriptor o usuario está obligado a solicitar duplicado de </w:t>
      </w:r>
      <w:proofErr w:type="gramStart"/>
      <w:r w:rsidRPr="009342F9">
        <w:rPr>
          <w:rFonts w:ascii="Arial" w:eastAsia="Times New Roman" w:hAnsi="Arial" w:cs="Arial"/>
          <w:color w:val="000000"/>
          <w:lang w:eastAsia="es-CO"/>
        </w:rPr>
        <w:t>la misma</w:t>
      </w:r>
      <w:proofErr w:type="gramEnd"/>
      <w:r w:rsidRPr="009342F9">
        <w:rPr>
          <w:rFonts w:ascii="Arial" w:eastAsia="Times New Roman" w:hAnsi="Arial" w:cs="Arial"/>
          <w:color w:val="000000"/>
          <w:lang w:eastAsia="es-CO"/>
        </w:rPr>
        <w:t xml:space="preserve"> a la empresa. </w:t>
      </w:r>
    </w:p>
    <w:p w14:paraId="3683A37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321EF7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8. Cumplir los reglamentos y disposiciones de las personas prestadoras del servicio. </w:t>
      </w:r>
    </w:p>
    <w:p w14:paraId="77ED1BD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E5134E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9. No cambiar la destinación del inmueble receptor del servicio, sin el lleno de los requisitos exigidos por el municipio o distrito. </w:t>
      </w:r>
    </w:p>
    <w:p w14:paraId="6C679E9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E3BFFC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10. </w:t>
      </w:r>
      <w:proofErr w:type="gramStart"/>
      <w:r w:rsidRPr="009342F9">
        <w:rPr>
          <w:rFonts w:ascii="Arial" w:eastAsia="Times New Roman" w:hAnsi="Arial" w:cs="Arial"/>
          <w:color w:val="000000"/>
          <w:lang w:eastAsia="es-CO"/>
        </w:rPr>
        <w:t>Dar aviso</w:t>
      </w:r>
      <w:proofErr w:type="gramEnd"/>
      <w:r w:rsidRPr="009342F9">
        <w:rPr>
          <w:rFonts w:ascii="Arial" w:eastAsia="Times New Roman" w:hAnsi="Arial" w:cs="Arial"/>
          <w:color w:val="000000"/>
          <w:lang w:eastAsia="es-CO"/>
        </w:rPr>
        <w:t xml:space="preserve"> a las personas prestadoras del servicio público de aseo de los cambios en la destinación del inmueble. </w:t>
      </w:r>
    </w:p>
    <w:p w14:paraId="3ED0C8D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AB4CAF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11. </w:t>
      </w:r>
      <w:proofErr w:type="gramStart"/>
      <w:r w:rsidRPr="009342F9">
        <w:rPr>
          <w:rFonts w:ascii="Arial" w:eastAsia="Times New Roman" w:hAnsi="Arial" w:cs="Arial"/>
          <w:color w:val="000000"/>
          <w:lang w:eastAsia="es-CO"/>
        </w:rPr>
        <w:t>Dar aviso</w:t>
      </w:r>
      <w:proofErr w:type="gramEnd"/>
      <w:r w:rsidRPr="009342F9">
        <w:rPr>
          <w:rFonts w:ascii="Arial" w:eastAsia="Times New Roman" w:hAnsi="Arial" w:cs="Arial"/>
          <w:color w:val="000000"/>
          <w:lang w:eastAsia="es-CO"/>
        </w:rPr>
        <w:t xml:space="preserve"> a la persona prestadora del servicio de la existencia de fallas en el servicio, cuando estas se presenten. </w:t>
      </w:r>
    </w:p>
    <w:p w14:paraId="34DC870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B34208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12. Almacenar y presentar los residuos sólidos. </w:t>
      </w:r>
    </w:p>
    <w:p w14:paraId="0EC35D68"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765" w:name="ver_30075787"/>
      <w:bookmarkEnd w:id="1765"/>
    </w:p>
    <w:p w14:paraId="77E3245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Artículo 2.3.2.2.4.2.110. Terminación anticipada del contrato del servicio público de aseo. Todo usuario del servicio público de aseo tiene derecho a terminar anticipadamente el contrato de prestación del servicio público de aseo. Para lo anterior el suscriptor deberá cumplir los siguientes requisitos: </w:t>
      </w:r>
    </w:p>
    <w:p w14:paraId="5FF5007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5204C6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Presentar solicitud ante la persona prestadora, en la cual manifieste su voluntad de desvincularse, cumpliendo para ello con el término de preaviso contemplado en el contrato del servicio público de aseo, el cual no podrá ser superior a dos meses conforme al numeral 21 art.133 de la Ley 142 de 1994. </w:t>
      </w:r>
    </w:p>
    <w:p w14:paraId="532087A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1FFEE6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Acreditar que va a celebrar un nuevo contrato con otra persona prestadora del servicio público de aseo. En este caso, la solicitud de desvinculación deberá ir acompañada de la constancia del nuevo prestador en la que manifieste su disponibilidad para prestar el servicio público de aseo al solicitante determinando la identificación del predio que será atendido. </w:t>
      </w:r>
    </w:p>
    <w:p w14:paraId="7269A0C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9492D4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En los casos en que no se vaya a vincular a un nuevo prestador, acreditar que dispone de otras alternativas que no causan perjuicios a la comunidad, conforme a lo establecido en el parágrafo del artículo 16 de la Ley 142 de 1994. </w:t>
      </w:r>
    </w:p>
    <w:p w14:paraId="675B184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CBEE53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4. Estar a paz y salvo con la persona prestadora a la cual solicita la terminación anticipada del contrato o haber celebrado un convenio de pago respecto de las obligaciones económicas a su cargo. Si a la fecha de solicitud de terminación del contrato la persona se encuentra a paz y salvo, pero se generan obligaciones con respecto a la fecha efectiva de terminación del contrato, </w:t>
      </w:r>
      <w:proofErr w:type="gramStart"/>
      <w:r w:rsidRPr="009342F9">
        <w:rPr>
          <w:rFonts w:ascii="Arial" w:eastAsia="Times New Roman" w:hAnsi="Arial" w:cs="Arial"/>
          <w:color w:val="000000"/>
          <w:lang w:eastAsia="es-CO"/>
        </w:rPr>
        <w:t>el pago de tales obligaciones deberán</w:t>
      </w:r>
      <w:proofErr w:type="gramEnd"/>
      <w:r w:rsidRPr="009342F9">
        <w:rPr>
          <w:rFonts w:ascii="Arial" w:eastAsia="Times New Roman" w:hAnsi="Arial" w:cs="Arial"/>
          <w:color w:val="000000"/>
          <w:lang w:eastAsia="es-CO"/>
        </w:rPr>
        <w:t xml:space="preserve"> pactarse en un acuerdo de pago y expedir el respectivo paz y salvo al momento de la solitud de terminación. </w:t>
      </w:r>
    </w:p>
    <w:p w14:paraId="326D044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B4A6E6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Los prestadores del servicio de aseo que reciban solicitudes de terminación del contrato no podrán negarse a terminarlo por razones distintas de las señaladas en esta norma y no podrán imponer en su contrato documentos o requisitos que impidan este derecho. </w:t>
      </w:r>
    </w:p>
    <w:p w14:paraId="1179AE3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41C930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 persona prestadora no podrá solicitar requisitos adicionales a los previstos en este artículo. </w:t>
      </w:r>
    </w:p>
    <w:p w14:paraId="5741255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9437F5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 persona prestadora del servicio público de aseo deberá tramitar y resolver de fondo la solicitud de terminación anticipada del contrato, en un plazo máximo de quince (15) días hábiles, so pena de imposición de sanciones por parte de la Superintendencia de Servicios Públicos Domiciliarios. </w:t>
      </w:r>
    </w:p>
    <w:p w14:paraId="2D78C73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D7F0251" w14:textId="77777777" w:rsidR="00FC79C1" w:rsidRPr="009342F9" w:rsidRDefault="00FC79C1" w:rsidP="00FC79C1">
      <w:pPr>
        <w:spacing w:after="0" w:line="240" w:lineRule="auto"/>
        <w:jc w:val="both"/>
        <w:rPr>
          <w:rFonts w:ascii="Arial" w:eastAsia="Times New Roman" w:hAnsi="Arial" w:cs="Arial"/>
          <w:color w:val="000000"/>
          <w:lang w:eastAsia="es-CO"/>
        </w:rPr>
      </w:pPr>
      <w:r w:rsidRPr="231E957E">
        <w:rPr>
          <w:rFonts w:ascii="Arial" w:eastAsia="Times New Roman" w:hAnsi="Arial" w:cs="Arial"/>
          <w:color w:val="000000" w:themeColor="text1"/>
          <w:lang w:eastAsia="es-CO"/>
        </w:rPr>
        <w:t>La persona prestadora no podrá negar la terminación anticipada del contrato argumentando que la nueva persona prestadora no está en capacidad de prestarlo. </w:t>
      </w:r>
    </w:p>
    <w:p w14:paraId="1365F9C7" w14:textId="62A6ADBE" w:rsidR="00F74103"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766" w:name="ver_30075788"/>
      <w:bookmarkEnd w:id="1766"/>
    </w:p>
    <w:p w14:paraId="5200B48A" w14:textId="3DD0EECD" w:rsidR="00FC79C1" w:rsidRPr="009342F9" w:rsidRDefault="00FC79C1" w:rsidP="00F74103">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SUBSECCIÓN 3</w:t>
      </w:r>
    </w:p>
    <w:p w14:paraId="001AE6E2" w14:textId="77777777" w:rsidR="00FC79C1" w:rsidRPr="009342F9" w:rsidRDefault="00FC79C1" w:rsidP="00F74103">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OBLIGACIONES DE LAS PERSONAS PRESTADORAS</w:t>
      </w:r>
    </w:p>
    <w:p w14:paraId="231809ED"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767" w:name="ver_30075789"/>
      <w:bookmarkEnd w:id="1767"/>
    </w:p>
    <w:p w14:paraId="6C4187D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2.3.2.2.4.2.111. Obligaciones de las personas prestadoras. Son obligaciones de las personas prestadoras, además de las previstas en la Ley 142 de 1994 y en este capítulo, las siguientes: </w:t>
      </w:r>
    </w:p>
    <w:p w14:paraId="2904201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E4ED61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Tener un contrato de servicios públicos que contenga, entre otras, las condiciones uniformes en las que el prestador está dispuesto a suministrar el servicio público de aseo. Dichas condiciones uniformes deberán publicarse con al menos 15 días de antelación a la fecha de inicio de operaciones. La publicación se hará por una vez en un medio escrito de amplia circulación local, o electrónico. </w:t>
      </w:r>
    </w:p>
    <w:p w14:paraId="5176EBE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w:t>
      </w:r>
    </w:p>
    <w:p w14:paraId="5A447FF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Las modificaciones a las condiciones uniformes se deberán publicar en la misma forma y con un mes de antelación a la fecha en que entren a regir. </w:t>
      </w:r>
    </w:p>
    <w:p w14:paraId="10EEF7E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AA967C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2. Contar con la infraestructura adecuada para atender las peticiones, quejas y recursos de los usuarios del servicio, en los términos de la Ley 142 de 1994, sin perjuicio de la utilización de medios electrónicos para la recepción y atención de </w:t>
      </w:r>
      <w:proofErr w:type="gramStart"/>
      <w:r w:rsidRPr="009342F9">
        <w:rPr>
          <w:rFonts w:ascii="Arial" w:eastAsia="Times New Roman" w:hAnsi="Arial" w:cs="Arial"/>
          <w:color w:val="000000"/>
          <w:lang w:eastAsia="es-CO"/>
        </w:rPr>
        <w:t>las mismas</w:t>
      </w:r>
      <w:proofErr w:type="gramEnd"/>
      <w:r w:rsidRPr="009342F9">
        <w:rPr>
          <w:rFonts w:ascii="Arial" w:eastAsia="Times New Roman" w:hAnsi="Arial" w:cs="Arial"/>
          <w:color w:val="000000"/>
          <w:lang w:eastAsia="es-CO"/>
        </w:rPr>
        <w:t>. </w:t>
      </w:r>
    </w:p>
    <w:p w14:paraId="1000329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2A17BC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Contar con un estudio de costos que soporte las tarifarias ofrecidas a los usuarios, debidamente aprobada por la entidad tarifaria, y publicada de conformidad con las normas vigentes. </w:t>
      </w:r>
    </w:p>
    <w:p w14:paraId="381698F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5F66E5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Inscribirse en el Registro Único de Prestadores de Servicios (RUPS) de la Superintendencia de Servicios Públicos Domiciliarios, al inicio de sus actividades. </w:t>
      </w:r>
    </w:p>
    <w:p w14:paraId="6AD572E0"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768" w:name="ver_30075790"/>
      <w:bookmarkEnd w:id="1768"/>
    </w:p>
    <w:p w14:paraId="19A4E94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2.3.2.2.4.2.112. Página web. Las personas prestadoras deberán disponer de página web la cual deberá contener como mínimo la siguiente información: </w:t>
      </w:r>
    </w:p>
    <w:p w14:paraId="6696CE1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26C4AA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Rutas y horarios de prestación de las diferentes actividades del servicio público de aseo. </w:t>
      </w:r>
    </w:p>
    <w:p w14:paraId="4F77BDE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FBD48B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Tarifas. </w:t>
      </w:r>
    </w:p>
    <w:p w14:paraId="5B9A9F3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5DAF6E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Contrato de Condiciones Uniformes. </w:t>
      </w:r>
    </w:p>
    <w:p w14:paraId="4C3F6B7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80A82C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Un enlace para la recepción y trámite de peticiones, quejas y recursos de los usuarios. </w:t>
      </w:r>
    </w:p>
    <w:p w14:paraId="06470DB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EE6ED8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 Direcciones de oficinas de peticiones, quejas y recursos para la atención de los usuarios. </w:t>
      </w:r>
    </w:p>
    <w:p w14:paraId="2C32C35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27C80C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6. Números teléfonos para la atención de usuarios. </w:t>
      </w:r>
    </w:p>
    <w:p w14:paraId="34AC9A92" w14:textId="1448DB53" w:rsidR="00FC79C1" w:rsidRPr="009342F9" w:rsidRDefault="00FC79C1" w:rsidP="000443A9">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CB2B3C5" w14:textId="77777777" w:rsidR="00FC79C1" w:rsidRPr="009342F9" w:rsidRDefault="00FC79C1" w:rsidP="00F74103">
      <w:pPr>
        <w:spacing w:after="0" w:line="240" w:lineRule="auto"/>
        <w:jc w:val="center"/>
        <w:rPr>
          <w:rFonts w:ascii="Arial" w:eastAsia="Times New Roman" w:hAnsi="Arial" w:cs="Arial"/>
          <w:b/>
          <w:bCs/>
          <w:color w:val="000000"/>
          <w:lang w:eastAsia="es-CO"/>
        </w:rPr>
      </w:pPr>
      <w:bookmarkStart w:id="1769" w:name="ver_30075791"/>
      <w:bookmarkEnd w:id="1769"/>
      <w:r w:rsidRPr="009342F9">
        <w:rPr>
          <w:rFonts w:ascii="Arial" w:eastAsia="Times New Roman" w:hAnsi="Arial" w:cs="Arial"/>
          <w:b/>
          <w:bCs/>
          <w:color w:val="000000"/>
          <w:lang w:eastAsia="es-CO"/>
        </w:rPr>
        <w:t>SECCIÓN 5</w:t>
      </w:r>
    </w:p>
    <w:p w14:paraId="4EA77983" w14:textId="77777777" w:rsidR="00FC79C1" w:rsidRPr="009342F9" w:rsidRDefault="00FC79C1" w:rsidP="00F74103">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DISPOSICIONES FINALES</w:t>
      </w:r>
    </w:p>
    <w:p w14:paraId="09ED747B"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770" w:name="ver_30075792"/>
      <w:bookmarkEnd w:id="1770"/>
    </w:p>
    <w:p w14:paraId="759A36A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2.3.2.2.5.113. Obligatoriedad de la transferencia de los subsidios. Los municipios y distritos deberán establecer los mecanismos que garanticen la transferencia al fondo de solidaridad y redistribución de ingresos de los recursos para los subsidios de los usuarios de menores ingresos de estratos 1, 2 y 3 de conformidad con la Ley 142 de 1994, la Ley 715 de 2001, la Ley 1176 de 2007 y la Ley 1537 de 2012, los decretos que las reglamenten y el régimen tarifario aplicable, así como para los casos en que se suscriban contratos para la prestación de una o varias actividades del servicio, con el propósito de garantizar la sostenibilidad del mismo. </w:t>
      </w:r>
    </w:p>
    <w:p w14:paraId="3E19A84D"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771" w:name="ver_30075793"/>
      <w:bookmarkEnd w:id="1771"/>
    </w:p>
    <w:p w14:paraId="795A59A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2.3.2.2.5.114. Prácticas discriminatorias. Está expresamente prohibido a las personas prestadoras del servicio público de aseo, en todos sus actos y contratos, discriminar o conceder privilegios, así como toda práctica que tenga la capacidad de generar competencia desleal, de conformidad con lo establecido en el artículo 34 y demás disposiciones legales establecidas en la Ley 142 de 1994. </w:t>
      </w:r>
    </w:p>
    <w:p w14:paraId="1A2F3B8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10BA9A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 persona prestadora debe garantizar bajo las condiciones técnicas establecidas en este capítulo la prestación del servicio de aseo en condiciones uniformes a todos los usuarios que lo requieran. </w:t>
      </w:r>
    </w:p>
    <w:p w14:paraId="43F34535"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772" w:name="ver_30075794"/>
      <w:bookmarkEnd w:id="1772"/>
    </w:p>
    <w:p w14:paraId="66B2EA2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Artículo 2.3.2.2.5.115. Restricciones injustificadas para el acceso a rellenos sanitarios y/o estaciones de transferencia. Las autoridades ambientales, las personas prestadoras del servicio público de aseo y de la actividad complementaria de disposición final de residuos sólidos o las entidades territoriales, según el caso, no podrán imponer restricciones injustificadas para el acceso a los rellenos sanitarios y/o estaciones de transferencia de residuos sólidos. </w:t>
      </w:r>
    </w:p>
    <w:p w14:paraId="78CEBE1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E5ED72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Para los efectos del presente artículo, se consideran restricciones injustificadas al acceso a los rellenos sanitarios o a las estaciones de transferencia de residuos sólidos, las siguientes: </w:t>
      </w:r>
    </w:p>
    <w:p w14:paraId="07712E4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C08AF8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Impedir el acceso de residuos sólidos al relleno sanitario o a la estación de transferencia sin justificación técnica a cualquiera de las personas prestadoras de servicios públicos a que hace referencia el artículo 15 de la Ley 142 de 1994. </w:t>
      </w:r>
    </w:p>
    <w:p w14:paraId="1442E38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51F73D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Impedir el acceso de residuos sólidos al relleno sanitario o a la estación de transferencia, con fundamento en la región o municipio de origen de los residuos sólidos. </w:t>
      </w:r>
    </w:p>
    <w:p w14:paraId="02AB784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732746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Imponer exigencias, características o parámetros técnicos para el acceso de los residuos sólidos diferentes a las previstas en la normatividad aplicable. </w:t>
      </w:r>
    </w:p>
    <w:p w14:paraId="35A8F5E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DEF79C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Ejercer prácticas tarifarias discriminatorios para el acceso de residuos sólidos al relleno sanitario o a la estación de transferencia, que se encuentren por fuera de lo establecido en la metodología tarifaria expedida por la Comisión de Regulación de Agua Potable y Saneamiento Básico. </w:t>
      </w:r>
    </w:p>
    <w:p w14:paraId="571EA48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D9B7AF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Es obligación de los operadores de los rellenos sanitarios suscribir los contratos de acceso a los sitios de disposición de acuerdo con lo establecido en la normatividad vigente y en el Reglamento Operativo de cada relleno sanitario. </w:t>
      </w:r>
    </w:p>
    <w:p w14:paraId="60C9CD2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8CFD5B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El servicio de disposición de residuos sólidos deberá prestarse de manera continua de acuerdo con lo normatividad vigente y el Reglamento Operativo de cada relleno sanitario. </w:t>
      </w:r>
    </w:p>
    <w:p w14:paraId="75411BE3" w14:textId="03F80FD5"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773" w:name="ver_30075795"/>
      <w:bookmarkEnd w:id="1773"/>
    </w:p>
    <w:p w14:paraId="5DD7D76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2.3.2.2.5.116. Separación vertical. La Comisión de Regulación de Agua Potable y Saneamiento Básico podrá establecer la separación vertical de las actividades del servicio o la regulación de proveedores de insumos básicos del servicio de aseo cuando se presente alteración de la competencia o abuso de la posición dominante. </w:t>
      </w:r>
    </w:p>
    <w:p w14:paraId="55E109F8"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774" w:name="ver_30075796"/>
      <w:bookmarkEnd w:id="1774"/>
    </w:p>
    <w:p w14:paraId="35484AF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2.3.2.2.5.117. Aplicación de normas técnicas. Para la aplicación y desarrollo técnico del presente capítulo se deben cumplir las normas pertinentes del Reglamento Técnico de Agua Potable y Saneamiento Básico. </w:t>
      </w:r>
    </w:p>
    <w:p w14:paraId="039AD5BF" w14:textId="6D4C1412"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775" w:name="ver_30075797"/>
      <w:bookmarkEnd w:id="1775"/>
    </w:p>
    <w:p w14:paraId="6606B9C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2.3.2.2.5.118. Transición. La implementación de lo dispuesto en el presente capítulo tendrá las siguientes transiciones: </w:t>
      </w:r>
    </w:p>
    <w:p w14:paraId="2B120CB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E7F9BC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Las personas prestadoras del servicio público de aseo tendrán un plazo de seis (6) meses contados a partir de la expedición de la reglamentación del Programa de Prestación del Servicio para presentarlo ante la Superintendencia de Servicios Públicos Domiciliarios, para su control y seguimiento. </w:t>
      </w:r>
    </w:p>
    <w:p w14:paraId="308726F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BED875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2. Las personas prestadoras del servicio público de aseo tendrán un plazo de un (1) año, contado a partir de la expedición de la reglamentación expedida por el Ministerio de Vivienda, Ciudad y </w:t>
      </w:r>
      <w:r w:rsidRPr="009342F9">
        <w:rPr>
          <w:rFonts w:ascii="Arial" w:eastAsia="Times New Roman" w:hAnsi="Arial" w:cs="Arial"/>
          <w:color w:val="000000"/>
          <w:lang w:eastAsia="es-CO"/>
        </w:rPr>
        <w:lastRenderedPageBreak/>
        <w:t>Territorio, para la presentación del Programa de Gestión del Riesgo ante la Superintendencia de Servicios Públicos Domiciliarios. </w:t>
      </w:r>
    </w:p>
    <w:p w14:paraId="726E4A1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C1CDEE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Los municipios y distritos tendrán un plazo de 24 meses a partir del 20 de diciembre de 2013 para hacer la revisión y actualización del PGIRS. </w:t>
      </w:r>
    </w:p>
    <w:p w14:paraId="4AA0CEB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627FBA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Dentro de los dos (2) años siguientes al 20 de diciembre de 2013 los municipios y distritos deberán levantar el catastro de árboles ubicados en vía y áreas públicas que deberán ser objeto de poda. El cobro de la actividad de poda de árboles vía tarifa solo podrá hacerse cuando se cuente con dicho catastro y se realice efectivamente esta actividad. </w:t>
      </w:r>
    </w:p>
    <w:p w14:paraId="16EF25F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F8F5F5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 Dentro de los dos (2) años siguientes al 20 de diciembre de 2013los municipios y distritos deberán levantar el catastro de áreas públicas objeto del corte de césped. El cobro de la actividad de corte de césped solo podrá hacerse cuando se cuente con dicho catastro y se realice efectivamente esta. </w:t>
      </w:r>
    </w:p>
    <w:p w14:paraId="1767E4E7" w14:textId="53C8B0B7" w:rsidR="00F74103"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776" w:name="ver_30137316"/>
      <w:bookmarkEnd w:id="1776"/>
    </w:p>
    <w:p w14:paraId="38E55CE4" w14:textId="2F643634" w:rsidR="00FC79C1" w:rsidRDefault="00FC79C1" w:rsidP="00F74103">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CAPÍTULO 3</w:t>
      </w:r>
    </w:p>
    <w:p w14:paraId="52296294" w14:textId="77777777" w:rsidR="00FC79C1" w:rsidRDefault="00FC79C1" w:rsidP="00F74103">
      <w:pPr>
        <w:spacing w:after="0" w:line="240" w:lineRule="auto"/>
        <w:jc w:val="center"/>
        <w:rPr>
          <w:rFonts w:ascii="Arial" w:eastAsia="Times New Roman" w:hAnsi="Arial" w:cs="Arial"/>
          <w:b/>
          <w:bCs/>
          <w:color w:val="000000"/>
          <w:lang w:eastAsia="es-CO"/>
        </w:rPr>
      </w:pPr>
      <w:r w:rsidRPr="231E957E">
        <w:rPr>
          <w:rFonts w:ascii="Arial" w:eastAsia="Times New Roman" w:hAnsi="Arial" w:cs="Arial"/>
          <w:b/>
          <w:color w:val="000000" w:themeColor="text1"/>
          <w:lang w:eastAsia="es-CO"/>
        </w:rPr>
        <w:t>DISPOSICIÓN FINAL</w:t>
      </w:r>
    </w:p>
    <w:p w14:paraId="4BCC49EC" w14:textId="77777777" w:rsidR="00723293" w:rsidRPr="009342F9" w:rsidRDefault="00723293" w:rsidP="00F74103">
      <w:pPr>
        <w:spacing w:after="0" w:line="240" w:lineRule="auto"/>
        <w:jc w:val="center"/>
        <w:rPr>
          <w:rFonts w:ascii="Arial" w:eastAsia="Times New Roman" w:hAnsi="Arial" w:cs="Arial"/>
          <w:b/>
          <w:bCs/>
          <w:color w:val="000000"/>
          <w:lang w:eastAsia="es-CO"/>
        </w:rPr>
      </w:pPr>
    </w:p>
    <w:p w14:paraId="18B7BA1C" w14:textId="77777777" w:rsidR="00FC79C1" w:rsidRPr="009342F9" w:rsidRDefault="00FC79C1" w:rsidP="00F74103">
      <w:pPr>
        <w:spacing w:after="0" w:line="240" w:lineRule="auto"/>
        <w:jc w:val="center"/>
        <w:rPr>
          <w:rFonts w:ascii="Arial" w:eastAsia="Times New Roman" w:hAnsi="Arial" w:cs="Arial"/>
          <w:b/>
          <w:bCs/>
          <w:color w:val="000000"/>
          <w:lang w:eastAsia="es-CO"/>
        </w:rPr>
      </w:pPr>
      <w:bookmarkStart w:id="1777" w:name="ver_30075798"/>
      <w:bookmarkEnd w:id="1777"/>
      <w:r w:rsidRPr="009342F9">
        <w:rPr>
          <w:rFonts w:ascii="Arial" w:eastAsia="Times New Roman" w:hAnsi="Arial" w:cs="Arial"/>
          <w:b/>
          <w:bCs/>
          <w:color w:val="000000"/>
          <w:lang w:eastAsia="es-CO"/>
        </w:rPr>
        <w:t>CAPÍTULO 3</w:t>
      </w:r>
    </w:p>
    <w:p w14:paraId="5B6B7EB1" w14:textId="77777777" w:rsidR="00FC79C1" w:rsidRDefault="00FC79C1" w:rsidP="00F74103">
      <w:pPr>
        <w:spacing w:after="0" w:line="240" w:lineRule="auto"/>
        <w:jc w:val="center"/>
        <w:rPr>
          <w:rFonts w:ascii="Arial" w:eastAsia="Times New Roman" w:hAnsi="Arial" w:cs="Arial"/>
          <w:b/>
          <w:bCs/>
          <w:color w:val="000000"/>
          <w:lang w:eastAsia="es-CO"/>
        </w:rPr>
      </w:pPr>
      <w:r w:rsidRPr="231E957E">
        <w:rPr>
          <w:rFonts w:ascii="Arial" w:eastAsia="Times New Roman" w:hAnsi="Arial" w:cs="Arial"/>
          <w:b/>
          <w:color w:val="000000" w:themeColor="text1"/>
          <w:lang w:eastAsia="es-CO"/>
        </w:rPr>
        <w:t>DISPOSICIÓN FINAL DE RESIDUOS SÓLIDOS</w:t>
      </w:r>
    </w:p>
    <w:p w14:paraId="73376140" w14:textId="77777777" w:rsidR="00723293" w:rsidRPr="009342F9" w:rsidRDefault="00723293" w:rsidP="00F74103">
      <w:pPr>
        <w:spacing w:after="0" w:line="240" w:lineRule="auto"/>
        <w:jc w:val="center"/>
        <w:rPr>
          <w:rFonts w:ascii="Arial" w:eastAsia="Times New Roman" w:hAnsi="Arial" w:cs="Arial"/>
          <w:b/>
          <w:bCs/>
          <w:color w:val="000000"/>
          <w:lang w:eastAsia="es-CO"/>
        </w:rPr>
      </w:pPr>
    </w:p>
    <w:p w14:paraId="45E820D2" w14:textId="77777777" w:rsidR="00FC79C1" w:rsidRPr="009342F9" w:rsidRDefault="00FC79C1" w:rsidP="00F74103">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SECCIÓN 1</w:t>
      </w:r>
    </w:p>
    <w:p w14:paraId="753FEDEE" w14:textId="77777777" w:rsidR="00FC79C1" w:rsidRPr="009342F9" w:rsidRDefault="00FC79C1" w:rsidP="00F74103">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DISPOSICIONES GENERALES</w:t>
      </w:r>
    </w:p>
    <w:p w14:paraId="3097B4E7" w14:textId="77777777" w:rsidR="00FC79C1" w:rsidRPr="009342F9" w:rsidRDefault="00FC79C1" w:rsidP="00F74103">
      <w:pPr>
        <w:spacing w:after="0" w:line="240" w:lineRule="auto"/>
        <w:jc w:val="center"/>
        <w:rPr>
          <w:rFonts w:ascii="Arial" w:eastAsia="Times New Roman" w:hAnsi="Arial" w:cs="Arial"/>
          <w:b/>
          <w:bCs/>
          <w:color w:val="000000"/>
          <w:lang w:eastAsia="es-CO"/>
        </w:rPr>
      </w:pPr>
      <w:bookmarkStart w:id="1778" w:name="ver_30137317"/>
      <w:bookmarkStart w:id="1779" w:name="ver_30075799"/>
      <w:bookmarkEnd w:id="1778"/>
    </w:p>
    <w:p w14:paraId="4703DC0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2.3.2.3.1. Objeto. El presente capítulo tiene por objeto reglamentar las condiciones bajo las cuales deberá desarrollarse la actividad complementaria de disposición final de residuos sólidos en la prestación del servicio público de aseo.  </w:t>
      </w:r>
    </w:p>
    <w:p w14:paraId="7A1DF2A1" w14:textId="77777777" w:rsidR="00FC79C1" w:rsidRPr="009342F9" w:rsidRDefault="00FC79C1" w:rsidP="00FC79C1">
      <w:pPr>
        <w:spacing w:after="0" w:line="240" w:lineRule="auto"/>
        <w:jc w:val="both"/>
        <w:rPr>
          <w:rFonts w:ascii="Arial" w:eastAsia="Times New Roman" w:hAnsi="Arial" w:cs="Arial"/>
          <w:color w:val="000000"/>
          <w:lang w:eastAsia="es-CO"/>
        </w:rPr>
      </w:pPr>
    </w:p>
    <w:bookmarkEnd w:id="1779"/>
    <w:p w14:paraId="712A860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2.3.2.3.2. Del Interés Público y Social. Las áreas potenciales que la entidad territorial defina en los Planes de Ordenamiento Territorial (POT), Planes Básicos de Ordenamiento Territorial - PBOT, o Esquemas de Ordenamiento Territorial (EOT), según sea el caso, para la ubicación de infraestructura y prestación de la actividad de disposición final de residuos sólidos, son de interés público y social.  </w:t>
      </w:r>
    </w:p>
    <w:p w14:paraId="1959F2B6"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780" w:name="ver_30137319"/>
      <w:bookmarkEnd w:id="1780"/>
    </w:p>
    <w:p w14:paraId="2AC0EAA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2.3.2.3.3. De la responsabilidad de las Entidades Territoriales. Es responsabilidad de los entes territoriales asegurar la prestación de la actividad de disposición final de residuos sólidos, ya sea en su propio territorio o en otra jurisdicción, siempre y cuando participe en la estructuración e implementación de la solución de carácter regional. </w:t>
      </w:r>
    </w:p>
    <w:p w14:paraId="4A0DE0A1"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781" w:name="ver_30137320"/>
      <w:bookmarkEnd w:id="1781"/>
    </w:p>
    <w:p w14:paraId="116F5A7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2.3.2.3.4. Finalidad del Ordenamiento Territorial en la actividad de disposición final de residuos sólidos. Con el fin de implementar la actividad de disposición final de residuos sólidos, el ordenamiento territorial promoverá el establecimiento de regiones de planeación y gestión como marco de las relaciones geográficas, económicas y funcionales para el aseguramiento de su prestación.  </w:t>
      </w:r>
    </w:p>
    <w:p w14:paraId="15C03FB9"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782" w:name="ver_30137321"/>
      <w:bookmarkEnd w:id="1782"/>
    </w:p>
    <w:p w14:paraId="0B5967E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2.3.2.3.5. Regionalización de sistemas de disposición final de residuos sólidos. En la medida en que las condiciones ambientales, topográficas, viales y distancias lo permitan, los proyectos de disposición final de residuos sólidos que vaya a formular y desarrollar cualquier entidad </w:t>
      </w:r>
      <w:proofErr w:type="gramStart"/>
      <w:r w:rsidRPr="009342F9">
        <w:rPr>
          <w:rFonts w:ascii="Arial" w:eastAsia="Times New Roman" w:hAnsi="Arial" w:cs="Arial"/>
          <w:color w:val="000000"/>
          <w:lang w:eastAsia="es-CO"/>
        </w:rPr>
        <w:t>territorial,</w:t>
      </w:r>
      <w:proofErr w:type="gramEnd"/>
      <w:r w:rsidRPr="009342F9">
        <w:rPr>
          <w:rFonts w:ascii="Arial" w:eastAsia="Times New Roman" w:hAnsi="Arial" w:cs="Arial"/>
          <w:color w:val="000000"/>
          <w:lang w:eastAsia="es-CO"/>
        </w:rPr>
        <w:t xml:space="preserve"> propenderán a que se enfoquen desde el ámbito regional, teniendo en cuenta </w:t>
      </w:r>
      <w:r w:rsidRPr="009342F9">
        <w:rPr>
          <w:rFonts w:ascii="Arial" w:eastAsia="Times New Roman" w:hAnsi="Arial" w:cs="Arial"/>
          <w:color w:val="000000"/>
          <w:lang w:eastAsia="es-CO"/>
        </w:rPr>
        <w:lastRenderedPageBreak/>
        <w:t>los beneficios sociales, ambientales y económicos derivados de este nivel, en gestión conjunta con otros municipios y distritos.  </w:t>
      </w:r>
    </w:p>
    <w:p w14:paraId="5FB2B383"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783" w:name="ver_30137322"/>
      <w:bookmarkEnd w:id="1783"/>
    </w:p>
    <w:p w14:paraId="659D81C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2.3.2.3.6. Metodologías Tarifarias. De conformidad con la ley, las metodologías tarifarias del servicio público de aseo en la actividad complementarla de disposición final que establezca la Comisión de Regulación de Agua Potable y Saneamiento Básico (CRA) deberán Incentivar el desarrollo de esquemas regionalizados.  </w:t>
      </w:r>
    </w:p>
    <w:p w14:paraId="6B21E5EC"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784" w:name="ver_30137323"/>
      <w:bookmarkEnd w:id="1784"/>
    </w:p>
    <w:p w14:paraId="0E7E7A4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2.3.2.3.7. Cofinanciación de la Nación. Para que las entidades territoriales puedan acceder a los recursos de cofinanciación de la Nación para proyectos de sistemas de disposición final y tratamiento de residuos sólidos, deberán haber identificado, planteado, analizado y evaluado, dentro de los correspondientes estudios de factibilidad que soportan el proyecto, alternativas de regionalización del servicio y presentarlas en su solicitud adjuntando el plano de la cartografía oficial del POT, PBOT o EOT correspondiente donde se ubiquen y delimiten las áreas para este tipo de proyectos. </w:t>
      </w:r>
    </w:p>
    <w:p w14:paraId="6E217836"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785" w:name="ver_30137324"/>
      <w:bookmarkEnd w:id="1785"/>
    </w:p>
    <w:p w14:paraId="150DAF00" w14:textId="77777777" w:rsidR="00FC79C1" w:rsidRPr="009342F9" w:rsidRDefault="00FC79C1" w:rsidP="00F74103">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2.3.2.3.8. Adicionalidad para eficiencia. Con el fin de promover el diseño, implementación y operación de tratamientos alternativos y complementarios a rellenos sanitarios, de los que habla el capítulo 7 del presente título, las entidades territoriales y las personas prestadoras del servicio público domiciliario de aseo, deberán para la toma de decisiones, realizar el análisis de beneficio-costo y de sostenibilidad de los sistemas.  </w:t>
      </w:r>
    </w:p>
    <w:p w14:paraId="0E9C487A"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786" w:name="ver_30137325"/>
      <w:bookmarkEnd w:id="1786"/>
    </w:p>
    <w:p w14:paraId="1C951617" w14:textId="77777777" w:rsidR="00FC79C1" w:rsidRPr="009342F9" w:rsidRDefault="00FC79C1" w:rsidP="00F74103">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2.3.2.3.9. Localización de áreas. Con el fin de ubicar áreas para nuevos rellenos sanitarios municipales o regionales, el ente territorial definirá la Incorporación al plan de ordenamiento (POT, PBOT, EOT), de los polígonos donde potencialmente se localizarán dichas áreas, de acuerdo con los siguientes criterios:  </w:t>
      </w:r>
    </w:p>
    <w:p w14:paraId="1E7D2974" w14:textId="77777777" w:rsidR="00FC79C1" w:rsidRPr="009342F9" w:rsidRDefault="00FC79C1" w:rsidP="00FC79C1">
      <w:pPr>
        <w:spacing w:after="0" w:line="240" w:lineRule="auto"/>
        <w:ind w:left="252"/>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2AC0A5A" w14:textId="77777777" w:rsidR="00FC79C1" w:rsidRPr="009342F9" w:rsidRDefault="00FC79C1" w:rsidP="00F74103">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Identificación de determinantes ambientales debidamente incluidas en la cartografía oficial del POT, PBOT O EOT.  </w:t>
      </w:r>
    </w:p>
    <w:p w14:paraId="5D15F5E9" w14:textId="77777777" w:rsidR="00FC79C1" w:rsidRPr="009342F9" w:rsidRDefault="00FC79C1" w:rsidP="00F74103">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Establecimiento de la cercanía a aeropuertos en cumplimiento de las directrices de la Aeronáutica Civil referidas a obstáculos o impedimentos a la aviación.  </w:t>
      </w:r>
    </w:p>
    <w:p w14:paraId="15F73076" w14:textId="77777777" w:rsidR="00F74103" w:rsidRPr="009342F9" w:rsidRDefault="00F74103" w:rsidP="00F74103">
      <w:pPr>
        <w:spacing w:after="0" w:line="240" w:lineRule="auto"/>
        <w:jc w:val="both"/>
        <w:rPr>
          <w:rFonts w:ascii="Arial" w:eastAsia="Times New Roman" w:hAnsi="Arial" w:cs="Arial"/>
          <w:color w:val="000000"/>
          <w:lang w:eastAsia="es-CO"/>
        </w:rPr>
      </w:pPr>
    </w:p>
    <w:p w14:paraId="2E87D5F8" w14:textId="76BEEF81" w:rsidR="00FC79C1" w:rsidRPr="009342F9" w:rsidRDefault="00FC79C1" w:rsidP="00F74103">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Identificación de áreas con riesgo no mitigable incorporados en POT, PBOT O EOT.  </w:t>
      </w:r>
    </w:p>
    <w:p w14:paraId="05F7C2DA" w14:textId="77777777" w:rsidR="00F74103" w:rsidRPr="009342F9" w:rsidRDefault="00F74103" w:rsidP="00F74103">
      <w:pPr>
        <w:spacing w:after="0" w:line="240" w:lineRule="auto"/>
        <w:jc w:val="both"/>
        <w:rPr>
          <w:rFonts w:ascii="Arial" w:eastAsia="Times New Roman" w:hAnsi="Arial" w:cs="Arial"/>
          <w:color w:val="000000"/>
          <w:lang w:eastAsia="es-CO"/>
        </w:rPr>
      </w:pPr>
    </w:p>
    <w:p w14:paraId="2C285B45" w14:textId="470AD770" w:rsidR="00FC79C1" w:rsidRPr="009342F9" w:rsidRDefault="00FC79C1" w:rsidP="00F74103">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Identificación del perímetro urbano, zonas de expansión urbana y centros poblados.  </w:t>
      </w:r>
    </w:p>
    <w:p w14:paraId="1FD3161D" w14:textId="77777777" w:rsidR="00F74103" w:rsidRPr="009342F9" w:rsidRDefault="00F74103" w:rsidP="00F74103">
      <w:pPr>
        <w:spacing w:after="0" w:line="240" w:lineRule="auto"/>
        <w:jc w:val="both"/>
        <w:rPr>
          <w:rFonts w:ascii="Arial" w:eastAsia="Times New Roman" w:hAnsi="Arial" w:cs="Arial"/>
          <w:color w:val="000000"/>
          <w:lang w:eastAsia="es-CO"/>
        </w:rPr>
      </w:pPr>
    </w:p>
    <w:p w14:paraId="2342272E" w14:textId="7484A5A1" w:rsidR="00FC79C1" w:rsidRPr="009342F9" w:rsidRDefault="00FC79C1" w:rsidP="00F74103">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 Identificación de sitios intervenidos con la actividad de disposición final de residuos.  </w:t>
      </w:r>
    </w:p>
    <w:p w14:paraId="3BE5E3A2" w14:textId="77777777" w:rsidR="00FC79C1" w:rsidRPr="009342F9" w:rsidRDefault="00FC79C1" w:rsidP="00FC79C1">
      <w:pPr>
        <w:spacing w:after="0" w:line="240" w:lineRule="auto"/>
        <w:ind w:left="252"/>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D5A821C" w14:textId="77777777" w:rsidR="00FC79C1" w:rsidRPr="009342F9" w:rsidRDefault="00FC79C1" w:rsidP="00F74103">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1°. Con fundamento en la aplicación de los anteriores criterios se definirán las áreas disponibles sobre las que se deberán realizar los correspondientes estudios técnicos que establezcan su potencialidad para el desarrollo de proyectos de nuevos rellenos sanitarios o ampliación de los existentes.  </w:t>
      </w:r>
    </w:p>
    <w:p w14:paraId="143E5839" w14:textId="77777777" w:rsidR="00FC79C1" w:rsidRPr="009342F9" w:rsidRDefault="00FC79C1" w:rsidP="00FC79C1">
      <w:pPr>
        <w:spacing w:after="0" w:line="240" w:lineRule="auto"/>
        <w:ind w:left="252"/>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6CB337C" w14:textId="77777777" w:rsidR="00FC79C1" w:rsidRPr="009342F9" w:rsidRDefault="00FC79C1" w:rsidP="00F74103">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Los elementos técnicos para la determinación de áreas potenciales para nuevos rellenos sanitarios municipales o regionales o ampliación de los existentes, se efectuará por el Ministerio de Vivienda, Ciudad y Territorio.  </w:t>
      </w:r>
    </w:p>
    <w:p w14:paraId="2C82FF67" w14:textId="77777777" w:rsidR="00FC79C1" w:rsidRPr="009342F9" w:rsidRDefault="00FC79C1" w:rsidP="00FC79C1">
      <w:pPr>
        <w:spacing w:after="0" w:line="240" w:lineRule="auto"/>
        <w:ind w:left="252"/>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88CE6B7" w14:textId="77777777" w:rsidR="00FC79C1" w:rsidRPr="009342F9" w:rsidRDefault="00FC79C1" w:rsidP="00F74103">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2°. Las áreas definidas como potenciales para la ejecución de proyectos de nuevos rellenos sanitarios o ampliación de los existentes serán consideradas para todos los efectos como de interés Público y Social y deberán estar articuladas en el Plan de Gestión Integral de Residuos Sólidos (PGIRS).  </w:t>
      </w:r>
    </w:p>
    <w:p w14:paraId="107BBB39" w14:textId="77777777" w:rsidR="00FC79C1" w:rsidRPr="009342F9" w:rsidRDefault="00FC79C1" w:rsidP="00FC79C1">
      <w:pPr>
        <w:spacing w:after="0" w:line="240" w:lineRule="auto"/>
        <w:ind w:left="252"/>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w:t>
      </w:r>
    </w:p>
    <w:p w14:paraId="75CA2AC8" w14:textId="77777777" w:rsidR="00FC79C1" w:rsidRPr="009342F9" w:rsidRDefault="00FC79C1" w:rsidP="00F74103">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3°. Las áreas intervenidas con cualquier forma de disposición final deberán ser consideradas prioritariamente para la ubicación de infraestructura para la expansión o rehabilitación de rellenos sanitarios. </w:t>
      </w:r>
    </w:p>
    <w:p w14:paraId="67D839E2" w14:textId="77777777" w:rsidR="00FC79C1" w:rsidRPr="009342F9" w:rsidRDefault="00FC79C1" w:rsidP="00FC79C1">
      <w:pPr>
        <w:spacing w:after="0" w:line="240" w:lineRule="auto"/>
        <w:jc w:val="both"/>
        <w:rPr>
          <w:rFonts w:ascii="Arial" w:eastAsia="Times New Roman" w:hAnsi="Arial" w:cs="Arial"/>
          <w:color w:val="000000"/>
          <w:lang w:eastAsia="es-CO"/>
        </w:rPr>
      </w:pPr>
    </w:p>
    <w:p w14:paraId="50630331" w14:textId="77777777" w:rsidR="00FC79C1" w:rsidRPr="009342F9" w:rsidRDefault="00FC79C1" w:rsidP="00F74103">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2.3.2.3.10. Categorización de Rellenos Sanitarios. El Ministerio de Vivienda, Ciudad y Territorio definirá las condiciones mínimas de diseño y operación, que deberán ser utilizadas de acuerdo con la siguiente categorización para los sitios de disposición final, a partir del promedio diario registrado durante el último año.  </w:t>
      </w:r>
    </w:p>
    <w:p w14:paraId="017E50A9" w14:textId="77777777" w:rsidR="00FC79C1" w:rsidRPr="009342F9" w:rsidRDefault="00FC79C1" w:rsidP="00F74103">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tbl>
      <w:tblPr>
        <w:tblW w:w="750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17"/>
        <w:gridCol w:w="5183"/>
      </w:tblGrid>
      <w:tr w:rsidR="00FC79C1" w:rsidRPr="009342F9" w14:paraId="767657F6" w14:textId="77777777" w:rsidTr="00FC79C1">
        <w:trPr>
          <w:trHeight w:val="300"/>
          <w:tblCellSpacing w:w="0" w:type="dxa"/>
          <w:jc w:val="center"/>
        </w:trPr>
        <w:tc>
          <w:tcPr>
            <w:tcW w:w="1740" w:type="dxa"/>
            <w:tcBorders>
              <w:top w:val="outset" w:sz="6" w:space="0" w:color="auto"/>
              <w:left w:val="outset" w:sz="6" w:space="0" w:color="auto"/>
              <w:bottom w:val="outset" w:sz="6" w:space="0" w:color="auto"/>
              <w:right w:val="outset" w:sz="6" w:space="0" w:color="auto"/>
            </w:tcBorders>
            <w:noWrap/>
            <w:vAlign w:val="center"/>
            <w:hideMark/>
          </w:tcPr>
          <w:p w14:paraId="65E91F69" w14:textId="77777777" w:rsidR="00FC79C1" w:rsidRPr="009342F9" w:rsidRDefault="00FC79C1" w:rsidP="00F74103">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Categoría I.  </w:t>
            </w:r>
          </w:p>
        </w:tc>
        <w:tc>
          <w:tcPr>
            <w:tcW w:w="3930" w:type="dxa"/>
            <w:tcBorders>
              <w:top w:val="outset" w:sz="6" w:space="0" w:color="auto"/>
              <w:left w:val="outset" w:sz="6" w:space="0" w:color="auto"/>
              <w:bottom w:val="outset" w:sz="6" w:space="0" w:color="auto"/>
              <w:right w:val="outset" w:sz="6" w:space="0" w:color="auto"/>
            </w:tcBorders>
            <w:noWrap/>
            <w:vAlign w:val="center"/>
            <w:hideMark/>
          </w:tcPr>
          <w:p w14:paraId="3B66EBF1" w14:textId="77777777" w:rsidR="00FC79C1" w:rsidRPr="009342F9" w:rsidRDefault="00FC79C1" w:rsidP="00F74103">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De 0 a 50 ton/día.  </w:t>
            </w:r>
          </w:p>
        </w:tc>
      </w:tr>
      <w:tr w:rsidR="00FC79C1" w:rsidRPr="009342F9" w14:paraId="43AC7FAF" w14:textId="77777777" w:rsidTr="00FC79C1">
        <w:trPr>
          <w:trHeight w:val="300"/>
          <w:tblCellSpacing w:w="0" w:type="dxa"/>
          <w:jc w:val="center"/>
        </w:trPr>
        <w:tc>
          <w:tcPr>
            <w:tcW w:w="1740" w:type="dxa"/>
            <w:tcBorders>
              <w:top w:val="outset" w:sz="6" w:space="0" w:color="auto"/>
              <w:left w:val="outset" w:sz="6" w:space="0" w:color="auto"/>
              <w:bottom w:val="outset" w:sz="6" w:space="0" w:color="auto"/>
              <w:right w:val="outset" w:sz="6" w:space="0" w:color="auto"/>
            </w:tcBorders>
            <w:noWrap/>
            <w:vAlign w:val="center"/>
            <w:hideMark/>
          </w:tcPr>
          <w:p w14:paraId="35196949" w14:textId="77777777" w:rsidR="00FC79C1" w:rsidRPr="009342F9" w:rsidRDefault="00FC79C1" w:rsidP="00F74103">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Categoría II.  </w:t>
            </w:r>
          </w:p>
        </w:tc>
        <w:tc>
          <w:tcPr>
            <w:tcW w:w="3930" w:type="dxa"/>
            <w:tcBorders>
              <w:top w:val="outset" w:sz="6" w:space="0" w:color="auto"/>
              <w:left w:val="outset" w:sz="6" w:space="0" w:color="auto"/>
              <w:bottom w:val="outset" w:sz="6" w:space="0" w:color="auto"/>
              <w:right w:val="outset" w:sz="6" w:space="0" w:color="auto"/>
            </w:tcBorders>
            <w:noWrap/>
            <w:vAlign w:val="center"/>
            <w:hideMark/>
          </w:tcPr>
          <w:p w14:paraId="2AE8E52B" w14:textId="77777777" w:rsidR="00FC79C1" w:rsidRPr="009342F9" w:rsidRDefault="00FC79C1" w:rsidP="00F74103">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Mayor de 50 hasta 500 ton/día  </w:t>
            </w:r>
          </w:p>
        </w:tc>
      </w:tr>
      <w:tr w:rsidR="00FC79C1" w:rsidRPr="009342F9" w14:paraId="14DB52A0" w14:textId="77777777" w:rsidTr="00FC79C1">
        <w:trPr>
          <w:trHeight w:val="300"/>
          <w:tblCellSpacing w:w="0" w:type="dxa"/>
          <w:jc w:val="center"/>
        </w:trPr>
        <w:tc>
          <w:tcPr>
            <w:tcW w:w="1740" w:type="dxa"/>
            <w:tcBorders>
              <w:top w:val="outset" w:sz="6" w:space="0" w:color="auto"/>
              <w:left w:val="outset" w:sz="6" w:space="0" w:color="auto"/>
              <w:bottom w:val="outset" w:sz="6" w:space="0" w:color="auto"/>
              <w:right w:val="outset" w:sz="6" w:space="0" w:color="auto"/>
            </w:tcBorders>
            <w:noWrap/>
            <w:vAlign w:val="center"/>
            <w:hideMark/>
          </w:tcPr>
          <w:p w14:paraId="4BAB26FA" w14:textId="77777777" w:rsidR="00FC79C1" w:rsidRPr="009342F9" w:rsidRDefault="00FC79C1" w:rsidP="00F74103">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Categoría III.  </w:t>
            </w:r>
          </w:p>
        </w:tc>
        <w:tc>
          <w:tcPr>
            <w:tcW w:w="3930" w:type="dxa"/>
            <w:tcBorders>
              <w:top w:val="outset" w:sz="6" w:space="0" w:color="auto"/>
              <w:left w:val="outset" w:sz="6" w:space="0" w:color="auto"/>
              <w:bottom w:val="outset" w:sz="6" w:space="0" w:color="auto"/>
              <w:right w:val="outset" w:sz="6" w:space="0" w:color="auto"/>
            </w:tcBorders>
            <w:noWrap/>
            <w:vAlign w:val="center"/>
            <w:hideMark/>
          </w:tcPr>
          <w:p w14:paraId="00032CD3" w14:textId="77777777" w:rsidR="00FC79C1" w:rsidRPr="009342F9" w:rsidRDefault="00FC79C1" w:rsidP="00F74103">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Mayor de 500 hasta 3000 ton/día.  </w:t>
            </w:r>
          </w:p>
        </w:tc>
      </w:tr>
      <w:tr w:rsidR="00FC79C1" w:rsidRPr="009342F9" w14:paraId="4CA7AE83" w14:textId="77777777" w:rsidTr="00FC79C1">
        <w:trPr>
          <w:trHeight w:val="300"/>
          <w:tblCellSpacing w:w="0" w:type="dxa"/>
          <w:jc w:val="center"/>
        </w:trPr>
        <w:tc>
          <w:tcPr>
            <w:tcW w:w="1740" w:type="dxa"/>
            <w:tcBorders>
              <w:top w:val="outset" w:sz="6" w:space="0" w:color="auto"/>
              <w:left w:val="outset" w:sz="6" w:space="0" w:color="auto"/>
              <w:bottom w:val="outset" w:sz="6" w:space="0" w:color="auto"/>
              <w:right w:val="outset" w:sz="6" w:space="0" w:color="auto"/>
            </w:tcBorders>
            <w:noWrap/>
            <w:vAlign w:val="center"/>
            <w:hideMark/>
          </w:tcPr>
          <w:p w14:paraId="3CFD91E7" w14:textId="77777777" w:rsidR="00FC79C1" w:rsidRPr="009342F9" w:rsidRDefault="00FC79C1" w:rsidP="00F74103">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Categoría IV.  </w:t>
            </w:r>
          </w:p>
        </w:tc>
        <w:tc>
          <w:tcPr>
            <w:tcW w:w="3930" w:type="dxa"/>
            <w:tcBorders>
              <w:top w:val="outset" w:sz="6" w:space="0" w:color="auto"/>
              <w:left w:val="outset" w:sz="6" w:space="0" w:color="auto"/>
              <w:bottom w:val="outset" w:sz="6" w:space="0" w:color="auto"/>
              <w:right w:val="outset" w:sz="6" w:space="0" w:color="auto"/>
            </w:tcBorders>
            <w:noWrap/>
            <w:vAlign w:val="center"/>
            <w:hideMark/>
          </w:tcPr>
          <w:p w14:paraId="66D3210C" w14:textId="77777777" w:rsidR="00FC79C1" w:rsidRPr="009342F9" w:rsidRDefault="00FC79C1" w:rsidP="00F74103">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Mayor de 3000 ton/día.  </w:t>
            </w:r>
          </w:p>
        </w:tc>
      </w:tr>
    </w:tbl>
    <w:p w14:paraId="57DEB9AB" w14:textId="77777777" w:rsidR="00FC79C1" w:rsidRPr="009342F9" w:rsidRDefault="00FC79C1" w:rsidP="00F74103">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685CC69" w14:textId="77777777" w:rsidR="00FC79C1" w:rsidRPr="009342F9" w:rsidRDefault="00FC79C1" w:rsidP="00F74103">
      <w:pPr>
        <w:spacing w:after="0" w:line="240" w:lineRule="auto"/>
        <w:jc w:val="both"/>
        <w:rPr>
          <w:rFonts w:ascii="Arial" w:eastAsia="Times New Roman" w:hAnsi="Arial" w:cs="Arial"/>
          <w:color w:val="000000"/>
          <w:lang w:eastAsia="es-CO"/>
        </w:rPr>
      </w:pPr>
    </w:p>
    <w:p w14:paraId="0462F619" w14:textId="77777777" w:rsidR="00FC79C1" w:rsidRPr="009342F9" w:rsidRDefault="00FC79C1" w:rsidP="00F74103">
      <w:pPr>
        <w:spacing w:after="0" w:line="240" w:lineRule="auto"/>
        <w:jc w:val="both"/>
        <w:rPr>
          <w:rFonts w:ascii="Arial" w:eastAsia="Times New Roman" w:hAnsi="Arial" w:cs="Arial"/>
          <w:color w:val="000000"/>
          <w:lang w:eastAsia="es-CO"/>
        </w:rPr>
      </w:pPr>
      <w:bookmarkStart w:id="1787" w:name="ver_30137327"/>
      <w:bookmarkEnd w:id="1787"/>
      <w:r w:rsidRPr="009342F9">
        <w:rPr>
          <w:rFonts w:ascii="Arial" w:eastAsia="Times New Roman" w:hAnsi="Arial" w:cs="Arial"/>
          <w:color w:val="000000"/>
          <w:lang w:eastAsia="es-CO"/>
        </w:rPr>
        <w:t xml:space="preserve">Artículo 2.3.2.3.11. Requisitos mínimos para el diseño de nuevos rellenos sanitarios o ampliación de existentes. Una vez se ha determinado que el área seleccionada para la ejecución del </w:t>
      </w:r>
      <w:proofErr w:type="gramStart"/>
      <w:r w:rsidRPr="009342F9">
        <w:rPr>
          <w:rFonts w:ascii="Arial" w:eastAsia="Times New Roman" w:hAnsi="Arial" w:cs="Arial"/>
          <w:color w:val="000000"/>
          <w:lang w:eastAsia="es-CO"/>
        </w:rPr>
        <w:t>proyecto,</w:t>
      </w:r>
      <w:proofErr w:type="gramEnd"/>
      <w:r w:rsidRPr="009342F9">
        <w:rPr>
          <w:rFonts w:ascii="Arial" w:eastAsia="Times New Roman" w:hAnsi="Arial" w:cs="Arial"/>
          <w:color w:val="000000"/>
          <w:lang w:eastAsia="es-CO"/>
        </w:rPr>
        <w:t xml:space="preserve"> cuenta con uso de suelo compatible o condicionado, de manera previa y sin perjuicio de otros requisitos, se deberá contar con el Documento Técnico de Estudios y Diseños, el cual contendrá como mínimo:  </w:t>
      </w:r>
    </w:p>
    <w:p w14:paraId="6387BF8C" w14:textId="77777777" w:rsidR="00FC79C1" w:rsidRPr="009342F9" w:rsidRDefault="00FC79C1" w:rsidP="00F74103">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9CC4CFA" w14:textId="77777777" w:rsidR="00FC79C1" w:rsidRPr="009342F9" w:rsidRDefault="00FC79C1" w:rsidP="00F74103">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I. Estudios Preliminares.  </w:t>
      </w:r>
    </w:p>
    <w:p w14:paraId="5DB1FAF8" w14:textId="77777777" w:rsidR="00FC79C1" w:rsidRPr="009342F9" w:rsidRDefault="00FC79C1" w:rsidP="00F74103">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FF5E85E" w14:textId="77777777" w:rsidR="00FC79C1" w:rsidRPr="009342F9" w:rsidRDefault="00FC79C1" w:rsidP="00F74103">
      <w:pPr>
        <w:numPr>
          <w:ilvl w:val="0"/>
          <w:numId w:val="1"/>
        </w:numPr>
        <w:spacing w:after="0" w:line="240" w:lineRule="auto"/>
        <w:ind w:left="360"/>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Estudio topográfico: Según las dimensiones del proyecto, donde se muestre claramente toda la </w:t>
      </w:r>
      <w:proofErr w:type="spellStart"/>
      <w:r w:rsidRPr="009342F9">
        <w:rPr>
          <w:rFonts w:ascii="Arial" w:eastAsia="Times New Roman" w:hAnsi="Arial" w:cs="Arial"/>
          <w:color w:val="000000"/>
          <w:lang w:eastAsia="es-CO"/>
        </w:rPr>
        <w:t>instrumentaria</w:t>
      </w:r>
      <w:proofErr w:type="spellEnd"/>
      <w:r w:rsidRPr="009342F9">
        <w:rPr>
          <w:rFonts w:ascii="Arial" w:eastAsia="Times New Roman" w:hAnsi="Arial" w:cs="Arial"/>
          <w:color w:val="000000"/>
          <w:lang w:eastAsia="es-CO"/>
        </w:rPr>
        <w:t xml:space="preserve"> del predio objeto de estudio, y las vías de acceso al mismo.</w:t>
      </w:r>
    </w:p>
    <w:p w14:paraId="67E023AE" w14:textId="77777777" w:rsidR="00FC79C1" w:rsidRPr="009342F9" w:rsidRDefault="00FC79C1" w:rsidP="00F74103">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CC5B9A2" w14:textId="77777777" w:rsidR="00FC79C1" w:rsidRPr="009342F9" w:rsidRDefault="00FC79C1" w:rsidP="00F74103">
      <w:pPr>
        <w:numPr>
          <w:ilvl w:val="0"/>
          <w:numId w:val="2"/>
        </w:numPr>
        <w:spacing w:after="0" w:line="240" w:lineRule="auto"/>
        <w:ind w:left="360"/>
        <w:jc w:val="both"/>
        <w:rPr>
          <w:rFonts w:ascii="Arial" w:eastAsia="Times New Roman" w:hAnsi="Arial" w:cs="Arial"/>
          <w:color w:val="000000"/>
          <w:lang w:eastAsia="es-CO"/>
        </w:rPr>
      </w:pPr>
      <w:r w:rsidRPr="009342F9">
        <w:rPr>
          <w:rFonts w:ascii="Arial" w:eastAsia="Times New Roman" w:hAnsi="Arial" w:cs="Arial"/>
          <w:color w:val="000000"/>
          <w:lang w:eastAsia="es-CO"/>
        </w:rPr>
        <w:t>Estudios Geológicos y Geomorfológicos: Levantamiento geológico, utilizando la base cartográfica del estudio topográfico, interpretación de fotografías áreas y sensores remotos, exploración del subsuelo (directa e indirecta) y ensayos in situ y de laboratorio. En cuanto a geomorfología, se deberán identificar las unidades geomorfológicas, registrando la cartografía y morfo dinámica basada en análisis multitemporal.</w:t>
      </w:r>
    </w:p>
    <w:p w14:paraId="686F3326" w14:textId="77777777" w:rsidR="00FC79C1" w:rsidRPr="009342F9" w:rsidRDefault="00FC79C1" w:rsidP="00F74103">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D0A1498" w14:textId="77777777" w:rsidR="00FC79C1" w:rsidRPr="009342F9" w:rsidRDefault="00FC79C1" w:rsidP="00F74103">
      <w:pPr>
        <w:numPr>
          <w:ilvl w:val="0"/>
          <w:numId w:val="3"/>
        </w:numPr>
        <w:spacing w:after="0" w:line="240" w:lineRule="auto"/>
        <w:ind w:left="360"/>
        <w:jc w:val="both"/>
        <w:rPr>
          <w:rFonts w:ascii="Arial" w:eastAsia="Times New Roman" w:hAnsi="Arial" w:cs="Arial"/>
          <w:color w:val="000000"/>
          <w:lang w:eastAsia="es-CO"/>
        </w:rPr>
      </w:pPr>
      <w:r w:rsidRPr="009342F9">
        <w:rPr>
          <w:rFonts w:ascii="Arial" w:eastAsia="Times New Roman" w:hAnsi="Arial" w:cs="Arial"/>
          <w:color w:val="000000"/>
          <w:lang w:eastAsia="es-CO"/>
        </w:rPr>
        <w:t>Exploración del subsuelo: Exploración del subsuelo e investigación geotécnica de manera que permita garantizar la obtención de la información geotécnica requerida para completar el modelo geológico-geotécnico de las diferentes zonas consideradas dentro del área del proyecto.</w:t>
      </w:r>
    </w:p>
    <w:p w14:paraId="56C4D240" w14:textId="77777777" w:rsidR="00FC79C1" w:rsidRPr="009342F9" w:rsidRDefault="00FC79C1" w:rsidP="00F74103">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7C2C295" w14:textId="77777777" w:rsidR="00FC79C1" w:rsidRPr="009342F9" w:rsidRDefault="00FC79C1" w:rsidP="00F74103">
      <w:pPr>
        <w:numPr>
          <w:ilvl w:val="0"/>
          <w:numId w:val="4"/>
        </w:numPr>
        <w:spacing w:after="0" w:line="240" w:lineRule="auto"/>
        <w:ind w:left="360"/>
        <w:jc w:val="both"/>
        <w:rPr>
          <w:rFonts w:ascii="Arial" w:eastAsia="Times New Roman" w:hAnsi="Arial" w:cs="Arial"/>
          <w:color w:val="000000"/>
          <w:lang w:eastAsia="es-CO"/>
        </w:rPr>
      </w:pPr>
      <w:r w:rsidRPr="009342F9">
        <w:rPr>
          <w:rFonts w:ascii="Arial" w:eastAsia="Times New Roman" w:hAnsi="Arial" w:cs="Arial"/>
          <w:color w:val="000000"/>
          <w:lang w:eastAsia="es-CO"/>
        </w:rPr>
        <w:t>Estudio Hidrogeológico: Determinación y evaluación de las condiciones del agua subsuperficial y subterránea en condiciones normales y extremas más probables en el periodo de diseño de análisis del proyecto, con especial descripción de las características hidráulicas (porosidad, permeabilidad, transmisividad, coeficiente de almacenamiento) y niveles freáticos.</w:t>
      </w:r>
    </w:p>
    <w:p w14:paraId="1E83CA00" w14:textId="00041D7F" w:rsidR="00FC79C1" w:rsidRPr="009342F9" w:rsidRDefault="00FC79C1" w:rsidP="00F74103">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0E92F54" w14:textId="38EC4523" w:rsidR="00FC79C1" w:rsidRPr="009342F9" w:rsidRDefault="00FC79C1" w:rsidP="00F74103">
      <w:pPr>
        <w:numPr>
          <w:ilvl w:val="0"/>
          <w:numId w:val="5"/>
        </w:numPr>
        <w:spacing w:after="0" w:line="240" w:lineRule="auto"/>
        <w:ind w:left="360"/>
        <w:jc w:val="both"/>
        <w:rPr>
          <w:rFonts w:ascii="Arial" w:eastAsia="Times New Roman" w:hAnsi="Arial" w:cs="Arial"/>
          <w:color w:val="000000"/>
          <w:lang w:eastAsia="es-CO"/>
        </w:rPr>
      </w:pPr>
      <w:r w:rsidRPr="009342F9">
        <w:rPr>
          <w:rFonts w:ascii="Arial" w:eastAsia="Times New Roman" w:hAnsi="Arial" w:cs="Arial"/>
          <w:color w:val="000000"/>
          <w:lang w:eastAsia="es-CO"/>
        </w:rPr>
        <w:t>Estudio hidrológico: Contiene información secundaria de balance hídrico, curvas de Intensidad, Duración y Frecuencia (IDF) con base a los reportes de precipitación anual aportados por la Instituto de Estudios Ambientales (</w:t>
      </w:r>
      <w:proofErr w:type="spellStart"/>
      <w:r w:rsidRPr="009342F9">
        <w:rPr>
          <w:rFonts w:ascii="Arial" w:eastAsia="Times New Roman" w:hAnsi="Arial" w:cs="Arial"/>
          <w:color w:val="000000"/>
          <w:lang w:eastAsia="es-CO"/>
        </w:rPr>
        <w:t>Ideam</w:t>
      </w:r>
      <w:proofErr w:type="spellEnd"/>
      <w:r w:rsidRPr="009342F9">
        <w:rPr>
          <w:rFonts w:ascii="Arial" w:eastAsia="Times New Roman" w:hAnsi="Arial" w:cs="Arial"/>
          <w:color w:val="000000"/>
          <w:lang w:eastAsia="es-CO"/>
        </w:rPr>
        <w:t>) o quien haga sus veces.</w:t>
      </w:r>
    </w:p>
    <w:p w14:paraId="5B252BCD" w14:textId="77777777" w:rsidR="00F74103" w:rsidRPr="009342F9" w:rsidRDefault="00F74103" w:rsidP="00F74103">
      <w:pPr>
        <w:spacing w:after="0" w:line="240" w:lineRule="auto"/>
        <w:ind w:left="360"/>
        <w:jc w:val="both"/>
        <w:rPr>
          <w:rFonts w:ascii="Arial" w:eastAsia="Times New Roman" w:hAnsi="Arial" w:cs="Arial"/>
          <w:color w:val="000000"/>
          <w:lang w:eastAsia="es-CO"/>
        </w:rPr>
      </w:pPr>
    </w:p>
    <w:p w14:paraId="4CC96E60" w14:textId="77777777" w:rsidR="00FC79C1" w:rsidRPr="009342F9" w:rsidRDefault="00FC79C1" w:rsidP="00F74103">
      <w:pPr>
        <w:numPr>
          <w:ilvl w:val="0"/>
          <w:numId w:val="6"/>
        </w:numPr>
        <w:spacing w:after="0" w:line="240" w:lineRule="auto"/>
        <w:ind w:left="360"/>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Estudio Geotécnico: Deberá plantear en secciones y perfiles longitudinales y transversales del área del proyecto, el modelo geológico-geotécnico de los distintos sectores del área de </w:t>
      </w:r>
      <w:r w:rsidRPr="009342F9">
        <w:rPr>
          <w:rFonts w:ascii="Arial" w:eastAsia="Times New Roman" w:hAnsi="Arial" w:cs="Arial"/>
          <w:color w:val="000000"/>
          <w:lang w:eastAsia="es-CO"/>
        </w:rPr>
        <w:lastRenderedPageBreak/>
        <w:t>estudio, determinando la relación entre los rasgos geológicos y los procesos de inestabilidad actuales y potenciales y sus mecanismos de falla en caso de existir. Se presentará el correspondiente análisis de fenómenos de movimientos en masa y procesos erosivos.</w:t>
      </w:r>
    </w:p>
    <w:p w14:paraId="669C2FF1" w14:textId="77777777" w:rsidR="00FC79C1" w:rsidRPr="009342F9" w:rsidRDefault="00FC79C1" w:rsidP="00F74103">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0E80CF1" w14:textId="77777777" w:rsidR="00FC79C1" w:rsidRPr="009342F9" w:rsidRDefault="00FC79C1" w:rsidP="00F74103">
      <w:pPr>
        <w:numPr>
          <w:ilvl w:val="0"/>
          <w:numId w:val="7"/>
        </w:numPr>
        <w:spacing w:after="0" w:line="240" w:lineRule="auto"/>
        <w:ind w:left="360"/>
        <w:jc w:val="both"/>
        <w:rPr>
          <w:rFonts w:ascii="Arial" w:eastAsia="Times New Roman" w:hAnsi="Arial" w:cs="Arial"/>
          <w:color w:val="000000"/>
          <w:lang w:eastAsia="es-CO"/>
        </w:rPr>
      </w:pPr>
      <w:r w:rsidRPr="009342F9">
        <w:rPr>
          <w:rFonts w:ascii="Arial" w:eastAsia="Times New Roman" w:hAnsi="Arial" w:cs="Arial"/>
          <w:color w:val="000000"/>
          <w:lang w:eastAsia="es-CO"/>
        </w:rPr>
        <w:t>Análisis de estabilidad: Se deberán realizar los análisis de estabilidad pertinentes considerando las características geológicas y geomecánicas de los materiales establecidos a partir del modelo geológico-geotécnico en condiciones de saturación y sísmico, incluyendo la masa de residuos proyectada. Así mismo, se presentarán las condiciones de capacidad portante del suelo o subsuelo de soporte del relleno sanitario.</w:t>
      </w:r>
    </w:p>
    <w:p w14:paraId="45A699AC" w14:textId="223BE73B" w:rsidR="00FC79C1" w:rsidRPr="009342F9" w:rsidRDefault="00FC79C1" w:rsidP="00F74103">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3623673" w14:textId="77777777" w:rsidR="00FC79C1" w:rsidRPr="009342F9" w:rsidRDefault="00FC79C1" w:rsidP="00F74103">
      <w:pPr>
        <w:numPr>
          <w:ilvl w:val="0"/>
          <w:numId w:val="8"/>
        </w:numPr>
        <w:spacing w:after="0" w:line="240" w:lineRule="auto"/>
        <w:ind w:left="360"/>
        <w:jc w:val="both"/>
        <w:rPr>
          <w:rFonts w:ascii="Arial" w:eastAsia="Times New Roman" w:hAnsi="Arial" w:cs="Arial"/>
          <w:color w:val="000000"/>
          <w:lang w:eastAsia="es-CO"/>
        </w:rPr>
      </w:pPr>
      <w:r w:rsidRPr="009342F9">
        <w:rPr>
          <w:rFonts w:ascii="Arial" w:eastAsia="Times New Roman" w:hAnsi="Arial" w:cs="Arial"/>
          <w:color w:val="000000"/>
          <w:lang w:eastAsia="es-CO"/>
        </w:rPr>
        <w:t>Análisis de Riesgo: Como resultado del análisis geológico-geotécnico, se desarrollarán las condiciones de amenaza, vulnerabilidad y riesgo que son fundamentales para la adecuada toma de decisiones para la construcción de la infraestructura y con base en dichas condiciones, se determinarán las conclusiones y recomendaciones en términos de tipo de relleno sanitario más adecuado, métodos de excavación, obras requeridas de contención o estabilización geotécnica.</w:t>
      </w:r>
    </w:p>
    <w:p w14:paraId="09CFA0E3" w14:textId="77777777" w:rsidR="00FC79C1" w:rsidRPr="009342F9" w:rsidRDefault="00FC79C1" w:rsidP="00F74103">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D5BE666" w14:textId="77777777" w:rsidR="00FC79C1" w:rsidRPr="009342F9" w:rsidRDefault="00FC79C1" w:rsidP="00F74103">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u w:val="single"/>
          <w:lang w:eastAsia="es-CO"/>
        </w:rPr>
        <w:t>II. Diseño de llenado.</w:t>
      </w:r>
      <w:r w:rsidRPr="009342F9">
        <w:rPr>
          <w:rFonts w:ascii="Arial" w:eastAsia="Times New Roman" w:hAnsi="Arial" w:cs="Arial"/>
          <w:color w:val="000000"/>
          <w:lang w:eastAsia="es-CO"/>
        </w:rPr>
        <w:t> Una vez realizados los estudios preliminares, se definirá el método de llenado acorde con la topografía, geotecnia y condiciones hidrológicas del terreno seleccionado, así como también el manejo y el tipo de tratamiento de lixiviado y de gases.  </w:t>
      </w:r>
    </w:p>
    <w:p w14:paraId="49A2D143" w14:textId="77777777" w:rsidR="00FC79C1" w:rsidRPr="009342F9" w:rsidRDefault="00FC79C1" w:rsidP="00F74103">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642DB13" w14:textId="77777777" w:rsidR="00FC79C1" w:rsidRPr="009342F9" w:rsidRDefault="00FC79C1" w:rsidP="00F74103">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u w:val="single"/>
          <w:lang w:eastAsia="es-CO"/>
        </w:rPr>
        <w:t>III. Cálculos. </w:t>
      </w:r>
      <w:r w:rsidRPr="009342F9">
        <w:rPr>
          <w:rFonts w:ascii="Arial" w:eastAsia="Times New Roman" w:hAnsi="Arial" w:cs="Arial"/>
          <w:color w:val="000000"/>
          <w:lang w:eastAsia="es-CO"/>
        </w:rPr>
        <w:t> </w:t>
      </w:r>
    </w:p>
    <w:p w14:paraId="4DDB1250" w14:textId="77777777" w:rsidR="00FC79C1" w:rsidRPr="009342F9" w:rsidRDefault="00FC79C1" w:rsidP="00F74103">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85A598E" w14:textId="77777777" w:rsidR="00FC79C1" w:rsidRPr="009342F9" w:rsidRDefault="00FC79C1" w:rsidP="00F74103">
      <w:pPr>
        <w:numPr>
          <w:ilvl w:val="0"/>
          <w:numId w:val="9"/>
        </w:numPr>
        <w:spacing w:after="0" w:line="240" w:lineRule="auto"/>
        <w:ind w:left="360"/>
        <w:jc w:val="both"/>
        <w:rPr>
          <w:rFonts w:ascii="Arial" w:eastAsia="Times New Roman" w:hAnsi="Arial" w:cs="Arial"/>
          <w:color w:val="000000"/>
          <w:lang w:eastAsia="es-CO"/>
        </w:rPr>
      </w:pPr>
      <w:r w:rsidRPr="009342F9">
        <w:rPr>
          <w:rFonts w:ascii="Arial" w:eastAsia="Times New Roman" w:hAnsi="Arial" w:cs="Arial"/>
          <w:color w:val="000000"/>
          <w:lang w:eastAsia="es-CO"/>
        </w:rPr>
        <w:t>De la celda de disposición: Se deberá proyectar el número de celdas a ser utilizadas acorde a la necesidad de disposición de los residuos sólidos proyectados en el horizonte de diseño del relleno sanitario, expresado en m3/año, teniendo en cuenta, como mínimo, los siguientes aspectos:</w:t>
      </w:r>
    </w:p>
    <w:p w14:paraId="6D2A9C43" w14:textId="77777777" w:rsidR="00FC79C1" w:rsidRPr="009342F9" w:rsidRDefault="00FC79C1" w:rsidP="00F74103">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6B9A3F6" w14:textId="77777777" w:rsidR="00FC79C1" w:rsidRPr="009342F9" w:rsidRDefault="00FC79C1" w:rsidP="00F74103">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Porcentaje de compactación empleado para el cálculo de la celda diaria de disposición y espesor de la cobertura diaria a utilizar.  </w:t>
      </w:r>
    </w:p>
    <w:p w14:paraId="6AD3E450" w14:textId="77777777" w:rsidR="00FC79C1" w:rsidRPr="009342F9" w:rsidRDefault="00FC79C1" w:rsidP="00F74103">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DEAC9FF" w14:textId="77777777" w:rsidR="00FC79C1" w:rsidRPr="009342F9" w:rsidRDefault="00FC79C1" w:rsidP="00F74103">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Pendiente de fondo que permita la evacuación por gravedad del lixiviado generado.  </w:t>
      </w:r>
    </w:p>
    <w:p w14:paraId="13541C13" w14:textId="77777777" w:rsidR="00FC79C1" w:rsidRPr="009342F9" w:rsidRDefault="00FC79C1" w:rsidP="00F74103">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CC5AF9D" w14:textId="77777777" w:rsidR="00FC79C1" w:rsidRPr="009342F9" w:rsidRDefault="00FC79C1" w:rsidP="00F74103">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•Perfilado de suelo de fondo y dimensionamiento de canales de evacuación impermeabilizados, teniendo en cuenta conductividad y porosidad del terreno.  </w:t>
      </w:r>
    </w:p>
    <w:p w14:paraId="66EEE20A" w14:textId="77777777" w:rsidR="00FC79C1" w:rsidRPr="009342F9" w:rsidRDefault="00FC79C1" w:rsidP="00F74103">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56288D3" w14:textId="77777777" w:rsidR="00FC79C1" w:rsidRPr="009342F9" w:rsidRDefault="00FC79C1" w:rsidP="00F74103">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Impermeabilización requerida acorde con las características de suelo.  </w:t>
      </w:r>
    </w:p>
    <w:p w14:paraId="780C6ECA" w14:textId="26A80B29" w:rsidR="00FC79C1" w:rsidRPr="009342F9" w:rsidRDefault="00FC79C1" w:rsidP="00F74103">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0032EA0" w14:textId="77777777" w:rsidR="00FC79C1" w:rsidRPr="009342F9" w:rsidRDefault="00FC79C1" w:rsidP="00F74103">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Del dren de lixiviado: Una vez dimensionada la celda, se debe definir el tipo, diámetro y distribución de la tubería, la cual será calculada acorde al caudal de lixiviado generado al horizonte de diseño de cada celda. El material de la tubería a utilizar deberá ser seleccionado acorde a la resistencia a temperatura y vida útil de la misma.  </w:t>
      </w:r>
    </w:p>
    <w:p w14:paraId="652071AF" w14:textId="77777777" w:rsidR="00FC79C1" w:rsidRPr="009342F9" w:rsidRDefault="00FC79C1" w:rsidP="00F74103">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8B6444E" w14:textId="77777777" w:rsidR="00FC79C1" w:rsidRPr="009342F9" w:rsidRDefault="00FC79C1" w:rsidP="00F74103">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Del dren de evacuación de gases: Una vez dimensionada la celda, se deber definir número, diámetro y distancia entre chimeneas que permita la recolección y evacuación del gas. La captura y quema tecnificada deberá realizarse en todas las categorías de relleno establecidas.  </w:t>
      </w:r>
    </w:p>
    <w:p w14:paraId="7367363B" w14:textId="77777777" w:rsidR="00FC79C1" w:rsidRPr="009342F9" w:rsidRDefault="00FC79C1" w:rsidP="00F74103">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99863BA" w14:textId="77777777" w:rsidR="00FC79C1" w:rsidRPr="009342F9" w:rsidRDefault="00FC79C1" w:rsidP="00F74103">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4. De los canales de aguas lluvias. Acorde a las curvas de Intensidad, Duración y Frecuencia (IDF), se deberá realizar el cálculo y diseño de los canales de evacuación de aguas lluvias, especificando, acorde con la topografía del terreno, la pendiente mínima, el tipo y material de </w:t>
      </w:r>
      <w:r w:rsidRPr="009342F9">
        <w:rPr>
          <w:rFonts w:ascii="Arial" w:eastAsia="Times New Roman" w:hAnsi="Arial" w:cs="Arial"/>
          <w:color w:val="000000"/>
          <w:lang w:eastAsia="es-CO"/>
        </w:rPr>
        <w:lastRenderedPageBreak/>
        <w:t>revestimiento del canal. La evacuación de las aguas que conduzca el canal deberá ser vertida sobre una corriente o campo natural libre de contacto con el lixiviado.  </w:t>
      </w:r>
    </w:p>
    <w:p w14:paraId="4636BECC" w14:textId="77777777" w:rsidR="00FC79C1" w:rsidRPr="009342F9" w:rsidRDefault="00FC79C1" w:rsidP="00F74103">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D4264FC" w14:textId="77777777" w:rsidR="00FC79C1" w:rsidRPr="009342F9" w:rsidRDefault="00FC79C1" w:rsidP="00F74103">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 Manejo de Lixiviados. Se deberá dimensionar conforme con las condiciones meteorológicas de la zona y el tipo de residuos sólidos, el sistema de manejo de lixiviado que garantice el drenaje, la conducción y almacenamiento, incluyendo el análisis de la recirculación de lixiviados cuando técnicamente sea viable.  </w:t>
      </w:r>
    </w:p>
    <w:p w14:paraId="3728FF53" w14:textId="77777777" w:rsidR="00FC79C1" w:rsidRPr="009342F9" w:rsidRDefault="00FC79C1" w:rsidP="00F74103">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AD7DC95" w14:textId="77777777" w:rsidR="00FC79C1" w:rsidRPr="009342F9" w:rsidRDefault="00FC79C1" w:rsidP="00F74103">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6. Sistema de tratamiento de lixiviados. Cuando los lixiviados deban ser conducidos y vertidos a un cuerpo de agua se deberá diseñar un sistema de tratamiento que garantice el cumplimiento de la norma de la calidad.  </w:t>
      </w:r>
    </w:p>
    <w:p w14:paraId="06361A46" w14:textId="77777777" w:rsidR="00FC79C1" w:rsidRPr="009342F9" w:rsidRDefault="00FC79C1" w:rsidP="00F74103">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49A903F" w14:textId="77777777" w:rsidR="00FC79C1" w:rsidRPr="009342F9" w:rsidRDefault="00FC79C1" w:rsidP="00F74103">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u w:val="single"/>
          <w:lang w:eastAsia="es-CO"/>
        </w:rPr>
        <w:t>IV. Instrumentación.</w:t>
      </w:r>
      <w:r w:rsidRPr="009342F9">
        <w:rPr>
          <w:rFonts w:ascii="Arial" w:eastAsia="Times New Roman" w:hAnsi="Arial" w:cs="Arial"/>
          <w:color w:val="000000"/>
          <w:lang w:eastAsia="es-CO"/>
        </w:rPr>
        <w:t> </w:t>
      </w:r>
    </w:p>
    <w:p w14:paraId="189CB028" w14:textId="77777777" w:rsidR="00FC79C1" w:rsidRPr="009342F9" w:rsidRDefault="00FC79C1" w:rsidP="00F74103">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E1EBE41" w14:textId="77777777" w:rsidR="00FC79C1" w:rsidRPr="009342F9" w:rsidRDefault="00FC79C1" w:rsidP="00F74103">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Todo relleno sanitario deberá contar con instrumentos que permitan la medición de niveles y calidad de agua subsuperficial, estabilidad de terreno y de la masa de residuos contenida en la celda o en la terraza, tales como: Piezómetros, instrumentación geotécnica y pozos de monitoreo. Para rellenos construidos por etapas o fases, se deberá proyectar la instalación de la instrumentación de medición en cada una de las celdas proyectadas  </w:t>
      </w:r>
    </w:p>
    <w:p w14:paraId="0C75A7A5" w14:textId="77777777" w:rsidR="00FC79C1" w:rsidRPr="009342F9" w:rsidRDefault="00FC79C1" w:rsidP="00F74103">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8AD2B3A" w14:textId="77777777" w:rsidR="00FC79C1" w:rsidRPr="009342F9" w:rsidRDefault="00FC79C1" w:rsidP="00F74103">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u w:val="single"/>
          <w:lang w:eastAsia="es-CO"/>
        </w:rPr>
        <w:t>V. Infraestructura del Relleno Sanitario</w:t>
      </w:r>
      <w:r w:rsidRPr="009342F9">
        <w:rPr>
          <w:rFonts w:ascii="Arial" w:eastAsia="Times New Roman" w:hAnsi="Arial" w:cs="Arial"/>
          <w:color w:val="000000"/>
          <w:lang w:eastAsia="es-CO"/>
        </w:rPr>
        <w:t> </w:t>
      </w:r>
    </w:p>
    <w:p w14:paraId="46601215" w14:textId="77777777" w:rsidR="00FC79C1" w:rsidRPr="009342F9" w:rsidRDefault="00FC79C1" w:rsidP="00F74103">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EA28A71" w14:textId="77777777" w:rsidR="00FC79C1" w:rsidRPr="009342F9" w:rsidRDefault="00FC79C1" w:rsidP="00F74103">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Está conformada por las celdas y las siguientes estructuras asociadas:  </w:t>
      </w:r>
    </w:p>
    <w:p w14:paraId="6CA5F095" w14:textId="77777777" w:rsidR="00FC79C1" w:rsidRPr="009342F9" w:rsidRDefault="00FC79C1" w:rsidP="00F74103">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50B74BF" w14:textId="77777777" w:rsidR="00FC79C1" w:rsidRPr="009342F9" w:rsidRDefault="00FC79C1" w:rsidP="00F74103">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Valla de información: Que deberá contener como mínimo la siguiente información:  </w:t>
      </w:r>
    </w:p>
    <w:p w14:paraId="138A9D87" w14:textId="77777777" w:rsidR="00FC79C1" w:rsidRPr="009342F9" w:rsidRDefault="00FC79C1" w:rsidP="00F74103">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7CA0B3A" w14:textId="77777777" w:rsidR="00FC79C1" w:rsidRPr="009342F9" w:rsidRDefault="00FC79C1" w:rsidP="00F74103">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Nombre del relleno. – Nombre del municipio. – Nombre de la persona prestadora a cargo del relleno.  </w:t>
      </w:r>
    </w:p>
    <w:p w14:paraId="2D1D78FA" w14:textId="77777777" w:rsidR="00FC79C1" w:rsidRPr="009342F9" w:rsidRDefault="00FC79C1" w:rsidP="00F74103">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Número de Resolución de Licencia Ambiental otorgada o Plan de Manejo Ambiental establecido.  </w:t>
      </w:r>
    </w:p>
    <w:p w14:paraId="5EB6DE8B" w14:textId="77777777" w:rsidR="00FC79C1" w:rsidRPr="009342F9" w:rsidRDefault="00FC79C1" w:rsidP="00F74103">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Vida útil expresada en volumen y tiempo de capacidad total.  </w:t>
      </w:r>
    </w:p>
    <w:p w14:paraId="28845E87" w14:textId="77777777" w:rsidR="00FC79C1" w:rsidRPr="009342F9" w:rsidRDefault="00FC79C1" w:rsidP="00F74103">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92B2753" w14:textId="77777777" w:rsidR="00FC79C1" w:rsidRPr="009342F9" w:rsidRDefault="00FC79C1" w:rsidP="00F74103">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Cerramiento perimetral. Que garantice el cierre perimetral del predio.  </w:t>
      </w:r>
    </w:p>
    <w:p w14:paraId="07908388" w14:textId="77777777" w:rsidR="00FC79C1" w:rsidRPr="009342F9" w:rsidRDefault="00FC79C1" w:rsidP="00F74103">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E12ACEE" w14:textId="77777777" w:rsidR="00FC79C1" w:rsidRPr="009342F9" w:rsidRDefault="00FC79C1" w:rsidP="00F74103">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Puertas de acceso: Que garantice el acceso de vehículos y controle el ingreso de personal ajeno al sitio de disposición.  </w:t>
      </w:r>
    </w:p>
    <w:p w14:paraId="3D810CF7" w14:textId="77777777" w:rsidR="00FC79C1" w:rsidRPr="009342F9" w:rsidRDefault="00FC79C1" w:rsidP="00F74103">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ADB25CB" w14:textId="77777777" w:rsidR="00FC79C1" w:rsidRPr="009342F9" w:rsidRDefault="00FC79C1" w:rsidP="00F74103">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Báscula de pesaje: Que garantice el registro de toneladas de ingreso al relleno sanitario.  </w:t>
      </w:r>
    </w:p>
    <w:p w14:paraId="644589DA" w14:textId="77777777" w:rsidR="00FC79C1" w:rsidRPr="009342F9" w:rsidRDefault="00FC79C1" w:rsidP="00F74103">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AC6575F" w14:textId="77777777" w:rsidR="00FC79C1" w:rsidRPr="009342F9" w:rsidRDefault="00FC79C1" w:rsidP="00F74103">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Caseta de registro: Que garantice el registro, control y sistematización de los datos de entrada y salida de cada uno de los vehículos que ingresen al sitio.  </w:t>
      </w:r>
    </w:p>
    <w:p w14:paraId="0612B5ED" w14:textId="77777777" w:rsidR="00FC79C1" w:rsidRPr="009342F9" w:rsidRDefault="00FC79C1" w:rsidP="00F74103">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6D9F37B" w14:textId="77777777" w:rsidR="00FC79C1" w:rsidRPr="009342F9" w:rsidRDefault="00FC79C1" w:rsidP="00F74103">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Vías internas: Que garanticen el acceso y circulación de los vehículos en el sitio de disposición final.  </w:t>
      </w:r>
    </w:p>
    <w:p w14:paraId="425E79DE" w14:textId="77777777" w:rsidR="00FC79C1" w:rsidRPr="009342F9" w:rsidRDefault="00FC79C1" w:rsidP="00F74103">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D761EBA" w14:textId="77777777" w:rsidR="00FC79C1" w:rsidRPr="009342F9" w:rsidRDefault="00FC79C1" w:rsidP="00F74103">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Áreas Administrativas y Dotaciones de Servicio: Que garantice las instalaciones requeridas para el personal administrativo, operativo y visitantes.  </w:t>
      </w:r>
    </w:p>
    <w:p w14:paraId="7785A0AE" w14:textId="77777777" w:rsidR="00FC79C1" w:rsidRPr="009342F9" w:rsidRDefault="00FC79C1" w:rsidP="00F74103">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C722E9E" w14:textId="77777777" w:rsidR="00FC79C1" w:rsidRPr="009342F9" w:rsidRDefault="00FC79C1" w:rsidP="00F74103">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u w:val="single"/>
          <w:lang w:eastAsia="es-CO"/>
        </w:rPr>
        <w:t>VI. Presupuesto. </w:t>
      </w:r>
      <w:r w:rsidRPr="009342F9">
        <w:rPr>
          <w:rFonts w:ascii="Arial" w:eastAsia="Times New Roman" w:hAnsi="Arial" w:cs="Arial"/>
          <w:color w:val="000000"/>
          <w:lang w:eastAsia="es-CO"/>
        </w:rPr>
        <w:t> </w:t>
      </w:r>
    </w:p>
    <w:p w14:paraId="23734389" w14:textId="77777777" w:rsidR="00FC79C1" w:rsidRPr="009342F9" w:rsidRDefault="00FC79C1" w:rsidP="00F74103">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7F293F9" w14:textId="77777777" w:rsidR="00FC79C1" w:rsidRPr="009342F9" w:rsidRDefault="00FC79C1" w:rsidP="00F74103">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xml:space="preserve">El presupuesto que se presenta en el Documento Técnico de Estudios y Diseños deberá contener el presupuesto de obra ordenado por componentes y cada componente discriminado por capítulos, detallando conceptos, unidades y cantidades junto con el análisis de precios unitarios y debe corresponder al año de ejecución </w:t>
      </w:r>
      <w:proofErr w:type="gramStart"/>
      <w:r w:rsidRPr="009342F9">
        <w:rPr>
          <w:rFonts w:ascii="Arial" w:eastAsia="Times New Roman" w:hAnsi="Arial" w:cs="Arial"/>
          <w:color w:val="000000"/>
          <w:lang w:eastAsia="es-CO"/>
        </w:rPr>
        <w:t>del mismo</w:t>
      </w:r>
      <w:proofErr w:type="gramEnd"/>
      <w:r w:rsidRPr="009342F9">
        <w:rPr>
          <w:rFonts w:ascii="Arial" w:eastAsia="Times New Roman" w:hAnsi="Arial" w:cs="Arial"/>
          <w:color w:val="000000"/>
          <w:lang w:eastAsia="es-CO"/>
        </w:rPr>
        <w:t>, así como los costos correspondientes al plan de manejo ambiental y otros que le sean pertinentes. </w:t>
      </w:r>
    </w:p>
    <w:p w14:paraId="19F3837F" w14:textId="77777777" w:rsidR="00FC79C1" w:rsidRPr="009342F9" w:rsidRDefault="00FC79C1" w:rsidP="00F74103">
      <w:pPr>
        <w:spacing w:after="0" w:line="240" w:lineRule="auto"/>
        <w:jc w:val="both"/>
        <w:rPr>
          <w:rFonts w:ascii="Arial" w:eastAsia="Times New Roman" w:hAnsi="Arial" w:cs="Arial"/>
          <w:color w:val="000000"/>
          <w:lang w:eastAsia="es-CO"/>
        </w:rPr>
      </w:pPr>
      <w:bookmarkStart w:id="1788" w:name="ver_30137328"/>
      <w:bookmarkEnd w:id="1788"/>
    </w:p>
    <w:p w14:paraId="2E0866B2" w14:textId="77777777" w:rsidR="00FC79C1" w:rsidRPr="009342F9" w:rsidRDefault="00FC79C1" w:rsidP="00F74103">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2.3.2.3.12. Uso futuro de los sitios de disposición final de residuos sólidos. El uso futuro de los sitios donde se construyan y clausuren rellenos sanitarios, deberá estar considerado y determinado desde la etapa de diseño del relleno sanitario </w:t>
      </w:r>
    </w:p>
    <w:p w14:paraId="242C7703" w14:textId="77777777" w:rsidR="00FC79C1" w:rsidRPr="009342F9" w:rsidRDefault="00FC79C1" w:rsidP="00F74103">
      <w:pPr>
        <w:spacing w:after="0" w:line="240" w:lineRule="auto"/>
        <w:jc w:val="both"/>
        <w:rPr>
          <w:rFonts w:ascii="Arial" w:eastAsia="Times New Roman" w:hAnsi="Arial" w:cs="Arial"/>
          <w:color w:val="000000"/>
          <w:lang w:eastAsia="es-CO"/>
        </w:rPr>
      </w:pPr>
      <w:bookmarkStart w:id="1789" w:name="ver_30137329"/>
      <w:bookmarkEnd w:id="1789"/>
    </w:p>
    <w:p w14:paraId="58DE62C3" w14:textId="77777777" w:rsidR="00FC79C1" w:rsidRPr="009342F9" w:rsidRDefault="00FC79C1" w:rsidP="00F74103">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2.3.2.3.13. Construcción de rellenos sanitarios. La construcción del relleno sanitario deberá realizarse conforme al Documento Técnico de Estudios y Diseños. Durante la ejecución deberán elaborarse los planos constructivos o “récord” con sus respectivas memorias de ajustes sí fueron realizados, los cuales reposarán en las instalaciones de la persona.  </w:t>
      </w:r>
    </w:p>
    <w:p w14:paraId="3A066EAD" w14:textId="77777777" w:rsidR="00FC79C1" w:rsidRPr="009342F9" w:rsidRDefault="00FC79C1" w:rsidP="00F74103">
      <w:pPr>
        <w:spacing w:after="0" w:line="240" w:lineRule="auto"/>
        <w:jc w:val="both"/>
        <w:rPr>
          <w:rFonts w:ascii="Arial" w:eastAsia="Times New Roman" w:hAnsi="Arial" w:cs="Arial"/>
          <w:color w:val="000000"/>
          <w:lang w:eastAsia="es-CO"/>
        </w:rPr>
      </w:pPr>
      <w:bookmarkStart w:id="1790" w:name="ver_30137330"/>
      <w:bookmarkEnd w:id="1790"/>
    </w:p>
    <w:p w14:paraId="23D0C2FC" w14:textId="77777777" w:rsidR="00FC79C1" w:rsidRPr="009342F9" w:rsidRDefault="00FC79C1" w:rsidP="00F74103">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2.3.2.3.14. Criterios de Operación. La persona prestadora del servicio público de aseo en la actividad complementaria de disposición </w:t>
      </w:r>
      <w:proofErr w:type="gramStart"/>
      <w:r w:rsidRPr="009342F9">
        <w:rPr>
          <w:rFonts w:ascii="Arial" w:eastAsia="Times New Roman" w:hAnsi="Arial" w:cs="Arial"/>
          <w:color w:val="000000"/>
          <w:lang w:eastAsia="es-CO"/>
        </w:rPr>
        <w:t>final,</w:t>
      </w:r>
      <w:proofErr w:type="gramEnd"/>
      <w:r w:rsidRPr="009342F9">
        <w:rPr>
          <w:rFonts w:ascii="Arial" w:eastAsia="Times New Roman" w:hAnsi="Arial" w:cs="Arial"/>
          <w:color w:val="000000"/>
          <w:lang w:eastAsia="es-CO"/>
        </w:rPr>
        <w:t xml:space="preserve"> deberá garantizar, entre otras, el cumplimiento de las siguientes condiciones durante la fase de operación:  </w:t>
      </w:r>
    </w:p>
    <w:p w14:paraId="1AD4F2C0" w14:textId="77777777" w:rsidR="00FC79C1" w:rsidRPr="009342F9" w:rsidRDefault="00FC79C1" w:rsidP="00F74103">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67161E0" w14:textId="77777777" w:rsidR="00FC79C1" w:rsidRPr="009342F9" w:rsidRDefault="00FC79C1" w:rsidP="00F74103">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Documentación mínima disponible. La persona prestadora a cargo del relleno sanitario deberá contar como mínimo, con la siguiente documentación: Memorias de diseño, planos del diseño, planos récord, especificaciones técnicas, licencia ambiental, plan de manejo ambiental y Reglamento Operativo.  </w:t>
      </w:r>
    </w:p>
    <w:p w14:paraId="76C4BC11" w14:textId="77777777" w:rsidR="00FC79C1" w:rsidRPr="009342F9" w:rsidRDefault="00FC79C1" w:rsidP="00F74103">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46FD561" w14:textId="77777777" w:rsidR="00FC79C1" w:rsidRPr="009342F9" w:rsidRDefault="00FC79C1" w:rsidP="00F74103">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Vigilancia. Todo relleno sanitario deberá garantizar el control y registro de ingreso y salida de vehículos y personal al relleno sanitario, la seguridad de los elementos e infraestructura y hacer cumplir las normas establecidas en el Reglamento Operativo.  </w:t>
      </w:r>
    </w:p>
    <w:p w14:paraId="0159D82A" w14:textId="77777777" w:rsidR="00FC79C1" w:rsidRPr="009342F9" w:rsidRDefault="00FC79C1" w:rsidP="00F74103">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EC6625A" w14:textId="77777777" w:rsidR="00FC79C1" w:rsidRPr="009342F9" w:rsidRDefault="00FC79C1" w:rsidP="00F74103">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Inspección visual para el ingreso de residuos sólidos. La persona prestadora deberá realizar inspección visual a los residuos que ingresan al relleno sanitario, con el propósito de controlar el tipo de residuos a ingresar, con la frecuencia que establezca el Reglamento Operativo, según la escala de operación.  </w:t>
      </w:r>
    </w:p>
    <w:p w14:paraId="4BB7FF25" w14:textId="77777777" w:rsidR="00FC79C1" w:rsidRPr="009342F9" w:rsidRDefault="00FC79C1" w:rsidP="00F74103">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CC41BC2" w14:textId="77777777" w:rsidR="00FC79C1" w:rsidRPr="009342F9" w:rsidRDefault="00FC79C1" w:rsidP="00F74103">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Prohibición de la actividad de recuperación de residuos sólidos en el frente de operación. Para todos los efectos estará prohibida la actividad de recuperación de residuos sólidos en el frente de operación del relleno sanitario. La persona prestadora y el ente territorial deben garantizar el cumplimiento de esta medida.  </w:t>
      </w:r>
    </w:p>
    <w:p w14:paraId="3A69E234" w14:textId="77777777" w:rsidR="00FC79C1" w:rsidRPr="009342F9" w:rsidRDefault="00FC79C1" w:rsidP="00F74103">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B17C122" w14:textId="77777777" w:rsidR="00FC79C1" w:rsidRPr="009342F9" w:rsidRDefault="00FC79C1" w:rsidP="00F74103">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 Registro de parámetros meteorológicos. Con el objetivo de ajustar las condiciones de operación y mitigar riesgos en la prestación del servicio, se debe llevar un registro de los parámetros meteorológicos de la zona del relleno sanitario, los cuales podrán ser capturados in situ o tomados de las estaciones meteorológicas cercanas. Como mínimo: Precipitación diaria, Temperatura mínima y máxima diaria, Evaporación y Humedad relativa.  </w:t>
      </w:r>
    </w:p>
    <w:p w14:paraId="2958D978" w14:textId="77777777" w:rsidR="00FC79C1" w:rsidRPr="009342F9" w:rsidRDefault="00FC79C1" w:rsidP="00F74103">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09B9933" w14:textId="77777777" w:rsidR="00FC79C1" w:rsidRPr="009342F9" w:rsidRDefault="00FC79C1" w:rsidP="00F74103">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6. Frente de operación. La persona prestadora a cargo del relleno sanitario deberá diseñar el frente de trabajo, tomando en consideración los siguientes parámetros:  </w:t>
      </w:r>
    </w:p>
    <w:p w14:paraId="7C5113BD" w14:textId="77777777" w:rsidR="00FC79C1" w:rsidRPr="009342F9" w:rsidRDefault="00FC79C1" w:rsidP="00F74103">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D6F2E2C" w14:textId="77777777" w:rsidR="00FC79C1" w:rsidRPr="009342F9" w:rsidRDefault="00FC79C1" w:rsidP="00F74103">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Número diario de vehículos que disponen en el sitio.  </w:t>
      </w:r>
    </w:p>
    <w:p w14:paraId="3D4B3935" w14:textId="77777777" w:rsidR="00FC79C1" w:rsidRPr="009342F9" w:rsidRDefault="00FC79C1" w:rsidP="00F74103">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Zona de maniobra de los vehículos recolectores proporcional a la frecuencia de descarga y tipo de vehículos.  </w:t>
      </w:r>
    </w:p>
    <w:p w14:paraId="09DE7D53" w14:textId="77777777" w:rsidR="00FC79C1" w:rsidRPr="009342F9" w:rsidRDefault="00FC79C1" w:rsidP="00F74103">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Área del frente de operación más eficiente y su correspondiente número de auxiliares de descarga.  </w:t>
      </w:r>
    </w:p>
    <w:p w14:paraId="377A8F2D" w14:textId="77777777" w:rsidR="00FC79C1" w:rsidRPr="009342F9" w:rsidRDefault="00FC79C1" w:rsidP="00F74103">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Pendiente del módulo de trabajo establecida en el diseño, con el fin de garantizar la estabilidad, el drenaje y demás parámetros de operación.  </w:t>
      </w:r>
    </w:p>
    <w:p w14:paraId="73D389C3" w14:textId="77777777" w:rsidR="00FC79C1" w:rsidRPr="009342F9" w:rsidRDefault="00FC79C1" w:rsidP="00F74103">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Configuración de las capas de residuos, teniendo en cuenta el tipo de impermeabilización de fondo (geomembrana, geotextil-geomembrana u otro), el tipo de residuos.  </w:t>
      </w:r>
    </w:p>
    <w:p w14:paraId="1558E492" w14:textId="77777777" w:rsidR="00FC79C1" w:rsidRPr="009342F9" w:rsidRDefault="00FC79C1" w:rsidP="00F74103">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E4569B8" w14:textId="77777777" w:rsidR="00FC79C1" w:rsidRPr="009342F9" w:rsidRDefault="00FC79C1" w:rsidP="00F74103">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7. Celda diaria. Los residuos sólidos deberán disponerse conforme al diseño y al Reglamento Operativo.  </w:t>
      </w:r>
    </w:p>
    <w:p w14:paraId="17F55F8F" w14:textId="77777777" w:rsidR="00FC79C1" w:rsidRPr="009342F9" w:rsidRDefault="00FC79C1" w:rsidP="00F74103">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B5FAEC4" w14:textId="77777777" w:rsidR="00FC79C1" w:rsidRPr="009342F9" w:rsidRDefault="00FC79C1" w:rsidP="00F74103">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8. Aplicación de Coberturas. Las coberturas diaria, intermedia y final se realizarán acorde con lo definido en el Reglamento Operativo y las especificaciones técnicas del diseño.  </w:t>
      </w:r>
    </w:p>
    <w:p w14:paraId="60C0696C" w14:textId="77777777" w:rsidR="00FC79C1" w:rsidRPr="009342F9" w:rsidRDefault="00FC79C1" w:rsidP="00F74103">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099345E" w14:textId="77777777" w:rsidR="00FC79C1" w:rsidRPr="009342F9" w:rsidRDefault="00FC79C1" w:rsidP="00F74103">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9. Limpieza de ruedas. El relleno sanitario deberá contar con procesos de limpieza de ruedas.  </w:t>
      </w:r>
    </w:p>
    <w:p w14:paraId="207AD5B7" w14:textId="77777777" w:rsidR="00FC79C1" w:rsidRPr="009342F9" w:rsidRDefault="00FC79C1" w:rsidP="00F74103">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3657F9C" w14:textId="77777777" w:rsidR="00FC79C1" w:rsidRPr="009342F9" w:rsidRDefault="00FC79C1" w:rsidP="00F74103">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10. Protección contra dispersión. En sitios donde la velocidad del viento potencie la dispersión de los residuos sólidos por fuera de la zona de disposición final se deberá colocar un sistema de pantallas, lo más cerca posible del frente de operación.  </w:t>
      </w:r>
    </w:p>
    <w:p w14:paraId="07DD4B02" w14:textId="77777777" w:rsidR="00FC79C1" w:rsidRPr="009342F9" w:rsidRDefault="00FC79C1" w:rsidP="00F74103">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F933C34" w14:textId="77777777" w:rsidR="00FC79C1" w:rsidRPr="009342F9" w:rsidRDefault="00FC79C1" w:rsidP="00F74103">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11 </w:t>
      </w:r>
      <w:proofErr w:type="gramStart"/>
      <w:r w:rsidRPr="009342F9">
        <w:rPr>
          <w:rFonts w:ascii="Arial" w:eastAsia="Times New Roman" w:hAnsi="Arial" w:cs="Arial"/>
          <w:color w:val="000000"/>
          <w:lang w:eastAsia="es-CO"/>
        </w:rPr>
        <w:t>Equipos</w:t>
      </w:r>
      <w:proofErr w:type="gramEnd"/>
      <w:r w:rsidRPr="009342F9">
        <w:rPr>
          <w:rFonts w:ascii="Arial" w:eastAsia="Times New Roman" w:hAnsi="Arial" w:cs="Arial"/>
          <w:color w:val="000000"/>
          <w:lang w:eastAsia="es-CO"/>
        </w:rPr>
        <w:t xml:space="preserve"> de operación. Todos los rellenos sanitarios deberán utilizar equipos para garantizar la descarga, distribución, compactación, nivelación, aplicación de cobertura, drenaje y transporte de material de cobertura. El número y disponibilidad de equipos necesario será calculado con base en la cantidad de toneladas recibidas y la densidad de compactación señalada en el diseño y establecida en el Reglamento Operativo. </w:t>
      </w:r>
    </w:p>
    <w:p w14:paraId="715D8F81" w14:textId="77777777" w:rsidR="00FC79C1" w:rsidRPr="009342F9" w:rsidRDefault="00FC79C1" w:rsidP="00F74103">
      <w:pPr>
        <w:spacing w:after="0" w:line="240" w:lineRule="auto"/>
        <w:jc w:val="both"/>
        <w:rPr>
          <w:rFonts w:ascii="Arial" w:eastAsia="Times New Roman" w:hAnsi="Arial" w:cs="Arial"/>
          <w:color w:val="000000"/>
          <w:lang w:eastAsia="es-CO"/>
        </w:rPr>
      </w:pPr>
      <w:bookmarkStart w:id="1791" w:name="ver_30137331"/>
      <w:bookmarkEnd w:id="1791"/>
    </w:p>
    <w:p w14:paraId="2D572D65" w14:textId="77777777" w:rsidR="00FC79C1" w:rsidRPr="009342F9" w:rsidRDefault="00FC79C1" w:rsidP="00F74103">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2.3.2.3.15. Reglamento Operativo. Los sitios de disposición final deberán contar con un Reglamento Operativo que establezca los instrumentos de Planeación, Operación y Seguimiento para las diferentes etapas de desarrollo del proyecto. Los elementos mínimos que deberán ser considerados en el Reglamento Operativo son: Manuales de Operación, Bitácoras y Registros; de acuerdo con los criterios que para el efecto defina el Ministerio de Vivienda, Ciudad y Territorio.  </w:t>
      </w:r>
    </w:p>
    <w:p w14:paraId="30D5CC6B" w14:textId="0F47A1E1" w:rsidR="00FC79C1" w:rsidRPr="009342F9" w:rsidRDefault="00FC79C1" w:rsidP="00F74103">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792" w:name="ver_30137332"/>
      <w:bookmarkEnd w:id="1792"/>
    </w:p>
    <w:p w14:paraId="150FF56C" w14:textId="4A19DDF3" w:rsidR="00FC79C1" w:rsidRDefault="00FC79C1" w:rsidP="00F74103">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2.3.2.3.16. Monitoreo, Seguimiento y Control a la operación de las actividades de disposición final. Es responsabilidad de la persona prestadora las actividades de monitoreo, seguimiento y control técnico, dentro de las cuales deberán contemplarse como mínimo las siguientes: </w:t>
      </w:r>
    </w:p>
    <w:p w14:paraId="5D64895E" w14:textId="77777777" w:rsidR="000443A9" w:rsidRPr="009342F9" w:rsidRDefault="000443A9" w:rsidP="00F74103">
      <w:pPr>
        <w:spacing w:after="0" w:line="240" w:lineRule="auto"/>
        <w:jc w:val="both"/>
        <w:rPr>
          <w:rFonts w:ascii="Arial" w:eastAsia="Times New Roman" w:hAnsi="Arial" w:cs="Arial"/>
          <w:color w:val="000000"/>
          <w:lang w:eastAsia="es-CO"/>
        </w:rPr>
      </w:pPr>
    </w:p>
    <w:p w14:paraId="2046EDD4" w14:textId="77777777" w:rsidR="00FC79C1" w:rsidRPr="009342F9" w:rsidRDefault="00FC79C1" w:rsidP="00F74103">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Monitoreo a la vida útil expresada en capacidad (m3): Se deberá monitorear la cantidad de residuos y la capacidad remanente de la celda de disposición en términos volumétricos, a fin de determinar la vida útil real del relleno sanitario.  </w:t>
      </w:r>
    </w:p>
    <w:p w14:paraId="5C1E9D54" w14:textId="1C032FED" w:rsidR="00FC79C1" w:rsidRPr="009342F9" w:rsidRDefault="00FC79C1" w:rsidP="00F74103">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Monitoreo de compactación: Los niveles de compactación serán medidos acorde a lo establecido en el Reglamento Operativo del relleno.  </w:t>
      </w:r>
    </w:p>
    <w:p w14:paraId="1D868C04" w14:textId="77777777" w:rsidR="00FC79C1" w:rsidRPr="009342F9" w:rsidRDefault="00FC79C1" w:rsidP="00F74103">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Monitoreo a la cobertura diaria: Se deberá verificar la cobertura diaria de la celda conforme a lo establecido en el Reglamento Operativo del relleno.  </w:t>
      </w:r>
    </w:p>
    <w:p w14:paraId="4DB62987" w14:textId="77777777" w:rsidR="00FC79C1" w:rsidRPr="009342F9" w:rsidRDefault="00FC79C1" w:rsidP="00F74103">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Monitoreo a la calidad de Lixiviados: Se deberá definir dentro del relleno sanitario la toma de muestras para caracterización y medición del caudal de lixiviado; se llevarán registros de los caudales medidos en los pozos de inspección y se tomarán muestras para caracterizar como mínimo DBO, DQO y sólidos totales.  </w:t>
      </w:r>
    </w:p>
    <w:p w14:paraId="60640319" w14:textId="77777777" w:rsidR="00FC79C1" w:rsidRPr="009342F9" w:rsidRDefault="00FC79C1" w:rsidP="00F74103">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 Monitoreo de aguas subsuperficial: Se medirá la calidad de las aguas subsuperficiales en los pozos de monitoreo, se caracterizará la muestra teniendo en cuenta el nivel de cada pozo, pH, </w:t>
      </w:r>
      <w:r w:rsidRPr="009342F9">
        <w:rPr>
          <w:rFonts w:ascii="Arial" w:eastAsia="Times New Roman" w:hAnsi="Arial" w:cs="Arial"/>
          <w:color w:val="000000"/>
          <w:lang w:eastAsia="es-CO"/>
        </w:rPr>
        <w:lastRenderedPageBreak/>
        <w:t>temperatura, DBO, DQO y sólidos suspendidos. Dicho monitoreo se realizará acorde a lo establecido en el Reglamento Operativo.  </w:t>
      </w:r>
    </w:p>
    <w:p w14:paraId="77D7B4DD" w14:textId="77777777" w:rsidR="00FC79C1" w:rsidRPr="009342F9" w:rsidRDefault="00FC79C1" w:rsidP="00F74103">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Monitoreo de biogás: El control de los gases se realizará a fin de tomar medidas de control frente a posibles altas concentraciones en el fondo del relleno y de los índices de explosividad. Para ello, se deberá definir el sitio de muestreo de los gases producidos (ya sea chimeneas o pozo de monitoreo) y disponer de equipo con sonda para medición de concentración de gases CH4, H2S y del límite de explosividad. Dicho monitoreo se realizará acorde a lo establecido en el Reglamento Operativo.  </w:t>
      </w:r>
    </w:p>
    <w:p w14:paraId="294279DF" w14:textId="77777777" w:rsidR="00FC79C1" w:rsidRPr="009342F9" w:rsidRDefault="00FC79C1" w:rsidP="00F74103">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Control de Olores y Vectores: Deberá disponer de sistemas de monitoreo y control de olores y vectores acorde con lo establecido en el Reglamento Operativo.  </w:t>
      </w:r>
    </w:p>
    <w:p w14:paraId="764A35F4" w14:textId="77777777" w:rsidR="00FC79C1" w:rsidRPr="009342F9" w:rsidRDefault="00FC79C1" w:rsidP="00F74103">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Control de incendios: Debe realizarse el monitoreo de riesgo de incendio y contar con los equipos de emergencia para la atención acorde con lo establecido en el Reglamento Operativo.  </w:t>
      </w:r>
    </w:p>
    <w:p w14:paraId="1804B898" w14:textId="77777777" w:rsidR="00FC79C1" w:rsidRPr="009342F9" w:rsidRDefault="00FC79C1" w:rsidP="00F74103">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Seguridad Industrial: Debe disponer de los elementos de seguridad industrial y salud ocupacional, para el personal operativo, administrativo y visitantes, acorde con lo establecido en el Reglamento Operativo y la normatividad vigente. </w:t>
      </w:r>
    </w:p>
    <w:p w14:paraId="2C555445"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793" w:name="ver_30137333"/>
      <w:bookmarkEnd w:id="1793"/>
    </w:p>
    <w:p w14:paraId="608EA51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2.3.2.3.17. Cierre y Clausura. Con el fin de garantizar la disponibilidad de recursos económicos para realizar el cierre, clausura, </w:t>
      </w:r>
      <w:proofErr w:type="spellStart"/>
      <w:r w:rsidRPr="009342F9">
        <w:rPr>
          <w:rFonts w:ascii="Arial" w:eastAsia="Times New Roman" w:hAnsi="Arial" w:cs="Arial"/>
          <w:color w:val="000000"/>
          <w:lang w:eastAsia="es-CO"/>
        </w:rPr>
        <w:t>pos</w:t>
      </w:r>
      <w:proofErr w:type="spellEnd"/>
      <w:r w:rsidRPr="009342F9">
        <w:rPr>
          <w:rFonts w:ascii="Arial" w:eastAsia="Times New Roman" w:hAnsi="Arial" w:cs="Arial"/>
          <w:color w:val="000000"/>
          <w:lang w:eastAsia="es-CO"/>
        </w:rPr>
        <w:t xml:space="preserve"> clausura y posterior monitoreo de los rellenos sanitarios, toda persona prestadora del servicio público de aseo en la actividad de disposición final de residuos sólidos, deberá constituir y mantener una provisión, que garantice la disponibilidad permanente de las sumas acumuladas durante el periodo de operación del relleno sanitario, necesarias para construir las obras de clausura y </w:t>
      </w:r>
      <w:proofErr w:type="spellStart"/>
      <w:r w:rsidRPr="009342F9">
        <w:rPr>
          <w:rFonts w:ascii="Arial" w:eastAsia="Times New Roman" w:hAnsi="Arial" w:cs="Arial"/>
          <w:color w:val="000000"/>
          <w:lang w:eastAsia="es-CO"/>
        </w:rPr>
        <w:t>pos</w:t>
      </w:r>
      <w:proofErr w:type="spellEnd"/>
      <w:r w:rsidRPr="009342F9">
        <w:rPr>
          <w:rFonts w:ascii="Arial" w:eastAsia="Times New Roman" w:hAnsi="Arial" w:cs="Arial"/>
          <w:color w:val="000000"/>
          <w:lang w:eastAsia="es-CO"/>
        </w:rPr>
        <w:t xml:space="preserve"> clausura requeridas y llevar a cabo el monitoreo por para dichas etapas. La forma de determinar los valores a provisionar será establecida por la Comisión de Regulación de Agua Potable y Saneamiento Básico en la metodología tarifaria del servicio público de aseo. </w:t>
      </w:r>
    </w:p>
    <w:p w14:paraId="47550554" w14:textId="77777777" w:rsidR="00F74103" w:rsidRPr="009342F9" w:rsidRDefault="00F74103" w:rsidP="00FC79C1">
      <w:pPr>
        <w:spacing w:after="0" w:line="240" w:lineRule="auto"/>
        <w:jc w:val="both"/>
        <w:rPr>
          <w:rFonts w:ascii="Arial" w:eastAsia="Times New Roman" w:hAnsi="Arial" w:cs="Arial"/>
          <w:color w:val="000000"/>
          <w:lang w:eastAsia="es-CO"/>
        </w:rPr>
      </w:pPr>
    </w:p>
    <w:p w14:paraId="3A0DD53F" w14:textId="0EA76832"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2.3.2.3.18. Minería de rellenos. La persona prestadora del servicio público de aseo en la actividad de disposición final de residuos sólidos podrá desarrollar proyectos de minería de rellenos con el fin de optimizar sistemas de disposición final existentes.  </w:t>
      </w:r>
    </w:p>
    <w:p w14:paraId="0D8D15AA"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794" w:name="ver_30137335"/>
      <w:bookmarkEnd w:id="1794"/>
    </w:p>
    <w:p w14:paraId="7884E30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2.3.2.3.19. Tratamientos de residuos en sitios de disposición final. Los sitios de disposición final podrán establecer instalaciones de tratamientos alternativos o complementarios a rellenos sanitarios y disposición final, de conformidad a lo dispuesto en el Capítulo 7 del presente Título, una vez realizado el análisis de beneficio-costo y de sostenibilidad que defina su viabilidad.  </w:t>
      </w:r>
    </w:p>
    <w:p w14:paraId="52373B24"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795" w:name="ver_30137336"/>
      <w:bookmarkEnd w:id="1795"/>
    </w:p>
    <w:p w14:paraId="2BE4B24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2.3.2.3.20. Metodologías Tarifarias. De conformidad con la ley, las metodologías tarifarias del servicio público de aseo que establezca la Comisión de Regulación de Agua Potable y Saneamiento Básico (CRA) deberán incentivar el desarrollo de la actividad complementaria de tratamiento.  </w:t>
      </w:r>
    </w:p>
    <w:p w14:paraId="3C1F2995" w14:textId="77777777" w:rsidR="00F74103" w:rsidRPr="009342F9" w:rsidRDefault="00F74103" w:rsidP="00FC79C1">
      <w:pPr>
        <w:spacing w:after="0" w:line="240" w:lineRule="auto"/>
        <w:jc w:val="both"/>
        <w:rPr>
          <w:rFonts w:ascii="Arial" w:eastAsia="Times New Roman" w:hAnsi="Arial" w:cs="Arial"/>
          <w:color w:val="000000"/>
          <w:lang w:eastAsia="es-CO"/>
        </w:rPr>
      </w:pPr>
    </w:p>
    <w:p w14:paraId="335383E7" w14:textId="23BA4614"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2.3.2.3.22. Transitorio. Para el cumplimiento de las disposiciones de este Capítulo en lo relacionado con la actualización del Reglamento Operativo y cumplimiento de estándares mínimos en la operación, los sitios de disposición final que se encuentren en operación antes del 31 de diciembre de </w:t>
      </w:r>
      <w:proofErr w:type="gramStart"/>
      <w:r w:rsidRPr="009342F9">
        <w:rPr>
          <w:rFonts w:ascii="Arial" w:eastAsia="Times New Roman" w:hAnsi="Arial" w:cs="Arial"/>
          <w:color w:val="000000"/>
          <w:lang w:eastAsia="es-CO"/>
        </w:rPr>
        <w:t>2017,</w:t>
      </w:r>
      <w:proofErr w:type="gramEnd"/>
      <w:r w:rsidRPr="009342F9">
        <w:rPr>
          <w:rFonts w:ascii="Arial" w:eastAsia="Times New Roman" w:hAnsi="Arial" w:cs="Arial"/>
          <w:color w:val="000000"/>
          <w:lang w:eastAsia="es-CO"/>
        </w:rPr>
        <w:t xml:space="preserve"> contarán con un término de 36 meses a partir del 1° de enero de 2018.  </w:t>
      </w:r>
    </w:p>
    <w:p w14:paraId="584B00CE" w14:textId="77777777" w:rsidR="00F74103" w:rsidRPr="009342F9" w:rsidRDefault="00F74103" w:rsidP="00F74103">
      <w:pPr>
        <w:spacing w:after="0" w:line="240" w:lineRule="auto"/>
        <w:jc w:val="center"/>
        <w:rPr>
          <w:rFonts w:ascii="Arial" w:eastAsia="Times New Roman" w:hAnsi="Arial" w:cs="Arial"/>
          <w:b/>
          <w:bCs/>
          <w:color w:val="000000"/>
          <w:lang w:eastAsia="es-CO"/>
        </w:rPr>
      </w:pPr>
      <w:bookmarkStart w:id="1796" w:name="ver_30075800"/>
      <w:bookmarkEnd w:id="1796"/>
    </w:p>
    <w:p w14:paraId="179EB5B0" w14:textId="4085639B" w:rsidR="00FC79C1" w:rsidRPr="009342F9" w:rsidRDefault="00FC79C1" w:rsidP="00F74103">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SECCIÓN 2</w:t>
      </w:r>
    </w:p>
    <w:p w14:paraId="3EACE7F8" w14:textId="77777777" w:rsidR="00FC79C1" w:rsidRPr="009342F9" w:rsidRDefault="00FC79C1" w:rsidP="00F74103">
      <w:pPr>
        <w:spacing w:after="0" w:line="240" w:lineRule="auto"/>
        <w:jc w:val="center"/>
        <w:rPr>
          <w:rFonts w:ascii="Arial" w:eastAsia="Times New Roman" w:hAnsi="Arial" w:cs="Arial"/>
          <w:b/>
          <w:bCs/>
          <w:color w:val="000000"/>
          <w:lang w:eastAsia="es-CO"/>
        </w:rPr>
      </w:pPr>
      <w:r w:rsidRPr="231E957E">
        <w:rPr>
          <w:rFonts w:ascii="Arial" w:eastAsia="Times New Roman" w:hAnsi="Arial" w:cs="Arial"/>
          <w:b/>
          <w:color w:val="000000" w:themeColor="text1"/>
          <w:lang w:eastAsia="es-CO"/>
        </w:rPr>
        <w:t>LOCALIZACIÓN DE ÁREAS PARA LA DISPOSICIÓN FINAL DE RESIDUOS SÓLIDOS</w:t>
      </w:r>
    </w:p>
    <w:p w14:paraId="006E6A96" w14:textId="77777777" w:rsidR="00723293" w:rsidRDefault="00723293" w:rsidP="00F74103">
      <w:pPr>
        <w:spacing w:after="0" w:line="240" w:lineRule="auto"/>
        <w:jc w:val="center"/>
        <w:rPr>
          <w:rFonts w:ascii="Arial" w:eastAsia="Times New Roman" w:hAnsi="Arial" w:cs="Arial"/>
          <w:b/>
          <w:bCs/>
          <w:color w:val="000000"/>
          <w:lang w:eastAsia="es-CO"/>
        </w:rPr>
      </w:pPr>
    </w:p>
    <w:p w14:paraId="0A4BF66E" w14:textId="77777777" w:rsidR="00FC79C1" w:rsidRPr="009342F9" w:rsidRDefault="00FC79C1" w:rsidP="00F74103">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SUBSECCIÓN 1</w:t>
      </w:r>
    </w:p>
    <w:p w14:paraId="1F398B91" w14:textId="77777777" w:rsidR="00FC79C1" w:rsidRPr="009342F9" w:rsidRDefault="00FC79C1" w:rsidP="00F74103">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DEL INTERÉS SOCIAL Y DE UTILIDAD PÚBLICA</w:t>
      </w:r>
    </w:p>
    <w:p w14:paraId="7DABF697"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797" w:name="ver_30075801"/>
      <w:bookmarkEnd w:id="1797"/>
    </w:p>
    <w:p w14:paraId="491FF28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2.3.2.3.2.1.2. Del interés social y utilidad pública. Las áreas potenciales que la entidad territorial seleccione y determine en los Planes de Ordenamiento Territorial, POT, Planes Básicos de Ordenamiento Territorial, PBOT, o Esquemas de Ordenamiento Territorial, EOT, según sea el caso, como Suelo de Protección-Zonas de Utilidad Pública para la ubicación de infraestructuras para la provisión del servicio público de aseo en la actividad complementaria de disposición final, mediante la utilización de la tecnología de relleno sanitario, hacen parte de los bienes y servicios de interés común, los cuales prevalecerán sobre el interés particular. </w:t>
      </w:r>
    </w:p>
    <w:p w14:paraId="69A8A9B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683CEE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 entidad territorial localizará y señalará las áreas potenciales en los Planes de Ordenamiento Territorial, Planes Básicos de Ordenamiento Territorial y Esquemas de Ordenamiento Territorial, de conformidad con lo señalado en la ley. </w:t>
      </w:r>
    </w:p>
    <w:p w14:paraId="3D428B7B" w14:textId="2F21F8A8" w:rsidR="004E2147"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798" w:name="ver_30075802"/>
      <w:bookmarkEnd w:id="1798"/>
    </w:p>
    <w:p w14:paraId="7FC67483" w14:textId="6242F1C9" w:rsidR="00FC79C1" w:rsidRPr="009342F9" w:rsidRDefault="00FC79C1" w:rsidP="004E2147">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SUBSECCIÓN 2</w:t>
      </w:r>
    </w:p>
    <w:p w14:paraId="7B70C6EA" w14:textId="77777777" w:rsidR="00FC79C1" w:rsidRPr="009342F9" w:rsidRDefault="00FC79C1" w:rsidP="004E2147">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PROCEDIMIENTO, CRITERIOS, METODOLOGÍA, PROHIBICIONES Y RESTRICCIONES PARA LA LOCALIZACIÓN DE ÁREAS PARA LA DISPOSICIÓN FINAL DE RESIDUOS SÓLIDOS</w:t>
      </w:r>
    </w:p>
    <w:p w14:paraId="308BECA1" w14:textId="77777777" w:rsidR="00FC79C1" w:rsidRPr="009342F9" w:rsidRDefault="00FC79C1" w:rsidP="004E2147">
      <w:pPr>
        <w:spacing w:after="0" w:line="240" w:lineRule="auto"/>
        <w:jc w:val="center"/>
        <w:rPr>
          <w:rFonts w:ascii="Arial" w:eastAsia="Times New Roman" w:hAnsi="Arial" w:cs="Arial"/>
          <w:b/>
          <w:bCs/>
          <w:color w:val="000000"/>
          <w:lang w:eastAsia="es-CO"/>
        </w:rPr>
      </w:pPr>
      <w:bookmarkStart w:id="1799" w:name="ver_30075803"/>
      <w:bookmarkEnd w:id="1799"/>
    </w:p>
    <w:p w14:paraId="0301AC7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2.3.2.3.2.2.3. Procedimiento para la localización. Sin perjuicio de lo dispuesto en la Ley 388 de 1997, para la localización y definición de las áreas a que hace referencia el artículo anterior, se deberá garantizar el siguiente procedimiento: </w:t>
      </w:r>
    </w:p>
    <w:p w14:paraId="7241174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6261F4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La entidad territorial en el proceso de formulación del Plan de Gestión Integral de Residuos Sólidos, PGIRS, seleccionará y establecerá las áreas potenciales para la realización de la disposición final de residuos sólidos, mediante la tecnología de relleno sanitario y de la infraestructura que los compone. </w:t>
      </w:r>
    </w:p>
    <w:p w14:paraId="3F8A277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21960D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La entidad territorial realizará visitas técnicas a cada uno de las áreas potenciales definidas en el PGIRS y con base en la información existente de generación de residuos sólidos de la entidad territorial, uso actual de dichas áreas, accesibilidad vial, topografía, distancia al perímetro urbano, disponibilidad de material de cobertura, distancia a cuerpos hídricos y los criterios de localización definidos en el 2.3.2.3.2.2.4 del presente capítulo, y suscribirá un acta, que hará parte del expediente del POT, PBOT y EOT, según sea el caso, en la que se dejará constancia del proceso de evaluación llevado a cabo, especificando los puntajes de evaluación asignados a cada una de ellas. </w:t>
      </w:r>
    </w:p>
    <w:p w14:paraId="12A5ED8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297305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La incorporación de las áreas potenciales para la disposición final de residuos sólidos, mediante la tecnología de relleno sanitario, en los Planes de Ordenamiento Territorial, Planes Básicos de Ordenamiento Territorial y Esquemas de Ordenamiento Territorial, según sea el caso, se hará durante el proceso de adopción, o en el proceso de revisión, modificación y ajustes de los mismos, y debe realizarse de acuerdo con las disposiciones establecidas en la normatividad y en la normatividad única para el sector de ambiente y desarrollo sostenible o las normas que lo adicionen, modifiquen o sustituyan. </w:t>
      </w:r>
    </w:p>
    <w:p w14:paraId="7D252AB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5E50E3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Una vez expedido el acto administrativo correspondiente por la entidad territorial, que adopta o modifica los Planes de Ordenamiento Territorial, Planes Básicos de Ordenamiento Territorial y Esquemas de Ordenamiento Territorial, según sea el caso, en los cuales se establezcan las áreas potenciales para la disposición final de residuos sólidos, mediante la tecnología de relleno sanitario, la persona prestadora del servicio público de aseo en la actividad complementaria de disposición final, deberá surtir el proceso de licenciamiento, previsto en la ley y su decreto reglamentario. </w:t>
      </w:r>
    </w:p>
    <w:p w14:paraId="342535DF" w14:textId="0979AB01"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w:t>
      </w:r>
      <w:bookmarkStart w:id="1800" w:name="ver_30075804"/>
      <w:bookmarkEnd w:id="1800"/>
    </w:p>
    <w:p w14:paraId="1290767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2.3.2.3.2.2.4. Criterios y metodología para la localización de áreas para disposición final de residuos sólidos, mediante la tecnología de relleno sanitario. Para la localización de áreas potenciales para disposición final de residuos sólidos, mediante la tecnología de relleno sanitario, las entidades territoriales, considerando la totalidad del área bajo su jurisdicción, tendrán en cuenta los criterios y la metodología de evaluación que se expone: </w:t>
      </w:r>
    </w:p>
    <w:p w14:paraId="4B1E886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D62CB7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1. Capacidad. El área donde se ubicará el relleno </w:t>
      </w:r>
      <w:proofErr w:type="gramStart"/>
      <w:r w:rsidRPr="009342F9">
        <w:rPr>
          <w:rFonts w:ascii="Arial" w:eastAsia="Times New Roman" w:hAnsi="Arial" w:cs="Arial"/>
          <w:color w:val="000000"/>
          <w:lang w:eastAsia="es-CO"/>
        </w:rPr>
        <w:t>sanitario,</w:t>
      </w:r>
      <w:proofErr w:type="gramEnd"/>
      <w:r w:rsidRPr="009342F9">
        <w:rPr>
          <w:rFonts w:ascii="Arial" w:eastAsia="Times New Roman" w:hAnsi="Arial" w:cs="Arial"/>
          <w:color w:val="000000"/>
          <w:lang w:eastAsia="es-CO"/>
        </w:rPr>
        <w:t xml:space="preserve"> debe ser suficiente para permitir que la vida útil de este sea compatible con la producción proyectada de residuos sólidos a disponer en el mismo, considerando tanto el municipio receptor como aquellos ubicados dentro de un radio de 60 kilómetros del mismo. Por lo tanto, este criterio se calificará en función de la cantidad de residuos sólidos que se puedan disponer dando 0 puntos para una capacidad igual o menor a 0.5 veces la producción de residuos producidos en treinta (30) años, hasta 200 puntos para una capacidad igual o mayor a 1.5 veces la producción de residuos sólidos producidos en treinta años (30) años, calificándose en forma lineal a partir de 0.5 veces la producción de residuos producidos en los treinta (30) años. </w:t>
      </w:r>
    </w:p>
    <w:p w14:paraId="0223EF4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79FD51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Para cuantificar en esta fase la cantidad de residuos sólidos producidos para el período de 30 años, se utilizará el parámetro de producción per cápita definido en la Tabla F.1.2 y las proyecciones de población de acuerdo con los métodos establecidos en el Reglamento Técnico del Sector de Agua Potable y Saneamiento Básico, RAS, según el nivel de complejidad del proyecto de las entidades territoriales que dispondrán en el relleno sanitario. </w:t>
      </w:r>
    </w:p>
    <w:p w14:paraId="09BF43E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99BDBC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Ocupación actual del área. Determina las actividades que actualmente se vienen realizando con el objeto de prever posibles impactos sobre la comunidad o los recursos naturales dando un puntaje así: </w:t>
      </w:r>
    </w:p>
    <w:p w14:paraId="3B4ABD8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D56B1C6" w14:textId="072A136D" w:rsidR="00FC79C1" w:rsidRPr="009342F9" w:rsidRDefault="48ABE02E" w:rsidP="00FC79C1">
      <w:pPr>
        <w:spacing w:after="0" w:line="240" w:lineRule="auto"/>
        <w:jc w:val="both"/>
        <w:rPr>
          <w:rFonts w:ascii="Arial" w:eastAsia="Times New Roman" w:hAnsi="Arial" w:cs="Arial"/>
          <w:color w:val="000000"/>
          <w:lang w:eastAsia="es-CO"/>
        </w:rPr>
      </w:pPr>
      <w:r>
        <w:rPr>
          <w:noProof/>
        </w:rPr>
        <w:drawing>
          <wp:inline distT="0" distB="0" distL="0" distR="0" wp14:anchorId="2590DF76" wp14:editId="1452E4D7">
            <wp:extent cx="5546723" cy="120777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30">
                      <a:extLst>
                        <a:ext uri="{28A0092B-C50C-407E-A947-70E740481C1C}">
                          <a14:useLocalDpi xmlns:a14="http://schemas.microsoft.com/office/drawing/2010/main" val="0"/>
                        </a:ext>
                      </a:extLst>
                    </a:blip>
                    <a:stretch>
                      <a:fillRect/>
                    </a:stretch>
                  </pic:blipFill>
                  <pic:spPr>
                    <a:xfrm>
                      <a:off x="0" y="0"/>
                      <a:ext cx="5546723" cy="1207770"/>
                    </a:xfrm>
                    <a:prstGeom prst="rect">
                      <a:avLst/>
                    </a:prstGeom>
                  </pic:spPr>
                </pic:pic>
              </a:graphicData>
            </a:graphic>
          </wp:inline>
        </w:drawing>
      </w:r>
      <w:r w:rsidR="00FC79C1" w:rsidRPr="3DD719FF">
        <w:rPr>
          <w:rFonts w:ascii="Arial" w:eastAsia="Times New Roman" w:hAnsi="Arial" w:cs="Arial"/>
          <w:color w:val="000000" w:themeColor="text1"/>
          <w:lang w:eastAsia="es-CO"/>
        </w:rPr>
        <w:t> </w:t>
      </w:r>
    </w:p>
    <w:p w14:paraId="41EED3D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240DF6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3. Accesibilidad vial. Este criterio corresponde a la facilidad y economía que la persona prestadora del servicio público de aseo en el componente de recolección y </w:t>
      </w:r>
      <w:proofErr w:type="gramStart"/>
      <w:r w:rsidRPr="009342F9">
        <w:rPr>
          <w:rFonts w:ascii="Arial" w:eastAsia="Times New Roman" w:hAnsi="Arial" w:cs="Arial"/>
          <w:color w:val="000000"/>
          <w:lang w:eastAsia="es-CO"/>
        </w:rPr>
        <w:t>transporte,</w:t>
      </w:r>
      <w:proofErr w:type="gramEnd"/>
      <w:r w:rsidRPr="009342F9">
        <w:rPr>
          <w:rFonts w:ascii="Arial" w:eastAsia="Times New Roman" w:hAnsi="Arial" w:cs="Arial"/>
          <w:color w:val="000000"/>
          <w:lang w:eastAsia="es-CO"/>
        </w:rPr>
        <w:t xml:space="preserve"> tiene para llevar los residuos sólidos al área en que se efectuará dicha disposición final, mediante la tecnología de relleno sanitario. El criterio se divide en los siguientes subcriterios: </w:t>
      </w:r>
    </w:p>
    <w:p w14:paraId="0DC8450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B0782B4" w14:textId="212963FD"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Condiciones de la vía principal (puntaje máximo 20 puntos)   </w:t>
      </w:r>
    </w:p>
    <w:p w14:paraId="0A2DE260" w14:textId="235D47F6" w:rsidR="00FC79C1" w:rsidRPr="009342F9" w:rsidRDefault="48ABE02E" w:rsidP="00FC79C1">
      <w:pPr>
        <w:spacing w:after="0" w:line="240" w:lineRule="auto"/>
        <w:jc w:val="both"/>
        <w:rPr>
          <w:rFonts w:ascii="Arial" w:eastAsia="Times New Roman" w:hAnsi="Arial" w:cs="Arial"/>
          <w:color w:val="000000"/>
          <w:lang w:eastAsia="es-CO"/>
        </w:rPr>
      </w:pPr>
      <w:r>
        <w:rPr>
          <w:noProof/>
        </w:rPr>
        <w:lastRenderedPageBreak/>
        <w:drawing>
          <wp:inline distT="0" distB="0" distL="0" distR="0" wp14:anchorId="41D966FE" wp14:editId="0439AE5A">
            <wp:extent cx="5546723" cy="6935468"/>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31">
                      <a:extLst>
                        <a:ext uri="{28A0092B-C50C-407E-A947-70E740481C1C}">
                          <a14:useLocalDpi xmlns:a14="http://schemas.microsoft.com/office/drawing/2010/main" val="0"/>
                        </a:ext>
                      </a:extLst>
                    </a:blip>
                    <a:stretch>
                      <a:fillRect/>
                    </a:stretch>
                  </pic:blipFill>
                  <pic:spPr>
                    <a:xfrm>
                      <a:off x="0" y="0"/>
                      <a:ext cx="5546723" cy="6935468"/>
                    </a:xfrm>
                    <a:prstGeom prst="rect">
                      <a:avLst/>
                    </a:prstGeom>
                  </pic:spPr>
                </pic:pic>
              </a:graphicData>
            </a:graphic>
          </wp:inline>
        </w:drawing>
      </w:r>
      <w:r w:rsidR="00FC79C1" w:rsidRPr="3DD719FF">
        <w:rPr>
          <w:rFonts w:ascii="Arial" w:eastAsia="Times New Roman" w:hAnsi="Arial" w:cs="Arial"/>
          <w:color w:val="000000" w:themeColor="text1"/>
          <w:lang w:eastAsia="es-CO"/>
        </w:rPr>
        <w:t> </w:t>
      </w:r>
    </w:p>
    <w:p w14:paraId="1D522C1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471E5B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Condiciones del suelo y topografía. Este criterio determina las facilidades de construcción, operación y trabajabilidad en el área en que se efectuará dicha disposición final, mediante la tecnología de relleno sanitario, calificadas bajo los siguientes subcriterios: </w:t>
      </w:r>
    </w:p>
    <w:p w14:paraId="508761C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4BEA1C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Pendiente promedio del terreno (puntaje máximo 40 puntos): </w:t>
      </w:r>
    </w:p>
    <w:p w14:paraId="50520A2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65BEAC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F4BD7F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w:t>
      </w:r>
    </w:p>
    <w:p w14:paraId="5BA93E1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Facilidad para el movimiento de tierras del área en que se efectuará dicha disposición final, mediante la tecnología de relleno sanitario (puntaje máximo 40 puntos): </w:t>
      </w:r>
    </w:p>
    <w:p w14:paraId="4FA4E29E" w14:textId="1CBD381B"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396B25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 Distancia entre el perímetro urbano, respecto del área para la disposición final de residuos sólidos, mediante la tecnología de relleno sanitario. Este criterio se asocia a los costos de transporte en que incurriría la persona prestadora del servicio público de aseo para llevar los residuos sólidos desde el perímetro urbano, incluida la zona de expansión urbana, al área en la que se efectuará la disposición final de residuos sólidos: </w:t>
      </w:r>
    </w:p>
    <w:p w14:paraId="47547806" w14:textId="1E752651"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E8D4CA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6. Disponibilidad de material de cobertura. Este criterio se asocia a los costos de transporte en que incurre la persona prestadora del servicio para obtener y llevar el material de cobertura necesario para dar cumplimiento a las especificaciones técnicas y ambientales en los procesos de operación diaria y cierre y clausura del relleno sanitario, calificado bajo dos subcriterios así: </w:t>
      </w:r>
    </w:p>
    <w:p w14:paraId="5DC19D2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7B67A6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Distancia del sitio de obtención de material de cobertura hasta el área de disposición final (puntaje máximo 60 puntos) </w:t>
      </w:r>
    </w:p>
    <w:p w14:paraId="5E833CE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BC34DB1" w14:textId="12A41659" w:rsidR="00FC79C1" w:rsidRPr="009342F9" w:rsidRDefault="48ABE02E" w:rsidP="00FC79C1">
      <w:pPr>
        <w:spacing w:after="0" w:line="240" w:lineRule="auto"/>
        <w:jc w:val="both"/>
        <w:rPr>
          <w:rFonts w:ascii="Arial" w:eastAsia="Times New Roman" w:hAnsi="Arial" w:cs="Arial"/>
          <w:color w:val="000000"/>
          <w:lang w:eastAsia="es-CO"/>
        </w:rPr>
      </w:pPr>
      <w:r>
        <w:rPr>
          <w:noProof/>
        </w:rPr>
        <w:drawing>
          <wp:inline distT="0" distB="0" distL="0" distR="0" wp14:anchorId="4C50EFCC" wp14:editId="5A71B84E">
            <wp:extent cx="5546723" cy="1250950"/>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32">
                      <a:extLst>
                        <a:ext uri="{28A0092B-C50C-407E-A947-70E740481C1C}">
                          <a14:useLocalDpi xmlns:a14="http://schemas.microsoft.com/office/drawing/2010/main" val="0"/>
                        </a:ext>
                      </a:extLst>
                    </a:blip>
                    <a:stretch>
                      <a:fillRect/>
                    </a:stretch>
                  </pic:blipFill>
                  <pic:spPr>
                    <a:xfrm>
                      <a:off x="0" y="0"/>
                      <a:ext cx="5546723" cy="1250950"/>
                    </a:xfrm>
                    <a:prstGeom prst="rect">
                      <a:avLst/>
                    </a:prstGeom>
                  </pic:spPr>
                </pic:pic>
              </a:graphicData>
            </a:graphic>
          </wp:inline>
        </w:drawing>
      </w:r>
      <w:r w:rsidR="00FC79C1" w:rsidRPr="3DD719FF">
        <w:rPr>
          <w:rFonts w:ascii="Arial" w:eastAsia="Times New Roman" w:hAnsi="Arial" w:cs="Arial"/>
          <w:color w:val="000000" w:themeColor="text1"/>
          <w:lang w:eastAsia="es-CO"/>
        </w:rPr>
        <w:t> </w:t>
      </w:r>
    </w:p>
    <w:p w14:paraId="3E8863D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16B996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Calidad del material de cobertura medida por su textura (puntaje máximo 40 puntos) </w:t>
      </w:r>
    </w:p>
    <w:p w14:paraId="67E9043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154BA1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7. Densidad poblacional en el área. Este criterio determina la posible afectación de la población “ubicada en el área de influencia directa del área en la que se efectuará la disposición de residuos sólidos: </w:t>
      </w:r>
    </w:p>
    <w:p w14:paraId="5A737F4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BE5F9B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8. Incidencia en la congestión de tráfico en la vía principal. Este criterio determina la incidencia que puede tener sobre el tráfico de la vía principal, el desplazamiento de los vehículos que transportarán desde el perímetro urbano hasta el del área en la que se efectuará la disposición de residuos sólidos, cuantificados así: </w:t>
      </w:r>
    </w:p>
    <w:p w14:paraId="60A8D8A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88CB1A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9. Distancias a cuerpos hídricos. Este criterio establece la relación que tendrá el área en la que se efectuará la disposición final de residuos, respecto a las fuentes hídricas permanentes y superficiales existentes en la zona, cuantificándose de la siguiente forma: </w:t>
      </w:r>
    </w:p>
    <w:p w14:paraId="45F3576E" w14:textId="39ED38C1"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36DFFF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10. Dirección de los vientos. Este criterio determina la incidencia que puede tener la dirección de los vientos con respecto al casco urbano, en la operación de la infraestructura instalada en el área en que se efectuará la disposición final de residuos: </w:t>
      </w:r>
    </w:p>
    <w:p w14:paraId="1AA16091" w14:textId="28F9CDE8"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C0251C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11. Geoformas del área respecto al entorno. Este criterio hace referencia a la incidencia que puede tener sobre el paisaje y el entorno, calificándose respecto a la zona urbana, la operación de la infraestructura ubicada en el área en que se efectuará la disposición final de residuos, así: </w:t>
      </w:r>
    </w:p>
    <w:p w14:paraId="4006F9A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6A38F3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BBB441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w:t>
      </w:r>
    </w:p>
    <w:p w14:paraId="4A302F4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12. Restricciones en la disponibilidad del área. Este criterio hace referencia a las restricciones del área en que se efectuará la disposición final de residuos, con base en las definidas en el artículo 2.3.2.3.2.2.5 Numeral 2 del presente capítulo, calificándose de acuerdo con el número de posibles restricciones así: </w:t>
      </w:r>
    </w:p>
    <w:p w14:paraId="61AF0BEA" w14:textId="7E587469"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368E94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El puntaje máximo de la evaluación será de 1.000 puntos. El puntaje obtenido por cada área potencial no indica el descarte o rechazo de alguna de las mismas, sino que indica una posición dentro de un orden de elegibilidad, de mayor a menor, de acuerdo con el valor del puntaje obtenido, y con base en este orden se incorporarán al POT, EOT o PBOT, según sea el caso, de cada entidad territorial. </w:t>
      </w:r>
    </w:p>
    <w:p w14:paraId="3AC8FC8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B8D0E2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1°. Deberá incluirse, en los Planes de que trata el numeral 4 del artículo 2.3.2.3.2.2.3 del presente capítulo, todas aquellas áreas que obtengan un puntaje igual o superior al 60% del puntaje obtenido por el área mejor calificada en el orden de elegibilidad. </w:t>
      </w:r>
    </w:p>
    <w:p w14:paraId="7D63D33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9AACCE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2°. La identificación y ubicación de los proyectos de rellenos sanitarios, dentro de las áreas potenciales para la disposición final de residuos sólidos señaladas en el POT, EOT o PBOT, según sea el caso, de cada entidad territorial, corresponderá a los prestadores del servicio público de aseo en la actividad complementaria de disposición final, mediante la tecnología de relleno sanitario. </w:t>
      </w:r>
    </w:p>
    <w:p w14:paraId="15013596" w14:textId="38F374D4"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801" w:name="ver_30109311"/>
      <w:bookmarkStart w:id="1802" w:name="ver_30109307"/>
      <w:bookmarkEnd w:id="1801"/>
    </w:p>
    <w:p w14:paraId="6A71799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2.3.2.3.2.2.5. Prohibiciones y restricciones en la localización de áreas para disposición final de residuos </w:t>
      </w:r>
      <w:proofErr w:type="spellStart"/>
      <w:proofErr w:type="gramStart"/>
      <w:r w:rsidRPr="009342F9">
        <w:rPr>
          <w:rFonts w:ascii="Arial" w:eastAsia="Times New Roman" w:hAnsi="Arial" w:cs="Arial"/>
          <w:color w:val="000000"/>
          <w:lang w:eastAsia="es-CO"/>
        </w:rPr>
        <w:t>sólidos.En</w:t>
      </w:r>
      <w:proofErr w:type="spellEnd"/>
      <w:proofErr w:type="gramEnd"/>
      <w:r w:rsidRPr="009342F9">
        <w:rPr>
          <w:rFonts w:ascii="Arial" w:eastAsia="Times New Roman" w:hAnsi="Arial" w:cs="Arial"/>
          <w:color w:val="000000"/>
          <w:lang w:eastAsia="es-CO"/>
        </w:rPr>
        <w:t xml:space="preserve"> la localización de áreas para realizar la disposición final de residuos sólidos, mediante la tecnología de relleno sanitario, se tendrán en cuenta las siguientes:  </w:t>
      </w:r>
    </w:p>
    <w:p w14:paraId="1E531F6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5E8821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w:t>
      </w:r>
      <w:proofErr w:type="spellStart"/>
      <w:proofErr w:type="gramStart"/>
      <w:r w:rsidRPr="009342F9">
        <w:rPr>
          <w:rFonts w:ascii="Arial" w:eastAsia="Times New Roman" w:hAnsi="Arial" w:cs="Arial"/>
          <w:color w:val="000000"/>
          <w:lang w:eastAsia="es-CO"/>
        </w:rPr>
        <w:t>Prohibiciones:Corresponden</w:t>
      </w:r>
      <w:proofErr w:type="spellEnd"/>
      <w:proofErr w:type="gramEnd"/>
      <w:r w:rsidRPr="009342F9">
        <w:rPr>
          <w:rFonts w:ascii="Arial" w:eastAsia="Times New Roman" w:hAnsi="Arial" w:cs="Arial"/>
          <w:color w:val="000000"/>
          <w:lang w:eastAsia="es-CO"/>
        </w:rPr>
        <w:t xml:space="preserve"> a las áreas donde queda prohibido la localización, construcción y operación de rellenos sanitarios: </w:t>
      </w:r>
    </w:p>
    <w:p w14:paraId="73D2A33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2CD25B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Fuentes superficiales. Dentro de la faja paralela a la línea de mareas máximas o a la del cauce permanente de ríos y lagos, como mínimo de treinta (30) metros de ancho o las definidas en el respectivo POT, EOT y PBOT, según sea el caso; dentro de la faja paralela al sitio de pozos de agua potable, tanto en operación como en abandono, a los manantiales y aguas arriba de cualquier sitio de captación de una fuente superficial de abastecimiento hídrico para consumo humano de por lo menos quinientos (500) metros; en zonas de pantanos, humedales y áreas similares.  </w:t>
      </w:r>
    </w:p>
    <w:p w14:paraId="432CAD2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3FAA82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Fuentes subterráneas. En zonas de recarga de acuíferos.  </w:t>
      </w:r>
    </w:p>
    <w:p w14:paraId="6210A4F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396AE84" w14:textId="4AB8A312"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Hábitats naturales críticos:</w:t>
      </w:r>
      <w:r w:rsidR="0066689E">
        <w:rPr>
          <w:rFonts w:ascii="Arial" w:eastAsia="Times New Roman" w:hAnsi="Arial" w:cs="Arial"/>
          <w:color w:val="000000"/>
          <w:lang w:eastAsia="es-CO"/>
        </w:rPr>
        <w:t xml:space="preserve"> </w:t>
      </w:r>
      <w:r w:rsidRPr="009342F9">
        <w:rPr>
          <w:rFonts w:ascii="Arial" w:eastAsia="Times New Roman" w:hAnsi="Arial" w:cs="Arial"/>
          <w:color w:val="000000"/>
          <w:lang w:eastAsia="es-CO"/>
        </w:rPr>
        <w:t>Zonas donde habiten especies endémicas en peligro de extinción.  </w:t>
      </w:r>
    </w:p>
    <w:p w14:paraId="36B1DCA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06B300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Áreas pertenecientes al Sistema de Parques Nacionales Naturales y demás áreas de manejo especial y de ecosistemas especiales tales como humedales, páramos y manglares.  </w:t>
      </w:r>
    </w:p>
    <w:p w14:paraId="0B1DBD2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EEE67C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Restricciones. Corresponden a las áreas donde si bien se pueden localizar, construir y operar rellenos sanitarios, se debe cumplir con ciertas especificaciones y requisitos particulares, sin los cuales no es posible su ubicación, construcción y operación:  </w:t>
      </w:r>
    </w:p>
    <w:p w14:paraId="6B0ED76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36ACCD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Distancia al suelo urbano. Dentro de los mil (1.000) metros de distancia horizontal, con respecto al límite del área urbana o suburbana, incluyendo zonas de expansión y crecimiento urbanístico, </w:t>
      </w:r>
      <w:r w:rsidRPr="009342F9">
        <w:rPr>
          <w:rFonts w:ascii="Arial" w:eastAsia="Times New Roman" w:hAnsi="Arial" w:cs="Arial"/>
          <w:color w:val="000000"/>
          <w:lang w:eastAsia="es-CO"/>
        </w:rPr>
        <w:lastRenderedPageBreak/>
        <w:t>distancia que puede ser modificada según los resultados de los estudios ambientales específicos.  </w:t>
      </w:r>
    </w:p>
    <w:p w14:paraId="2341D53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F9C4DE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Proximidad a aeropuertos. Se deberá cumplir con la normatividad expedida sobre la materia por la Unidad Administrativa Especial de la Aeronáutica Civil o la entidad que haga sus veces.  </w:t>
      </w:r>
    </w:p>
    <w:p w14:paraId="1A6685D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A2975E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Fuentes subterráneas. La infraestructura instalada, deberá estar ubicada a una altura mínima de cinco (5) metros por encima del nivel freático.  </w:t>
      </w:r>
    </w:p>
    <w:p w14:paraId="539CEED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6848D3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Áreas inestables. Se deberá procurar que las áreas para disposición final de residuos sólidos, no se ubiquen en zonas que puedan generar asentamientos que desestabilicen la integridad de la infraestructura allí instalada, como estratos de suelos altamente compresibles, sitios susceptibles a movimientos en masa y aquellos donde se pueda generar fenómenos de </w:t>
      </w:r>
      <w:proofErr w:type="spellStart"/>
      <w:r w:rsidRPr="009342F9">
        <w:rPr>
          <w:rFonts w:ascii="Arial" w:eastAsia="Times New Roman" w:hAnsi="Arial" w:cs="Arial"/>
          <w:color w:val="000000"/>
          <w:lang w:eastAsia="es-CO"/>
        </w:rPr>
        <w:t>carsismo</w:t>
      </w:r>
      <w:proofErr w:type="spellEnd"/>
      <w:r w:rsidRPr="009342F9">
        <w:rPr>
          <w:rFonts w:ascii="Arial" w:eastAsia="Times New Roman" w:hAnsi="Arial" w:cs="Arial"/>
          <w:color w:val="000000"/>
          <w:lang w:eastAsia="es-CO"/>
        </w:rPr>
        <w:t>.  </w:t>
      </w:r>
    </w:p>
    <w:p w14:paraId="662A7DA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7224CA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Zonas de riesgo sísmico alto. En la localización de áreas para disposición final de residuos sólidos, se deberá tener en cuenta el nivel de amenaza sísmica del sitio donde se ubicará el relleno sanitario, así como la vulnerabilidad </w:t>
      </w:r>
      <w:proofErr w:type="gramStart"/>
      <w:r w:rsidRPr="009342F9">
        <w:rPr>
          <w:rFonts w:ascii="Arial" w:eastAsia="Times New Roman" w:hAnsi="Arial" w:cs="Arial"/>
          <w:color w:val="000000"/>
          <w:lang w:eastAsia="es-CO"/>
        </w:rPr>
        <w:t>del mismo</w:t>
      </w:r>
      <w:proofErr w:type="gramEnd"/>
      <w:r w:rsidRPr="009342F9">
        <w:rPr>
          <w:rFonts w:ascii="Arial" w:eastAsia="Times New Roman" w:hAnsi="Arial" w:cs="Arial"/>
          <w:color w:val="000000"/>
          <w:lang w:eastAsia="es-CO"/>
        </w:rPr>
        <w:t>. </w:t>
      </w:r>
    </w:p>
    <w:p w14:paraId="49E2665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D7E38F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Parágrafo. En el evento en </w:t>
      </w:r>
      <w:proofErr w:type="gramStart"/>
      <w:r w:rsidRPr="009342F9">
        <w:rPr>
          <w:rFonts w:ascii="Arial" w:eastAsia="Times New Roman" w:hAnsi="Arial" w:cs="Arial"/>
          <w:color w:val="000000"/>
          <w:lang w:eastAsia="es-CO"/>
        </w:rPr>
        <w:t>que</w:t>
      </w:r>
      <w:proofErr w:type="gramEnd"/>
      <w:r w:rsidRPr="009342F9">
        <w:rPr>
          <w:rFonts w:ascii="Arial" w:eastAsia="Times New Roman" w:hAnsi="Arial" w:cs="Arial"/>
          <w:color w:val="000000"/>
          <w:lang w:eastAsia="es-CO"/>
        </w:rPr>
        <w:t xml:space="preserve"> por las condiciones geotécnicas, geomorfológicas e hidrológicas de la región, se deba ubicar infraestructura para la disposición final de residuos sólidos en áreas donde existen restricciones, se garantizará la seguridad y estabilidad de la infraestructura en la adopción de las respectivas medidas de control, mitigación y compensación que exija la autoridad ambiental competente”.  </w:t>
      </w:r>
    </w:p>
    <w:p w14:paraId="2BF78CA6" w14:textId="77777777" w:rsidR="00FC79C1" w:rsidRPr="009342F9" w:rsidRDefault="00FC79C1" w:rsidP="00FC79C1">
      <w:pPr>
        <w:spacing w:after="0" w:line="240" w:lineRule="auto"/>
        <w:jc w:val="both"/>
        <w:rPr>
          <w:rFonts w:ascii="Arial" w:eastAsia="Times New Roman" w:hAnsi="Arial" w:cs="Arial"/>
          <w:color w:val="000000"/>
          <w:lang w:eastAsia="es-CO"/>
        </w:rPr>
      </w:pPr>
    </w:p>
    <w:p w14:paraId="52DB9398" w14:textId="77777777" w:rsidR="00FC79C1" w:rsidRPr="009342F9" w:rsidRDefault="00FC79C1" w:rsidP="004E2147">
      <w:pPr>
        <w:spacing w:after="0" w:line="240" w:lineRule="auto"/>
        <w:jc w:val="center"/>
        <w:rPr>
          <w:rFonts w:ascii="Arial" w:eastAsia="Times New Roman" w:hAnsi="Arial" w:cs="Arial"/>
          <w:b/>
          <w:bCs/>
          <w:color w:val="000000"/>
          <w:lang w:eastAsia="es-CO"/>
        </w:rPr>
      </w:pPr>
      <w:bookmarkStart w:id="1803" w:name="ver_30075806"/>
      <w:bookmarkEnd w:id="1802"/>
      <w:bookmarkEnd w:id="1803"/>
      <w:r w:rsidRPr="009342F9">
        <w:rPr>
          <w:rFonts w:ascii="Arial" w:eastAsia="Times New Roman" w:hAnsi="Arial" w:cs="Arial"/>
          <w:b/>
          <w:bCs/>
          <w:color w:val="000000"/>
          <w:lang w:eastAsia="es-CO"/>
        </w:rPr>
        <w:t>SECCIÓN 3</w:t>
      </w:r>
    </w:p>
    <w:p w14:paraId="4CBA1F83" w14:textId="77777777" w:rsidR="00FC79C1" w:rsidRDefault="00FC79C1" w:rsidP="004E2147">
      <w:pPr>
        <w:spacing w:after="0" w:line="240" w:lineRule="auto"/>
        <w:jc w:val="center"/>
        <w:rPr>
          <w:rFonts w:ascii="Arial" w:eastAsia="Times New Roman" w:hAnsi="Arial" w:cs="Arial"/>
          <w:b/>
          <w:bCs/>
          <w:color w:val="000000"/>
          <w:lang w:eastAsia="es-CO"/>
        </w:rPr>
      </w:pPr>
      <w:r w:rsidRPr="231E957E">
        <w:rPr>
          <w:rFonts w:ascii="Arial" w:eastAsia="Times New Roman" w:hAnsi="Arial" w:cs="Arial"/>
          <w:b/>
          <w:color w:val="000000" w:themeColor="text1"/>
          <w:lang w:eastAsia="es-CO"/>
        </w:rPr>
        <w:t>CONSIDERACIONES AMBIENTALES Y TÉCNICAS DE PLANEACIÓN, CONSTRUCCIÓN Y OPERACIÓN DE RELLENOS SANITARIOS</w:t>
      </w:r>
    </w:p>
    <w:p w14:paraId="22359C46" w14:textId="77777777" w:rsidR="00723293" w:rsidRPr="009342F9" w:rsidRDefault="00723293" w:rsidP="004E2147">
      <w:pPr>
        <w:spacing w:after="0" w:line="240" w:lineRule="auto"/>
        <w:jc w:val="center"/>
        <w:rPr>
          <w:rFonts w:ascii="Arial" w:eastAsia="Times New Roman" w:hAnsi="Arial" w:cs="Arial"/>
          <w:b/>
          <w:bCs/>
          <w:color w:val="000000"/>
          <w:lang w:eastAsia="es-CO"/>
        </w:rPr>
      </w:pPr>
    </w:p>
    <w:p w14:paraId="1B57B0A5" w14:textId="77777777" w:rsidR="00FC79C1" w:rsidRPr="009342F9" w:rsidRDefault="00FC79C1" w:rsidP="004E2147">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SUBSECCION 1</w:t>
      </w:r>
    </w:p>
    <w:p w14:paraId="0E206B6F" w14:textId="77777777" w:rsidR="00FC79C1" w:rsidRPr="009342F9" w:rsidRDefault="00FC79C1" w:rsidP="004E2147">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DE LA PLANEACIÓN Y REGLAMENTO OPERATIVO</w:t>
      </w:r>
    </w:p>
    <w:p w14:paraId="0CC62B5D"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804" w:name="ver_30075807"/>
      <w:bookmarkEnd w:id="1804"/>
    </w:p>
    <w:p w14:paraId="297A3E7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2.3.2.3.3.1.6. De Planeación. El proceso de planificación del servicio público de aseo en la actividad complementaria de disposición final de residuos </w:t>
      </w:r>
      <w:proofErr w:type="gramStart"/>
      <w:r w:rsidRPr="009342F9">
        <w:rPr>
          <w:rFonts w:ascii="Arial" w:eastAsia="Times New Roman" w:hAnsi="Arial" w:cs="Arial"/>
          <w:color w:val="000000"/>
          <w:lang w:eastAsia="es-CO"/>
        </w:rPr>
        <w:t>sólidos,</w:t>
      </w:r>
      <w:proofErr w:type="gramEnd"/>
      <w:r w:rsidRPr="009342F9">
        <w:rPr>
          <w:rFonts w:ascii="Arial" w:eastAsia="Times New Roman" w:hAnsi="Arial" w:cs="Arial"/>
          <w:color w:val="000000"/>
          <w:lang w:eastAsia="es-CO"/>
        </w:rPr>
        <w:t xml:space="preserve"> se realizará con base en los siguientes instrumentos: </w:t>
      </w:r>
    </w:p>
    <w:p w14:paraId="51BA3C9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0B3F20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Los Planes de Gestión Integral de Residuos Sólidos, PGIRS. </w:t>
      </w:r>
    </w:p>
    <w:p w14:paraId="4259E49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DA274A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Los Planes de Ordenamiento Territorial. </w:t>
      </w:r>
    </w:p>
    <w:p w14:paraId="2C620CA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88D12C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Licencia Ambiental. </w:t>
      </w:r>
    </w:p>
    <w:p w14:paraId="6717270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E41083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Reglamento Técnico del Sector, RAS. </w:t>
      </w:r>
    </w:p>
    <w:p w14:paraId="1FE5FE0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550162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Reglamento operativo. </w:t>
      </w:r>
    </w:p>
    <w:p w14:paraId="3A3D2239" w14:textId="7D20596E"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805" w:name="ver_30075809"/>
      <w:bookmarkEnd w:id="1805"/>
    </w:p>
    <w:p w14:paraId="5656A7D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2.3.2.3.3.1.7. Reglamento operativo. El prestador del servicio público de aseo en la actividad complementaria de disposición final de residuos </w:t>
      </w:r>
      <w:proofErr w:type="gramStart"/>
      <w:r w:rsidRPr="009342F9">
        <w:rPr>
          <w:rFonts w:ascii="Arial" w:eastAsia="Times New Roman" w:hAnsi="Arial" w:cs="Arial"/>
          <w:color w:val="000000"/>
          <w:lang w:eastAsia="es-CO"/>
        </w:rPr>
        <w:t>sólidos,</w:t>
      </w:r>
      <w:proofErr w:type="gramEnd"/>
      <w:r w:rsidRPr="009342F9">
        <w:rPr>
          <w:rFonts w:ascii="Arial" w:eastAsia="Times New Roman" w:hAnsi="Arial" w:cs="Arial"/>
          <w:color w:val="000000"/>
          <w:lang w:eastAsia="es-CO"/>
        </w:rPr>
        <w:t xml:space="preserve"> deberá formular y desarrollar antes del inicio de la operación un reglamento operativo, que se dé a conocer a los usuarios al momento de la solicitud de acceso al servicio, el cual incluirá: </w:t>
      </w:r>
    </w:p>
    <w:p w14:paraId="5571D9B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BBA2FE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a) Cronograma de actividades de acuerdo con las especificaciones técnicas definidas en el numeral F.6.7.1.1 del Título F del RAS, o las normas que lo modifiquen, adicionen o sustituyan. </w:t>
      </w:r>
    </w:p>
    <w:p w14:paraId="00CD66E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2F14A3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b) Condiciones de acceso. </w:t>
      </w:r>
    </w:p>
    <w:p w14:paraId="5DB7FBF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64A009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 Frentes de trabajo. </w:t>
      </w:r>
    </w:p>
    <w:p w14:paraId="1005236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02C072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d) Restricción e identificación de residuos. </w:t>
      </w:r>
    </w:p>
    <w:p w14:paraId="241B29C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11D88A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 Compactación de los residuos. </w:t>
      </w:r>
    </w:p>
    <w:p w14:paraId="250F9F8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368788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f) Material de cubierta diaria. </w:t>
      </w:r>
    </w:p>
    <w:p w14:paraId="39E4B58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613BCE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g) Control del agua de infiltración y de escorrentía. </w:t>
      </w:r>
    </w:p>
    <w:p w14:paraId="0E42B5C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043335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h) Recolección y tratamiento de lixiviados. </w:t>
      </w:r>
    </w:p>
    <w:p w14:paraId="1D1520A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E92087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i) Recolección, concentración y venteo de gases. </w:t>
      </w:r>
    </w:p>
    <w:p w14:paraId="535BDC1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616C81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j) Actividades y acciones de manejo y control para la estabilidad de taludes. </w:t>
      </w:r>
    </w:p>
    <w:p w14:paraId="3307694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E5FC9B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k) Equipos e instalaciones de Instrumentación. </w:t>
      </w:r>
    </w:p>
    <w:p w14:paraId="7BC9B53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43ABD8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 Procedimientos constructivos. </w:t>
      </w:r>
    </w:p>
    <w:p w14:paraId="5C84B75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A7A1DE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m) Calidad y cantidad de materiales a utilizar. </w:t>
      </w:r>
    </w:p>
    <w:p w14:paraId="69DB1C6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5DEBA8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n) Equipo y maquinaria requerida. </w:t>
      </w:r>
    </w:p>
    <w:p w14:paraId="1CA6653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686EF1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o) Personal requerido y calidades profesionales. </w:t>
      </w:r>
    </w:p>
    <w:p w14:paraId="718E161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2F29C6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 Procesos operativos desde la entrada de los residuos hasta su disposición final. </w:t>
      </w:r>
    </w:p>
    <w:p w14:paraId="606683F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7E17A4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q) Planos y esquemas de los procesos e instalaciones en el relleno. </w:t>
      </w:r>
    </w:p>
    <w:p w14:paraId="001C4CE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8BE4D3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r) Programa de seguridad industrial a aplicar en la construcción y operación del relleno sanitario. </w:t>
      </w:r>
    </w:p>
    <w:p w14:paraId="17A461D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84B365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s) Criterios operacionales entre otros los determinados en el artículo 2.3.2.3.3.1.9 del presente capítulo. </w:t>
      </w:r>
    </w:p>
    <w:p w14:paraId="0F4B4879" w14:textId="67FC3178"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806" w:name="ver_30075810"/>
      <w:bookmarkEnd w:id="1806"/>
    </w:p>
    <w:p w14:paraId="562803B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2.3.2.3.3.1.8. Del plan de trabajo y construcción. Con base en el reglamento operativo, el prestador del servicio público de aseo en la actividad complementaria de disposición </w:t>
      </w:r>
      <w:proofErr w:type="gramStart"/>
      <w:r w:rsidRPr="009342F9">
        <w:rPr>
          <w:rFonts w:ascii="Arial" w:eastAsia="Times New Roman" w:hAnsi="Arial" w:cs="Arial"/>
          <w:color w:val="000000"/>
          <w:lang w:eastAsia="es-CO"/>
        </w:rPr>
        <w:t>final,</w:t>
      </w:r>
      <w:proofErr w:type="gramEnd"/>
      <w:r w:rsidRPr="009342F9">
        <w:rPr>
          <w:rFonts w:ascii="Arial" w:eastAsia="Times New Roman" w:hAnsi="Arial" w:cs="Arial"/>
          <w:color w:val="000000"/>
          <w:lang w:eastAsia="es-CO"/>
        </w:rPr>
        <w:t xml:space="preserve"> deberá iniciar la ejecución de acuerdo con la secuencia programada, iniciando desde la fase de replanteo en terreno hasta el momento de clausura y </w:t>
      </w:r>
      <w:proofErr w:type="spellStart"/>
      <w:r w:rsidRPr="009342F9">
        <w:rPr>
          <w:rFonts w:ascii="Arial" w:eastAsia="Times New Roman" w:hAnsi="Arial" w:cs="Arial"/>
          <w:color w:val="000000"/>
          <w:lang w:eastAsia="es-CO"/>
        </w:rPr>
        <w:t>posclausura</w:t>
      </w:r>
      <w:proofErr w:type="spellEnd"/>
      <w:r w:rsidRPr="009342F9">
        <w:rPr>
          <w:rFonts w:ascii="Arial" w:eastAsia="Times New Roman" w:hAnsi="Arial" w:cs="Arial"/>
          <w:color w:val="000000"/>
          <w:lang w:eastAsia="es-CO"/>
        </w:rPr>
        <w:t xml:space="preserve"> del relleno sanitario. </w:t>
      </w:r>
    </w:p>
    <w:p w14:paraId="6E7B37CC" w14:textId="26599466"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807" w:name="ver_30075811"/>
      <w:bookmarkEnd w:id="1807"/>
    </w:p>
    <w:p w14:paraId="08188A5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2.3.2.3.3.1.9. Criterios operacionales. La persona prestadora del servicio público de aseo en la actividad complementaria de disposición </w:t>
      </w:r>
      <w:proofErr w:type="gramStart"/>
      <w:r w:rsidRPr="009342F9">
        <w:rPr>
          <w:rFonts w:ascii="Arial" w:eastAsia="Times New Roman" w:hAnsi="Arial" w:cs="Arial"/>
          <w:color w:val="000000"/>
          <w:lang w:eastAsia="es-CO"/>
        </w:rPr>
        <w:t>final,</w:t>
      </w:r>
      <w:proofErr w:type="gramEnd"/>
      <w:r w:rsidRPr="009342F9">
        <w:rPr>
          <w:rFonts w:ascii="Arial" w:eastAsia="Times New Roman" w:hAnsi="Arial" w:cs="Arial"/>
          <w:color w:val="000000"/>
          <w:lang w:eastAsia="es-CO"/>
        </w:rPr>
        <w:t xml:space="preserve"> deberá garantizar, entre otras, el cumplimiento de las siguientes condiciones durante la fase de operación: </w:t>
      </w:r>
    </w:p>
    <w:p w14:paraId="307F0CF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521E4E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Prohibición del ingreso de residuos peligrosos, si no existen celdas de seguridad en los términos de la normatividad vigente. </w:t>
      </w:r>
    </w:p>
    <w:p w14:paraId="50585FF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w:t>
      </w:r>
    </w:p>
    <w:p w14:paraId="6965867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Prohibición del ingreso de residuos líquidos y lodos contaminados. </w:t>
      </w:r>
    </w:p>
    <w:p w14:paraId="76E3EB2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0C211C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Prohibición del ingreso de cenizas prendidas. </w:t>
      </w:r>
    </w:p>
    <w:p w14:paraId="5031305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A18A87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Pesaje y registro de cada uno de los vehículos que ingresan al relleno sanitario. </w:t>
      </w:r>
    </w:p>
    <w:p w14:paraId="6F049B4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EC6B54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 Cubrimiento diario de los residuos. </w:t>
      </w:r>
    </w:p>
    <w:p w14:paraId="482582F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21E289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6. Control de vectores y roedores. </w:t>
      </w:r>
    </w:p>
    <w:p w14:paraId="3A07905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F39BDB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7. Control de gases y las concentraciones que los hacen explosivos. </w:t>
      </w:r>
    </w:p>
    <w:p w14:paraId="752EDF7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24043A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8. Control del acceso al público y prevención del tráfico vehicular no autorizado y de la descarga ilegal de residuos. </w:t>
      </w:r>
    </w:p>
    <w:p w14:paraId="1670531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E30184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9. Prohibición de la realización de reciclaje en los frentes de trabajo del relleno. </w:t>
      </w:r>
    </w:p>
    <w:p w14:paraId="462153B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7952BD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10. Condiciones establecidas en el permiso de vertimiento para la descarga, directa e indirecta, del efluente del sistema de tratamiento de lixiviados, en los cuerpos de agua, tanto subterránea como superficial. </w:t>
      </w:r>
    </w:p>
    <w:p w14:paraId="00BF657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9A567D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11. Mantenimiento del registro actualizado de las operaciones realizadas. </w:t>
      </w:r>
    </w:p>
    <w:p w14:paraId="4747141C" w14:textId="2FCC6398" w:rsidR="004E2147"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34DC1E8" w14:textId="77777777" w:rsidR="00FC79C1" w:rsidRPr="009342F9" w:rsidRDefault="00FC79C1" w:rsidP="004E2147">
      <w:pPr>
        <w:spacing w:after="0" w:line="240" w:lineRule="auto"/>
        <w:jc w:val="center"/>
        <w:rPr>
          <w:rFonts w:ascii="Arial" w:eastAsia="Times New Roman" w:hAnsi="Arial" w:cs="Arial"/>
          <w:b/>
          <w:bCs/>
          <w:color w:val="000000"/>
          <w:lang w:eastAsia="es-CO"/>
        </w:rPr>
      </w:pPr>
      <w:bookmarkStart w:id="1808" w:name="ver_30075812"/>
      <w:bookmarkEnd w:id="1808"/>
      <w:r w:rsidRPr="009342F9">
        <w:rPr>
          <w:rFonts w:ascii="Arial" w:eastAsia="Times New Roman" w:hAnsi="Arial" w:cs="Arial"/>
          <w:b/>
          <w:bCs/>
          <w:color w:val="000000"/>
          <w:lang w:eastAsia="es-CO"/>
        </w:rPr>
        <w:t>SUBSECCIÓN 2</w:t>
      </w:r>
    </w:p>
    <w:p w14:paraId="29149788" w14:textId="77777777" w:rsidR="00FC79C1" w:rsidRPr="009342F9" w:rsidRDefault="00FC79C1" w:rsidP="004E2147">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DEL CONTROL Y MONITOREO</w:t>
      </w:r>
    </w:p>
    <w:p w14:paraId="1606035E"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809" w:name="ver_30075813"/>
      <w:bookmarkEnd w:id="1809"/>
    </w:p>
    <w:p w14:paraId="7FBBE12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2.3.2.3.3.2.10. Del control y monitoreo en el área de disposición final de residuos sólidos. Todo prestador del servicio público de aseo en la actividad complementaria de disposición final de residuos </w:t>
      </w:r>
      <w:proofErr w:type="gramStart"/>
      <w:r w:rsidRPr="009342F9">
        <w:rPr>
          <w:rFonts w:ascii="Arial" w:eastAsia="Times New Roman" w:hAnsi="Arial" w:cs="Arial"/>
          <w:color w:val="000000"/>
          <w:lang w:eastAsia="es-CO"/>
        </w:rPr>
        <w:t>sólidos,</w:t>
      </w:r>
      <w:proofErr w:type="gramEnd"/>
      <w:r w:rsidRPr="009342F9">
        <w:rPr>
          <w:rFonts w:ascii="Arial" w:eastAsia="Times New Roman" w:hAnsi="Arial" w:cs="Arial"/>
          <w:color w:val="000000"/>
          <w:lang w:eastAsia="es-CO"/>
        </w:rPr>
        <w:t xml:space="preserve"> deberá incluir en los diseños correspondientes la red de monitoreo de aguas subterráneas, la identificación de las fuentes superficiales y los puntos donde se realizará el control y monitoreo, sin perjuicio de lo dispuesto en la licencia ambiental. </w:t>
      </w:r>
    </w:p>
    <w:p w14:paraId="65B94AE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07AEFD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Asimismo, dicho prestador deberá incluir en los diseños correspondientes los sitios donde se realizará el control de cada actividad para los siguientes parámetros: </w:t>
      </w:r>
    </w:p>
    <w:p w14:paraId="574EB00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0C35EC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Pesaje y registro de cada uno de los vehículos que ingresan al sitio para disposición final de residuos sólidos. </w:t>
      </w:r>
    </w:p>
    <w:p w14:paraId="62188DA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300105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Caracterización anual de los residuos sólidos de acuerdo con las especificaciones técnicas establecidas en el Numeral F.1.4.3 del Título F del RAS o la norma que lo modifique, adicione o sustituya. </w:t>
      </w:r>
    </w:p>
    <w:p w14:paraId="147F035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7B0DE0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Monitoreo mensual de la señalización presentada en el programa de monitoreo. </w:t>
      </w:r>
    </w:p>
    <w:p w14:paraId="0741905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94A905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Control de las instalaciones sanitarias anualmente. </w:t>
      </w:r>
    </w:p>
    <w:p w14:paraId="3C8FA7A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E1E9F7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Control y monitoreo al sistema de compactación de acuerdo con las especificaciones técnicas definidas en el Numeral F.6.6.4 del Título F del RAS o la norma que lo modifique, adicione o sustituya. </w:t>
      </w:r>
    </w:p>
    <w:p w14:paraId="27D9234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02B1C5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Control y monitoreo de la calidad del recurso agua, como mínimo, de acuerdo con los siguientes parámetros y frecuencia, sin perjuicio de lo que disponga la autoridad ambiental. </w:t>
      </w:r>
    </w:p>
    <w:p w14:paraId="20EBA66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B5C757F" w14:textId="365B6E09" w:rsidR="00FC79C1" w:rsidRPr="009342F9" w:rsidRDefault="48ABE02E" w:rsidP="00FC79C1">
      <w:pPr>
        <w:spacing w:after="0" w:line="240" w:lineRule="auto"/>
        <w:jc w:val="both"/>
        <w:rPr>
          <w:rFonts w:ascii="Arial" w:eastAsia="Times New Roman" w:hAnsi="Arial" w:cs="Arial"/>
          <w:color w:val="000000"/>
          <w:lang w:eastAsia="es-CO"/>
        </w:rPr>
      </w:pPr>
      <w:r>
        <w:rPr>
          <w:noProof/>
        </w:rPr>
        <w:drawing>
          <wp:inline distT="0" distB="0" distL="0" distR="0" wp14:anchorId="580C3090" wp14:editId="7A26F5E4">
            <wp:extent cx="5477512" cy="5020312"/>
            <wp:effectExtent l="0" t="0" r="8890"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33">
                      <a:extLst>
                        <a:ext uri="{28A0092B-C50C-407E-A947-70E740481C1C}">
                          <a14:useLocalDpi xmlns:a14="http://schemas.microsoft.com/office/drawing/2010/main" val="0"/>
                        </a:ext>
                      </a:extLst>
                    </a:blip>
                    <a:stretch>
                      <a:fillRect/>
                    </a:stretch>
                  </pic:blipFill>
                  <pic:spPr>
                    <a:xfrm>
                      <a:off x="0" y="0"/>
                      <a:ext cx="5477512" cy="5020312"/>
                    </a:xfrm>
                    <a:prstGeom prst="rect">
                      <a:avLst/>
                    </a:prstGeom>
                  </pic:spPr>
                </pic:pic>
              </a:graphicData>
            </a:graphic>
          </wp:inline>
        </w:drawing>
      </w:r>
      <w:r w:rsidR="00FC79C1" w:rsidRPr="3DD719FF">
        <w:rPr>
          <w:rFonts w:ascii="Arial" w:eastAsia="Times New Roman" w:hAnsi="Arial" w:cs="Arial"/>
          <w:color w:val="000000" w:themeColor="text1"/>
          <w:lang w:eastAsia="es-CO"/>
        </w:rPr>
        <w:t> </w:t>
      </w:r>
    </w:p>
    <w:p w14:paraId="7514511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776E16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Además de las fuentes superficiales y lixiviados, se deberá caracterizar las aguas provenientes del sistema de drenaje, para corroborar que no existe contacto con lixiviados. </w:t>
      </w:r>
    </w:p>
    <w:p w14:paraId="16B1F95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4B879E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Control y monitoreo de la calidad de aire, como mínimo, de acuerdo con los siguientes parámetros y frecuencia, sin perjuicio de lo dispuesto por la autoridad ambiental. </w:t>
      </w:r>
    </w:p>
    <w:p w14:paraId="74290B7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5AB080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El procedimiento para realizar el monitoreo de aguas subterráneas y superficiales, y de la calidad del aire se basará en los reglamentos técnicos que para el efecto adopte el Ministerio de Ambiente, Vivienda y Desarrollo Territorial. </w:t>
      </w:r>
    </w:p>
    <w:p w14:paraId="6D5F451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AEB443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el evento en que la autoridad ambiental encuentre que las medidas establecidas en la licencia ambiental respectiva no se han ejecutado, podrá incrementar el seguimiento y control en las frecuencias que considere necesarias, con cargo al prestador. </w:t>
      </w:r>
    </w:p>
    <w:p w14:paraId="52E1888C" w14:textId="36F7FFA6" w:rsidR="004E2147"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810" w:name="ver_30075814"/>
      <w:bookmarkEnd w:id="1810"/>
    </w:p>
    <w:p w14:paraId="125FB25C" w14:textId="0CDB448D" w:rsidR="00FC79C1" w:rsidRPr="009342F9" w:rsidRDefault="00FC79C1" w:rsidP="004E2147">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SECCIÓN 4</w:t>
      </w:r>
    </w:p>
    <w:p w14:paraId="7C4A3B93" w14:textId="77777777" w:rsidR="00FC79C1" w:rsidRPr="009342F9" w:rsidRDefault="00FC79C1" w:rsidP="004E2147">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lastRenderedPageBreak/>
        <w:t>COMPETENCIAS</w:t>
      </w:r>
    </w:p>
    <w:p w14:paraId="46DC7388"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811" w:name="ver_30075815"/>
      <w:bookmarkEnd w:id="1811"/>
    </w:p>
    <w:p w14:paraId="12490F7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2.3.2.3.4.11. De los municipios y distritos. Dentro de las funciones asignadas a los municipios o distritos, señaladas en la ley, les corresponde la definición y adopción de los PGIRS, la identificación y localización de áreas potenciales para la disposición final de residuos sólidos, en los que se ubique la infraestructura del relleno sanitario, de acuerdo con la normatividad vigente en los POT, PBOT y EOT, según sea el caso, para asegurar la prestación del servicio de disposición final de los residuos sólidos generados en su jurisdicción de manera eficiente, sin poner en peligro la salud humana, ni utilizar procedimientos y/o métodos que puedan afectar el ambiente. </w:t>
      </w:r>
    </w:p>
    <w:p w14:paraId="17E1E5C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039A01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Esta disposición rige para el departamento Archipiélago de San Andrés, Providencia y Santa Catalina. </w:t>
      </w:r>
    </w:p>
    <w:p w14:paraId="34B94CDD" w14:textId="2347A1DB"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812" w:name="ver_30075816"/>
      <w:bookmarkEnd w:id="1812"/>
    </w:p>
    <w:p w14:paraId="43C68B9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2.3.2.3.4.12. De los departamentos. Dentro de las funciones asignadas en la ley a los departamentos, les corresponde con relación a la prestación del servicio público de aseo, apoyar financiera, técnica y administrativamente a las personas prestadoras que operen en el departamento o a los Municipios que hayan asumido la prestación directa de la actividad complementaria de disposición final de residuos sólidos, así como a las empresas organizadas con participación de la Nación o de los departamentos y entidades territoriales locales para desarrollar las funciones de su competencia en esta materia. </w:t>
      </w:r>
    </w:p>
    <w:p w14:paraId="32E5B00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09F527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Igualmente les corresponde impulsar y organizar sistemas de coordinación de las entidades prestadoras de servicios públicos y promover, cuando razones técnicas y económicas lo aconsejen, la organización de asociaciones de entidades territoriales para la prestación de la actividad complementaria de disposición final de residuos sólidos, o la celebración de convenios interadministrativos para el mismo efecto. </w:t>
      </w:r>
    </w:p>
    <w:p w14:paraId="0130CB60" w14:textId="16D9D3A4"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813" w:name="ver_30075817"/>
      <w:bookmarkEnd w:id="1813"/>
    </w:p>
    <w:p w14:paraId="47F6CDB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2.3.2.3.4.13. De la persona prestadora del servicio público de aseo en la actividad complementaria de disposición final. La responsable de la operación y funcionamiento de los rellenos sanitarios será la persona prestadora de esta actividad complementaria del servicio público de aseo, quien deberá cumplir con las disposiciones que para el efecto se establecen en el Reglamento Técnico del Sector, RAS, en el PGIRS, en el presente capítulo, en la licencia ambiental. Asimismo, deberá responder ante las autoridades ambiental y de salud, según corresponda, por los impactos ambientales y sanitarios ocasionados por el inadecuado manejo del relleno sanitario. </w:t>
      </w:r>
    </w:p>
    <w:p w14:paraId="572B8DE3" w14:textId="69D96E62"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814" w:name="ver_30075818"/>
      <w:bookmarkEnd w:id="1814"/>
    </w:p>
    <w:p w14:paraId="3CEF2CC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2.3.2.3.4.14. Permisos municipales o Distritales. En cada municipio quienes prestan el servicio público de aseo en la actividad complementaria de disposición final de residuos sólidos, están sujetos a las normas generales sobre la planeación urbana, las normas de circulación y tránsito, el uso del espacio público y la seguridad y tranquilidad ciudadanas, y las autoridades pueden exigirles garantías adecuadas a los riesgos que generen. </w:t>
      </w:r>
    </w:p>
    <w:p w14:paraId="0AD534A4" w14:textId="40C00C4C" w:rsidR="004E2147"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815" w:name="ver_30075820"/>
      <w:bookmarkEnd w:id="1815"/>
    </w:p>
    <w:p w14:paraId="60E58A51" w14:textId="31404CF6" w:rsidR="00FC79C1" w:rsidRPr="009342F9" w:rsidRDefault="00FC79C1" w:rsidP="004E2147">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SECCIÓN 5</w:t>
      </w:r>
    </w:p>
    <w:p w14:paraId="60F82A47" w14:textId="77777777" w:rsidR="00FC79C1" w:rsidRPr="009342F9" w:rsidRDefault="00FC79C1" w:rsidP="004E2147">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SISTEMAS REGIONALES DE DISPOSICIÓN FINAL DE RESIDUOS SÓLIDOS</w:t>
      </w:r>
    </w:p>
    <w:p w14:paraId="2B7AD25E" w14:textId="77777777" w:rsidR="00FC79C1" w:rsidRPr="009342F9" w:rsidRDefault="00FC79C1" w:rsidP="004E2147">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SUBSECCIÓN ÚNICA</w:t>
      </w:r>
    </w:p>
    <w:p w14:paraId="21E51B32" w14:textId="77777777" w:rsidR="00FC79C1" w:rsidRPr="009342F9" w:rsidRDefault="00FC79C1" w:rsidP="004E2147">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FOMENTO A LA REGIONALIZACIÓN</w:t>
      </w:r>
    </w:p>
    <w:p w14:paraId="6D5105BC"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816" w:name="ver_30075821"/>
      <w:bookmarkEnd w:id="1816"/>
    </w:p>
    <w:p w14:paraId="5855DC7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2.3.2.3.5.15. Fomento a la regionalización de sistemas de disposición final de residuos sólidos. En la medida en que las condiciones ambientales, topográficas, viales y distancias lo permitan, los proyectos de disposición final de residuos sólidos que vaya a formular y desarrollar </w:t>
      </w:r>
      <w:r w:rsidRPr="009342F9">
        <w:rPr>
          <w:rFonts w:ascii="Arial" w:eastAsia="Times New Roman" w:hAnsi="Arial" w:cs="Arial"/>
          <w:color w:val="000000"/>
          <w:lang w:eastAsia="es-CO"/>
        </w:rPr>
        <w:lastRenderedPageBreak/>
        <w:t xml:space="preserve">cualquier entidad </w:t>
      </w:r>
      <w:proofErr w:type="gramStart"/>
      <w:r w:rsidRPr="009342F9">
        <w:rPr>
          <w:rFonts w:ascii="Arial" w:eastAsia="Times New Roman" w:hAnsi="Arial" w:cs="Arial"/>
          <w:color w:val="000000"/>
          <w:lang w:eastAsia="es-CO"/>
        </w:rPr>
        <w:t>territorial,</w:t>
      </w:r>
      <w:proofErr w:type="gramEnd"/>
      <w:r w:rsidRPr="009342F9">
        <w:rPr>
          <w:rFonts w:ascii="Arial" w:eastAsia="Times New Roman" w:hAnsi="Arial" w:cs="Arial"/>
          <w:color w:val="000000"/>
          <w:lang w:eastAsia="es-CO"/>
        </w:rPr>
        <w:t xml:space="preserve"> propenderán a que se enfoquen desde el ámbito regional, teniendo en cuenta los beneficios sociales, ambientales y económicos derivados de este nivel, en gestión conjunta con otros municipios y distritos. </w:t>
      </w:r>
    </w:p>
    <w:p w14:paraId="70F7425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8B96C5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Las áreas potenciales para la localización de rellenos </w:t>
      </w:r>
      <w:proofErr w:type="gramStart"/>
      <w:r w:rsidRPr="009342F9">
        <w:rPr>
          <w:rFonts w:ascii="Arial" w:eastAsia="Times New Roman" w:hAnsi="Arial" w:cs="Arial"/>
          <w:color w:val="000000"/>
          <w:lang w:eastAsia="es-CO"/>
        </w:rPr>
        <w:t>sanitarios,</w:t>
      </w:r>
      <w:proofErr w:type="gramEnd"/>
      <w:r w:rsidRPr="009342F9">
        <w:rPr>
          <w:rFonts w:ascii="Arial" w:eastAsia="Times New Roman" w:hAnsi="Arial" w:cs="Arial"/>
          <w:color w:val="000000"/>
          <w:lang w:eastAsia="es-CO"/>
        </w:rPr>
        <w:t xml:space="preserve"> deberán considerar un horizonte de planeación no menor a treinta (30) años, de acuerdo con los parámetros presuntivos de generación de residuos sólidos por habitante, definidos en el Reglamento Técnico del Sector, RAS. </w:t>
      </w:r>
    </w:p>
    <w:p w14:paraId="5C7DD99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312229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Se promoverán las actuaciones regionales e integrales relacionadas con el servicio público de aseo, en las cuales confluyan en forma coordinada la iniciativa, la acción planificadora, la organización y la gestión de las entidades territoriales con las políticas urbana y de saneamiento básico nacionales. </w:t>
      </w:r>
    </w:p>
    <w:p w14:paraId="17A2C4DE" w14:textId="234F5336"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817" w:name="ver_30075822"/>
      <w:bookmarkEnd w:id="1817"/>
    </w:p>
    <w:p w14:paraId="5A6734D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2.3.2.3.5.16. Cofinanciación de la Nación. Para que las entidades territoriales puedan acceder a los recursos de cofinanciación de la Nación para proyectos de sistemas de disposición final de residuos sólidos, y deberán haber identificado, planteado, analizado y evaluado, dentro de los correspondientes estudios de factibilidad que soportan el proyecto, alternativas de regionalización del servicio y presentarlas en su solicitud, con la copia del acto administrativo respectivo donde se ubican y delimitan las áreas para este tipo de proyectos, sin perjuicio de la reglamentación que sobre el particular disponga cada entidad en su orden correspondiente. </w:t>
      </w:r>
    </w:p>
    <w:p w14:paraId="119E6FC0" w14:textId="6868940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818" w:name="ver_30075823"/>
      <w:bookmarkEnd w:id="1818"/>
    </w:p>
    <w:p w14:paraId="0631CBA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2.3.2.3.5.17. Tarifas por el servicio público de aseo en la actividad complementaria de disposición final. De conformidad con la ley, las tarifas del servicio público de aseo en la actividad complementaria de disposición final que establezca la Comisión de Regulación de Agua Potable y Saneamiento Básico deberán incentivar el desarrollo de esquemas regionalizados de disposición final de residuos sólidos. </w:t>
      </w:r>
    </w:p>
    <w:p w14:paraId="675CD7AA" w14:textId="576E1AE8"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819" w:name="ver_30075824"/>
      <w:bookmarkEnd w:id="1819"/>
    </w:p>
    <w:p w14:paraId="6FCA6FF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2.3.2.3.5.18. Disponibilidad de recursos económicos. Con el fin de garantizar la disponibilidad de recursos económicos para realizar el cierre, clausura, </w:t>
      </w:r>
      <w:proofErr w:type="spellStart"/>
      <w:r w:rsidRPr="009342F9">
        <w:rPr>
          <w:rFonts w:ascii="Arial" w:eastAsia="Times New Roman" w:hAnsi="Arial" w:cs="Arial"/>
          <w:color w:val="000000"/>
          <w:lang w:eastAsia="es-CO"/>
        </w:rPr>
        <w:t>posclausura</w:t>
      </w:r>
      <w:proofErr w:type="spellEnd"/>
      <w:r w:rsidRPr="009342F9">
        <w:rPr>
          <w:rFonts w:ascii="Arial" w:eastAsia="Times New Roman" w:hAnsi="Arial" w:cs="Arial"/>
          <w:color w:val="000000"/>
          <w:lang w:eastAsia="es-CO"/>
        </w:rPr>
        <w:t xml:space="preserve"> y posterior monitoreo de los rellenos sanitarios , toda persona prestadora del servicio público de aseo en la actividad de disposición final de residuos sólidos, deberá constituir y mantener una provisión, que garantice la disponibilidad permanente de las sumas acumuladas durante el periodo de operación del relleno sanitario, necesarias para construir las obras de clausura y </w:t>
      </w:r>
      <w:proofErr w:type="spellStart"/>
      <w:r w:rsidRPr="009342F9">
        <w:rPr>
          <w:rFonts w:ascii="Arial" w:eastAsia="Times New Roman" w:hAnsi="Arial" w:cs="Arial"/>
          <w:color w:val="000000"/>
          <w:lang w:eastAsia="es-CO"/>
        </w:rPr>
        <w:t>posclausura</w:t>
      </w:r>
      <w:proofErr w:type="spellEnd"/>
      <w:r w:rsidRPr="009342F9">
        <w:rPr>
          <w:rFonts w:ascii="Arial" w:eastAsia="Times New Roman" w:hAnsi="Arial" w:cs="Arial"/>
          <w:color w:val="000000"/>
          <w:lang w:eastAsia="es-CO"/>
        </w:rPr>
        <w:t xml:space="preserve"> requeridas y llevar a cabo el monitoreo por el período que se determine en la licencia ambiental. La forma de determinar los valores a provisionar será establecida por la Comisión de Regulación de Agua Potable y Saneamiento Básico en la metodología tarifaria del servicio público de aseo. </w:t>
      </w:r>
    </w:p>
    <w:p w14:paraId="33133F19" w14:textId="510633D4" w:rsidR="004E2147"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820" w:name="ver_30075825"/>
      <w:bookmarkEnd w:id="1820"/>
    </w:p>
    <w:p w14:paraId="3B01903D" w14:textId="30511EB1" w:rsidR="00FC79C1" w:rsidRPr="009342F9" w:rsidRDefault="00FC79C1" w:rsidP="004E2147">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SECCIÓN 6</w:t>
      </w:r>
    </w:p>
    <w:p w14:paraId="46074D40" w14:textId="77777777" w:rsidR="00FC79C1" w:rsidRPr="009342F9" w:rsidRDefault="00FC79C1" w:rsidP="004E2147">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DISPOSICIONES FINALES</w:t>
      </w:r>
    </w:p>
    <w:p w14:paraId="212B68F8"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821" w:name="ver_30075827"/>
      <w:bookmarkEnd w:id="1821"/>
    </w:p>
    <w:p w14:paraId="1966A7F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2.3.2.3.6.19. De la selección del método de relleno sanitario. La selección del método a utilizar para la operación del relleno sanitario se realizará con base en las condiciones topográficas, geotécnicas y geohidrológicas del sitio seleccionado para la disposición final de los residuos. Igualmente, se establecerá el perfil estratigráfico del suelo y el nivel de los acuíferos freáticos permanentes y transitorios de la zona. </w:t>
      </w:r>
    </w:p>
    <w:p w14:paraId="12469F9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A649302" w14:textId="77777777" w:rsidR="00FC79C1" w:rsidRPr="009342F9" w:rsidRDefault="00FC79C1" w:rsidP="00FC79C1">
      <w:pPr>
        <w:spacing w:after="0" w:line="240" w:lineRule="auto"/>
        <w:jc w:val="both"/>
        <w:rPr>
          <w:rFonts w:ascii="Arial" w:eastAsia="Times New Roman" w:hAnsi="Arial" w:cs="Arial"/>
          <w:color w:val="000000"/>
          <w:lang w:eastAsia="es-CO"/>
        </w:rPr>
      </w:pPr>
      <w:proofErr w:type="gramStart"/>
      <w:r w:rsidRPr="009342F9">
        <w:rPr>
          <w:rFonts w:ascii="Arial" w:eastAsia="Times New Roman" w:hAnsi="Arial" w:cs="Arial"/>
          <w:color w:val="000000"/>
          <w:lang w:eastAsia="es-CO"/>
        </w:rPr>
        <w:t>Los métodos a utilizar</w:t>
      </w:r>
      <w:proofErr w:type="gramEnd"/>
      <w:r w:rsidRPr="009342F9">
        <w:rPr>
          <w:rFonts w:ascii="Arial" w:eastAsia="Times New Roman" w:hAnsi="Arial" w:cs="Arial"/>
          <w:color w:val="000000"/>
          <w:lang w:eastAsia="es-CO"/>
        </w:rPr>
        <w:t xml:space="preserve"> corresponden a los establecidos en el reglamento técnico de agua potable y saneamiento básico, RAS. La técnica de disposición final será de tipo mecanizado o manual según el caso, recomendándose manual para rellenos sanitarios donde se disponga una cantidad menor o igual a quince (15) toneladas por día. </w:t>
      </w:r>
    </w:p>
    <w:p w14:paraId="3F688DF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w:t>
      </w:r>
    </w:p>
    <w:p w14:paraId="4CD1D872"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822" w:name="ver_30075830"/>
      <w:bookmarkEnd w:id="1822"/>
      <w:r w:rsidRPr="009342F9">
        <w:rPr>
          <w:rFonts w:ascii="Arial" w:eastAsia="Times New Roman" w:hAnsi="Arial" w:cs="Arial"/>
          <w:color w:val="000000"/>
          <w:lang w:eastAsia="es-CO"/>
        </w:rPr>
        <w:t>Artículo 2.3.2.3.6.20. Recuperación de sitios de disposición final. Sin perjuicio de las responsabilidades establecidas en el respectivo plan de manejo ambiental, corresponde a las entidades territoriales y a los prestadores del servicio de aseo en la actividad complementaria de disposición final, recuperar ambientalmente los sitios que hayan sido utilizados como «botaderos» u otros sitios de disposición final no adecuada de residuos sólidos municipales o transformarlos, previo estudio, en rellenos sanitarios de ser viable técnica, económica y ambientalmente. </w:t>
      </w:r>
    </w:p>
    <w:p w14:paraId="3E11D612"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823" w:name="ver_30075832"/>
      <w:bookmarkEnd w:id="1823"/>
    </w:p>
    <w:p w14:paraId="4D4E3A1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2.3.2.3.6.21. Uso futuro de los sitios de disposición final. El uso futuro de los sitios donde se construyan y clausuren rellenos sanitarios, deberá estar considerado y determinado desde la etapa de diseño del relleno sanitario. </w:t>
      </w:r>
    </w:p>
    <w:p w14:paraId="11137B7F" w14:textId="1AE1E2D4"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824" w:name="ver_30075833"/>
      <w:bookmarkEnd w:id="1824"/>
    </w:p>
    <w:p w14:paraId="33757FD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2.3.2.3.6.22. Disposición de escombros. Los escombros que no sean objeto de un programa de recuperación y aprovechamiento deberán ser dispuestos adecuadamente en escombreras cuya ubicación haya sido previamente definida por el municipio o distrito, teniendo en cuenta lo dispuesto en la Resolución 541 de 1994 del Ministerio del Ambiente, Vivienda y Desarrollo Territorial o la norma que la sustituya, modifique o adicione y demás disposiciones ambientales vigentes. </w:t>
      </w:r>
    </w:p>
    <w:p w14:paraId="7386A20C" w14:textId="37B3AA03"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825" w:name="ver_30075836"/>
      <w:bookmarkEnd w:id="1825"/>
    </w:p>
    <w:p w14:paraId="0F03996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2.3.2.3.6.23. Restricción a la recuperación en rellenos sanitarios. Se prohíbe el desarrollo de las actividades de recicladores en el frente de trabajo de los rellenos sanitarios. </w:t>
      </w:r>
    </w:p>
    <w:p w14:paraId="16B4B70E" w14:textId="66B9F150" w:rsidR="00FC79C1" w:rsidRPr="009342F9" w:rsidRDefault="00FC79C1" w:rsidP="000443A9">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DDF429E" w14:textId="77777777" w:rsidR="00FC79C1" w:rsidRPr="009342F9" w:rsidRDefault="00FC79C1" w:rsidP="004E2147">
      <w:pPr>
        <w:spacing w:after="0" w:line="240" w:lineRule="auto"/>
        <w:jc w:val="center"/>
        <w:rPr>
          <w:rFonts w:ascii="Arial" w:eastAsia="Times New Roman" w:hAnsi="Arial" w:cs="Arial"/>
          <w:b/>
          <w:bCs/>
          <w:color w:val="000000"/>
          <w:lang w:eastAsia="es-CO"/>
        </w:rPr>
      </w:pPr>
      <w:bookmarkStart w:id="1826" w:name="ver_30075837"/>
      <w:bookmarkEnd w:id="1826"/>
      <w:r w:rsidRPr="009342F9">
        <w:rPr>
          <w:rFonts w:ascii="Arial" w:eastAsia="Times New Roman" w:hAnsi="Arial" w:cs="Arial"/>
          <w:b/>
          <w:bCs/>
          <w:color w:val="000000"/>
          <w:lang w:eastAsia="es-CO"/>
        </w:rPr>
        <w:t>CAPÍTULO 4</w:t>
      </w:r>
    </w:p>
    <w:p w14:paraId="690B7985" w14:textId="5559C352" w:rsidR="00FC79C1" w:rsidRPr="009342F9" w:rsidRDefault="00FC79C1" w:rsidP="004E2147">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INCENTIVO A LOS MUNICIPIOS DONDE SE UBIQUEN RELLENOS SANITARIOS Y ESTACIONES DE TRANSFERENCIA REGIONALES PARA RESIDUOS SÓLIDOS</w:t>
      </w:r>
    </w:p>
    <w:p w14:paraId="7841C026" w14:textId="77777777" w:rsidR="00FC79C1" w:rsidRPr="009342F9" w:rsidRDefault="00FC79C1" w:rsidP="004E2147">
      <w:pPr>
        <w:spacing w:after="0" w:line="240" w:lineRule="auto"/>
        <w:jc w:val="center"/>
        <w:rPr>
          <w:rFonts w:ascii="Arial" w:eastAsia="Times New Roman" w:hAnsi="Arial" w:cs="Arial"/>
          <w:b/>
          <w:bCs/>
          <w:color w:val="000000"/>
          <w:lang w:eastAsia="es-CO"/>
        </w:rPr>
      </w:pPr>
      <w:bookmarkStart w:id="1827" w:name="ver_30075839"/>
      <w:bookmarkEnd w:id="1827"/>
    </w:p>
    <w:p w14:paraId="0D75740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2.3.2.4.1. Objeto. Reglamentar la forma en que el prestador del componente de disposición final, responsable del relleno sanitario regional o de la estación de transferencia regional debe calcular el valor del incentivo a reconocer al municipio donde se ubiquen dichas infraestructuras. </w:t>
      </w:r>
    </w:p>
    <w:p w14:paraId="1FC94F0C" w14:textId="32668692"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828" w:name="ver_30075840"/>
      <w:bookmarkEnd w:id="1828"/>
    </w:p>
    <w:p w14:paraId="08EA477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2.3.2.4.2. Cálculo del valor del incentivo para rellenos sanitarios de carácter regional. Para determinar el valor del incentivo se adopta como base de cálculo el promedio de toneladas totales de residuos sólidos dispuestas mensualmente en el relleno sanitario de carácter regional, descontando el promedio de las toneladas mensuales provenientes del municipio donde está ubicado el relleno sanitario, calculadas de acuerdo con los periodos de facturación previstos en el artículo 16 de la Resolución CRA 351 de 2005 expedida por la Comisión de Regulación de Agua Potable y Saneamiento Básico – CRA o la norma que la modifique, adicione o sustituya. </w:t>
      </w:r>
    </w:p>
    <w:p w14:paraId="1EC389D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E8C34D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Una vez establecida la base de cálculo, el valor del incentivo por tonelada se determinará así: </w:t>
      </w:r>
    </w:p>
    <w:p w14:paraId="73D3918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68343E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1. Cuando la base de cálculo sea menor a 4.500 Toneladas mensuales, el valor del incentivo será de 0,23% de </w:t>
      </w:r>
      <w:proofErr w:type="spellStart"/>
      <w:r w:rsidRPr="009342F9">
        <w:rPr>
          <w:rFonts w:ascii="Arial" w:eastAsia="Times New Roman" w:hAnsi="Arial" w:cs="Arial"/>
          <w:color w:val="000000"/>
          <w:lang w:eastAsia="es-CO"/>
        </w:rPr>
        <w:t>smmlv</w:t>
      </w:r>
      <w:proofErr w:type="spellEnd"/>
      <w:r w:rsidRPr="009342F9">
        <w:rPr>
          <w:rFonts w:ascii="Arial" w:eastAsia="Times New Roman" w:hAnsi="Arial" w:cs="Arial"/>
          <w:color w:val="000000"/>
          <w:lang w:eastAsia="es-CO"/>
        </w:rPr>
        <w:t xml:space="preserve"> ($/tonelada regional dispuesta). </w:t>
      </w:r>
    </w:p>
    <w:p w14:paraId="44D00C8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C7E095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Cuando la base de cálculo sea mayor de 4.500 toneladas mensuales pero menor o igual a 24.000 toneladas mensuales el valor del incentivo será el resultante de aplicar la siguiente fórmula: </w:t>
      </w:r>
    </w:p>
    <w:p w14:paraId="0A39F89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D02C7E4" w14:textId="77777777" w:rsidR="00FC79C1" w:rsidRPr="009342F9" w:rsidRDefault="00FC79C1" w:rsidP="00FC79C1">
      <w:pPr>
        <w:spacing w:after="0" w:line="240" w:lineRule="auto"/>
        <w:jc w:val="both"/>
        <w:rPr>
          <w:rFonts w:ascii="Arial" w:eastAsia="Times New Roman" w:hAnsi="Arial" w:cs="Arial"/>
          <w:color w:val="000000"/>
          <w:lang w:eastAsia="es-CO"/>
        </w:rPr>
      </w:pPr>
      <w:proofErr w:type="spellStart"/>
      <w:r w:rsidRPr="009342F9">
        <w:rPr>
          <w:rFonts w:ascii="Arial" w:eastAsia="Times New Roman" w:hAnsi="Arial" w:cs="Arial"/>
          <w:color w:val="000000"/>
          <w:lang w:eastAsia="es-CO"/>
        </w:rPr>
        <w:t>INCrellreg</w:t>
      </w:r>
      <w:proofErr w:type="spellEnd"/>
      <w:r w:rsidRPr="009342F9">
        <w:rPr>
          <w:rFonts w:ascii="Arial" w:eastAsia="Times New Roman" w:hAnsi="Arial" w:cs="Arial"/>
          <w:color w:val="000000"/>
          <w:lang w:eastAsia="es-CO"/>
        </w:rPr>
        <w:t xml:space="preserve"> = (0,000822*C2+0,15873*C+212.637,</w:t>
      </w:r>
      <w:proofErr w:type="gramStart"/>
      <w:r w:rsidRPr="009342F9">
        <w:rPr>
          <w:rFonts w:ascii="Arial" w:eastAsia="Times New Roman" w:hAnsi="Arial" w:cs="Arial"/>
          <w:color w:val="000000"/>
          <w:lang w:eastAsia="es-CO"/>
        </w:rPr>
        <w:t>362637)*</w:t>
      </w:r>
      <w:proofErr w:type="spellStart"/>
      <w:proofErr w:type="gramEnd"/>
      <w:r w:rsidRPr="009342F9">
        <w:rPr>
          <w:rFonts w:ascii="Arial" w:eastAsia="Times New Roman" w:hAnsi="Arial" w:cs="Arial"/>
          <w:color w:val="000000"/>
          <w:lang w:eastAsia="es-CO"/>
        </w:rPr>
        <w:t>smmlv</w:t>
      </w:r>
      <w:proofErr w:type="spellEnd"/>
      <w:r w:rsidRPr="009342F9">
        <w:rPr>
          <w:rFonts w:ascii="Arial" w:eastAsia="Times New Roman" w:hAnsi="Arial" w:cs="Arial"/>
          <w:color w:val="000000"/>
          <w:lang w:eastAsia="es-CO"/>
        </w:rPr>
        <w:t>/100.000.000 </w:t>
      </w:r>
    </w:p>
    <w:p w14:paraId="1EBB6C8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73ED30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Donde: </w:t>
      </w:r>
    </w:p>
    <w:p w14:paraId="6031990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w:t>
      </w:r>
    </w:p>
    <w:p w14:paraId="69C90001" w14:textId="77777777" w:rsidR="00FC79C1" w:rsidRPr="009342F9" w:rsidRDefault="00FC79C1" w:rsidP="00FC79C1">
      <w:pPr>
        <w:spacing w:after="0" w:line="240" w:lineRule="auto"/>
        <w:jc w:val="both"/>
        <w:rPr>
          <w:rFonts w:ascii="Arial" w:eastAsia="Times New Roman" w:hAnsi="Arial" w:cs="Arial"/>
          <w:color w:val="000000"/>
          <w:lang w:eastAsia="es-CO"/>
        </w:rPr>
      </w:pPr>
      <w:proofErr w:type="spellStart"/>
      <w:r w:rsidRPr="009342F9">
        <w:rPr>
          <w:rFonts w:ascii="Arial" w:eastAsia="Times New Roman" w:hAnsi="Arial" w:cs="Arial"/>
          <w:color w:val="000000"/>
          <w:lang w:eastAsia="es-CO"/>
        </w:rPr>
        <w:t>INCrellreg</w:t>
      </w:r>
      <w:proofErr w:type="spellEnd"/>
      <w:r w:rsidRPr="009342F9">
        <w:rPr>
          <w:rFonts w:ascii="Arial" w:eastAsia="Times New Roman" w:hAnsi="Arial" w:cs="Arial"/>
          <w:color w:val="000000"/>
          <w:lang w:eastAsia="es-CO"/>
        </w:rPr>
        <w:t>: Valor del incentivo para el municipio ($/Tonelada regional dispuesta). </w:t>
      </w:r>
    </w:p>
    <w:p w14:paraId="5F120B5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 Promedio de toneladas mensuales de residuos sólidos de carácter regional dispuestos en el relleno sanitario. </w:t>
      </w:r>
    </w:p>
    <w:p w14:paraId="524AE94B" w14:textId="77777777" w:rsidR="00FC79C1" w:rsidRPr="009342F9" w:rsidRDefault="00FC79C1" w:rsidP="00FC79C1">
      <w:pPr>
        <w:spacing w:after="0" w:line="240" w:lineRule="auto"/>
        <w:jc w:val="both"/>
        <w:rPr>
          <w:rFonts w:ascii="Arial" w:eastAsia="Times New Roman" w:hAnsi="Arial" w:cs="Arial"/>
          <w:color w:val="000000"/>
          <w:lang w:eastAsia="es-CO"/>
        </w:rPr>
      </w:pPr>
      <w:proofErr w:type="spellStart"/>
      <w:r w:rsidRPr="009342F9">
        <w:rPr>
          <w:rFonts w:ascii="Arial" w:eastAsia="Times New Roman" w:hAnsi="Arial" w:cs="Arial"/>
          <w:color w:val="000000"/>
          <w:lang w:eastAsia="es-CO"/>
        </w:rPr>
        <w:t>Smmlv</w:t>
      </w:r>
      <w:proofErr w:type="spellEnd"/>
      <w:r w:rsidRPr="009342F9">
        <w:rPr>
          <w:rFonts w:ascii="Arial" w:eastAsia="Times New Roman" w:hAnsi="Arial" w:cs="Arial"/>
          <w:color w:val="000000"/>
          <w:lang w:eastAsia="es-CO"/>
        </w:rPr>
        <w:t>: Valor del Salario Mínimo Mensual Legal Vigente correspondiente al periodo de liquidación. </w:t>
      </w:r>
    </w:p>
    <w:p w14:paraId="1EE4BB6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7F68AD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3. Cuando la base de cálculo sea mayor a 24.000 Toneladas mensuales, el valor del incentivo será 0,69 % de </w:t>
      </w:r>
      <w:proofErr w:type="spellStart"/>
      <w:r w:rsidRPr="009342F9">
        <w:rPr>
          <w:rFonts w:ascii="Arial" w:eastAsia="Times New Roman" w:hAnsi="Arial" w:cs="Arial"/>
          <w:color w:val="000000"/>
          <w:lang w:eastAsia="es-CO"/>
        </w:rPr>
        <w:t>smmlv</w:t>
      </w:r>
      <w:proofErr w:type="spellEnd"/>
      <w:r w:rsidRPr="009342F9">
        <w:rPr>
          <w:rFonts w:ascii="Arial" w:eastAsia="Times New Roman" w:hAnsi="Arial" w:cs="Arial"/>
          <w:color w:val="000000"/>
          <w:lang w:eastAsia="es-CO"/>
        </w:rPr>
        <w:t xml:space="preserve"> ($/tonelada regional dispuesta). </w:t>
      </w:r>
    </w:p>
    <w:p w14:paraId="5838BF2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409463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El valor total mensual del incentivo que se reconocerá al municipio por la ubicación del relleno sanitario de carácter regional será el resultado de multiplicar el valor del incentivo (</w:t>
      </w:r>
      <w:proofErr w:type="spellStart"/>
      <w:r w:rsidRPr="009342F9">
        <w:rPr>
          <w:rFonts w:ascii="Arial" w:eastAsia="Times New Roman" w:hAnsi="Arial" w:cs="Arial"/>
          <w:color w:val="000000"/>
          <w:lang w:eastAsia="es-CO"/>
        </w:rPr>
        <w:t>INCrellreg</w:t>
      </w:r>
      <w:proofErr w:type="spellEnd"/>
      <w:r w:rsidRPr="009342F9">
        <w:rPr>
          <w:rFonts w:ascii="Arial" w:eastAsia="Times New Roman" w:hAnsi="Arial" w:cs="Arial"/>
          <w:color w:val="000000"/>
          <w:lang w:eastAsia="es-CO"/>
        </w:rPr>
        <w:t>) por las toneladas efectivamente dispuestas en el mes a liquidar. </w:t>
      </w:r>
    </w:p>
    <w:p w14:paraId="74AE8500" w14:textId="6764BDCB"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829" w:name="ver_30075842"/>
      <w:bookmarkEnd w:id="1829"/>
    </w:p>
    <w:p w14:paraId="663150E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2.3.2.4.3. Cálculo del valor del incentivo para estaciones de transferencia de carácter regional. Para determinar el valor del incentivo se adopta como base de cálculo el promedio de toneladas totales de residuos sólidos manejadas mensualmente en la estación de transferencia de carácter regional, descontando el promedio de las toneladas mensuales provenientes del municipio donde está ubicada la estación de transferencia, calculadas de acuerdo con los periodos de facturación previstos en el Artículo 16 de la Resolución CRA 351 de 2005 o la norma que la modifique adicione o sustituya. </w:t>
      </w:r>
    </w:p>
    <w:p w14:paraId="0CF98A2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C35EB0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Una vez establecida la base de cálculo, el valor del incentivo se determinará así: </w:t>
      </w:r>
    </w:p>
    <w:p w14:paraId="1B859AB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F8C78E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Cuando la base de cálculo sea menor o igual a 51.000 toneladas mensuales el valor del incentivo será el resultante de aplicar la siguiente fórmula: </w:t>
      </w:r>
    </w:p>
    <w:p w14:paraId="7B061DE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4B578B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INC= (0,00000315*T2 +0,045237*T+12499,</w:t>
      </w:r>
      <w:proofErr w:type="gramStart"/>
      <w:r w:rsidRPr="009342F9">
        <w:rPr>
          <w:rFonts w:ascii="Arial" w:eastAsia="Times New Roman" w:hAnsi="Arial" w:cs="Arial"/>
          <w:color w:val="000000"/>
          <w:lang w:eastAsia="es-CO"/>
        </w:rPr>
        <w:t>95476)*</w:t>
      </w:r>
      <w:proofErr w:type="spellStart"/>
      <w:proofErr w:type="gramEnd"/>
      <w:r w:rsidRPr="009342F9">
        <w:rPr>
          <w:rFonts w:ascii="Arial" w:eastAsia="Times New Roman" w:hAnsi="Arial" w:cs="Arial"/>
          <w:color w:val="000000"/>
          <w:lang w:eastAsia="es-CO"/>
        </w:rPr>
        <w:t>smmlv</w:t>
      </w:r>
      <w:proofErr w:type="spellEnd"/>
      <w:r w:rsidRPr="009342F9">
        <w:rPr>
          <w:rFonts w:ascii="Arial" w:eastAsia="Times New Roman" w:hAnsi="Arial" w:cs="Arial"/>
          <w:color w:val="000000"/>
          <w:lang w:eastAsia="es-CO"/>
        </w:rPr>
        <w:t>/100.000.000 </w:t>
      </w:r>
    </w:p>
    <w:p w14:paraId="30E3CF1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E8C159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Donde: </w:t>
      </w:r>
    </w:p>
    <w:p w14:paraId="4F26490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ACD853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INC: Valor del incentivo para el municipio ($/Tonelada regional transferida). </w:t>
      </w:r>
    </w:p>
    <w:p w14:paraId="097B59E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C33E59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T: Promedio de toneladas mensuales de residuos sólidos de carácter regional transferidas en la estación. </w:t>
      </w:r>
    </w:p>
    <w:p w14:paraId="4DFC2F1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EA87A7F" w14:textId="77777777" w:rsidR="00FC79C1" w:rsidRPr="009342F9" w:rsidRDefault="00FC79C1" w:rsidP="00FC79C1">
      <w:pPr>
        <w:spacing w:after="0" w:line="240" w:lineRule="auto"/>
        <w:jc w:val="both"/>
        <w:rPr>
          <w:rFonts w:ascii="Arial" w:eastAsia="Times New Roman" w:hAnsi="Arial" w:cs="Arial"/>
          <w:color w:val="000000"/>
          <w:lang w:eastAsia="es-CO"/>
        </w:rPr>
      </w:pPr>
      <w:proofErr w:type="spellStart"/>
      <w:r w:rsidRPr="009342F9">
        <w:rPr>
          <w:rFonts w:ascii="Arial" w:eastAsia="Times New Roman" w:hAnsi="Arial" w:cs="Arial"/>
          <w:color w:val="000000"/>
          <w:lang w:eastAsia="es-CO"/>
        </w:rPr>
        <w:t>Smmlv</w:t>
      </w:r>
      <w:proofErr w:type="spellEnd"/>
      <w:r w:rsidRPr="009342F9">
        <w:rPr>
          <w:rFonts w:ascii="Arial" w:eastAsia="Times New Roman" w:hAnsi="Arial" w:cs="Arial"/>
          <w:color w:val="000000"/>
          <w:lang w:eastAsia="es-CO"/>
        </w:rPr>
        <w:t>: Valor del Salario Mínimo Mensual Legal Vigente correspondiente al periodo de liquidación. </w:t>
      </w:r>
    </w:p>
    <w:p w14:paraId="007049D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ECE29B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2. Cuando la base de cálculo sea mayor a 51.000 Toneladas mensuales, el valor del incentivo será 0,023% de </w:t>
      </w:r>
      <w:proofErr w:type="spellStart"/>
      <w:r w:rsidRPr="009342F9">
        <w:rPr>
          <w:rFonts w:ascii="Arial" w:eastAsia="Times New Roman" w:hAnsi="Arial" w:cs="Arial"/>
          <w:color w:val="000000"/>
          <w:lang w:eastAsia="es-CO"/>
        </w:rPr>
        <w:t>smmlv</w:t>
      </w:r>
      <w:proofErr w:type="spellEnd"/>
      <w:r w:rsidRPr="009342F9">
        <w:rPr>
          <w:rFonts w:ascii="Arial" w:eastAsia="Times New Roman" w:hAnsi="Arial" w:cs="Arial"/>
          <w:color w:val="000000"/>
          <w:lang w:eastAsia="es-CO"/>
        </w:rPr>
        <w:t>. ($/tonelada regional transferida). </w:t>
      </w:r>
    </w:p>
    <w:p w14:paraId="7623B63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313164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El valor total mensual del incentivo que se reconocerá al municipio por la ubicación de la estación de transferencia de residuos sólidos de carácter regional será el resultado de multiplicar el valor del incentivo (INC) por las toneladas efectivamente transferidas en la estación durante el mes a liquidar. </w:t>
      </w:r>
    </w:p>
    <w:p w14:paraId="6B0B6214" w14:textId="6BB74F58"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830" w:name="ver_30075845"/>
      <w:bookmarkEnd w:id="1830"/>
    </w:p>
    <w:p w14:paraId="2EBE8AD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2.3.2.4.4. Pago del incentivo. Para efectos de asegurar el pago del incentivo al municipio, deberá suscribirse un convenio entre este y el prestador del componente de disposición final, responsable del relleno sanitario de carácter regional, o de la estación de transferencia de carácter regional, en el cual se pacte como mínimo las condiciones de pago y los intereses que </w:t>
      </w:r>
      <w:r w:rsidRPr="009342F9">
        <w:rPr>
          <w:rFonts w:ascii="Arial" w:eastAsia="Times New Roman" w:hAnsi="Arial" w:cs="Arial"/>
          <w:color w:val="000000"/>
          <w:lang w:eastAsia="es-CO"/>
        </w:rPr>
        <w:lastRenderedPageBreak/>
        <w:t>se causen en caso de mora o incumplimiento, así como los términos y plazos en que se harán los reportes de información al municipio beneficiario sobre las toneladas mensuales de residuos dispuestos o transferidos que lo originan. </w:t>
      </w:r>
    </w:p>
    <w:p w14:paraId="5EE1DB7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9ADFB6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 no suscripción del convenio no releva al prestador de la obligación de pagar el valor del incentivo. </w:t>
      </w:r>
    </w:p>
    <w:p w14:paraId="3E2F3258" w14:textId="70BFEE91"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831" w:name="ver_30075848"/>
      <w:bookmarkEnd w:id="1831"/>
    </w:p>
    <w:p w14:paraId="33AB26D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2.3.2.4.5. Reporte al Sistema Único de Información-SUI. El prestador del componente de disposición final, responsable del relleno sanitario regional, deberá reportar al SUI, el total de toneladas dispuestas, y el número de toneladas que correspondan al municipio donde se encuentra ubicado el relleno sanitario, de acuerdo con lo establecido por la Superintendencia de Servicios Públicos Domiciliarios. </w:t>
      </w:r>
    </w:p>
    <w:p w14:paraId="47FE143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95B7E5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Igualmente, el prestador responsable de la estación de transferencia </w:t>
      </w:r>
      <w:proofErr w:type="gramStart"/>
      <w:r w:rsidRPr="009342F9">
        <w:rPr>
          <w:rFonts w:ascii="Arial" w:eastAsia="Times New Roman" w:hAnsi="Arial" w:cs="Arial"/>
          <w:color w:val="000000"/>
          <w:lang w:eastAsia="es-CO"/>
        </w:rPr>
        <w:t>regional,</w:t>
      </w:r>
      <w:proofErr w:type="gramEnd"/>
      <w:r w:rsidRPr="009342F9">
        <w:rPr>
          <w:rFonts w:ascii="Arial" w:eastAsia="Times New Roman" w:hAnsi="Arial" w:cs="Arial"/>
          <w:color w:val="000000"/>
          <w:lang w:eastAsia="es-CO"/>
        </w:rPr>
        <w:t xml:space="preserve"> deberá reportar al SUI, el total de toneladas transferidas, y el número de toneladas que correspondan al municipio donde se encuentra ubicada la estación de transferencia, de acuerdo con lo establecido por la Superintendencia de Servicios Públicos Domiciliarios. </w:t>
      </w:r>
    </w:p>
    <w:p w14:paraId="35C0516B" w14:textId="706EAB9B" w:rsidR="004E2147"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832" w:name="ver_30110649"/>
      <w:bookmarkEnd w:id="1832"/>
    </w:p>
    <w:p w14:paraId="458098B3" w14:textId="046870E9" w:rsidR="00FC79C1" w:rsidRPr="009342F9" w:rsidRDefault="00FC79C1" w:rsidP="004E2147">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CAPÍTULO 5</w:t>
      </w:r>
    </w:p>
    <w:p w14:paraId="716ED6C7" w14:textId="64D73695" w:rsidR="00FC79C1" w:rsidRDefault="00FC79C1" w:rsidP="004E2147">
      <w:pPr>
        <w:spacing w:after="0" w:line="240" w:lineRule="auto"/>
        <w:jc w:val="center"/>
        <w:rPr>
          <w:rFonts w:ascii="Arial" w:eastAsia="Times New Roman" w:hAnsi="Arial" w:cs="Arial"/>
          <w:b/>
          <w:bCs/>
          <w:color w:val="000000"/>
          <w:lang w:eastAsia="es-CO"/>
        </w:rPr>
      </w:pPr>
      <w:r w:rsidRPr="0CEF5355">
        <w:rPr>
          <w:rFonts w:ascii="Arial" w:eastAsia="Times New Roman" w:hAnsi="Arial" w:cs="Arial"/>
          <w:b/>
          <w:color w:val="000000" w:themeColor="text1"/>
          <w:lang w:eastAsia="es-CO"/>
        </w:rPr>
        <w:t>ESQUEMA OPERATIVO DE LA ACTIVIDAD DE APROVECHAMIENTO DEL SERVICIO PÚBLICO DE ASEO Y RÉGIMEN TRANSITORIO PARA LA FORMALIZACIÓN DE LOS RECICLADORES DE OFICIO</w:t>
      </w:r>
    </w:p>
    <w:p w14:paraId="77ACB8D5" w14:textId="64D73695" w:rsidR="00AA07E8" w:rsidRDefault="00AA07E8" w:rsidP="004E2147">
      <w:pPr>
        <w:spacing w:after="0" w:line="240" w:lineRule="auto"/>
        <w:jc w:val="center"/>
        <w:rPr>
          <w:rFonts w:ascii="Arial" w:eastAsia="Times New Roman" w:hAnsi="Arial" w:cs="Arial"/>
          <w:b/>
          <w:bCs/>
          <w:color w:val="000000"/>
          <w:lang w:eastAsia="es-CO"/>
        </w:rPr>
      </w:pPr>
    </w:p>
    <w:p w14:paraId="67D0BC9D" w14:textId="64D73695" w:rsidR="00AA07E8" w:rsidRPr="009342F9" w:rsidRDefault="00AA07E8" w:rsidP="004E2147">
      <w:pPr>
        <w:spacing w:after="0" w:line="240" w:lineRule="auto"/>
        <w:jc w:val="center"/>
        <w:rPr>
          <w:rFonts w:ascii="Arial" w:eastAsia="Times New Roman" w:hAnsi="Arial" w:cs="Arial"/>
          <w:b/>
          <w:bCs/>
          <w:color w:val="000000"/>
          <w:lang w:eastAsia="es-CO"/>
        </w:rPr>
      </w:pPr>
    </w:p>
    <w:p w14:paraId="443282A2" w14:textId="77777777" w:rsidR="00FC79C1" w:rsidRPr="009342F9" w:rsidRDefault="00FC79C1" w:rsidP="004E2147">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SECCIÓN 1</w:t>
      </w:r>
    </w:p>
    <w:p w14:paraId="60CA61E2" w14:textId="77777777" w:rsidR="00FC79C1" w:rsidRPr="009342F9" w:rsidRDefault="00FC79C1" w:rsidP="004E2147">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DISPOSICIONES GENERALES</w:t>
      </w:r>
    </w:p>
    <w:p w14:paraId="4F19FD8F"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833" w:name="ver_30110655"/>
      <w:bookmarkEnd w:id="1833"/>
    </w:p>
    <w:p w14:paraId="3321245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2.3.2.5.1.1. Objeto. El presente capítulo tiene como objeto definir el esquema operativo de la actividad de aprovechamiento y la transitoriedad para el cumplimiento de las obligaciones que deben atender los recicladores de oficio y las organizaciones de recicladores de oficio que estén en proceso de formalización como personas prestadoras de la actividad de aprovechamiento en el servicio público de aseo, para todo el territorio nacional.  </w:t>
      </w:r>
    </w:p>
    <w:p w14:paraId="4EF2FDE3"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834" w:name="ver_30110661"/>
      <w:bookmarkEnd w:id="1834"/>
    </w:p>
    <w:p w14:paraId="5B02C25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2.3.2.5.1.2. Ámbito de aplicación. El presente capítulo aplica a las entidades territoriales, a las personas prestadoras de la actividad de recolección y transporte de residuos no aprovechables, personas prestadoras de la actividad de aprovechamiento incluidas las organizaciones de recicladores de oficio que estén en proceso de formalización, a los usuarios, a la Superintendencia de Servicios Públicos Domiciliarios (SSPD), a la Comisión de Regulación de Agua Potable y Saneamiento Básico (CRA). </w:t>
      </w:r>
    </w:p>
    <w:p w14:paraId="13E7158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332525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Lo dispuesto en el presente capítulo aplica la actividad de aprovechamiento del servicio público de aseo ya sea en libre competencia o a través de áreas de servicio exclusivo en las que se incluya o no, esa actividad. </w:t>
      </w:r>
    </w:p>
    <w:p w14:paraId="77A103E0"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835" w:name="ver_30110666"/>
      <w:bookmarkEnd w:id="1835"/>
    </w:p>
    <w:p w14:paraId="771EADD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2.3.2.5.1.3. Criterios orientadores. Los siguientes criterios orientadores deberán ser aplicados para la interpretación del presente capítulo:  </w:t>
      </w:r>
    </w:p>
    <w:p w14:paraId="6EFF3E7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10C015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Escalas diferenciales en las cuales se tenga en cuenta el tamaño del municipio, de la población recicladora de oficio y del mercado para la incorporación de los residuos aprovechables.  </w:t>
      </w:r>
    </w:p>
    <w:p w14:paraId="549D5E8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43FF95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2. Progresividad para la formalización de los recicladores de oficio como personas prestadoras de la actividad de aprovechamiento en el servicio público de aseo en los términos del artículo 15 de la Ley 142 de 1994.  </w:t>
      </w:r>
    </w:p>
    <w:p w14:paraId="154C92F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5ADB3F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Colaboración entre los actores que participan en el desarrollo de la actividad como son las personas prestadoras; incluidos los recicladores de oficio en proceso de formalización, personas prestadoras de las demás actividades del servicio público de aseo, usuarios, concedentes de la facturación conjunta del servicio público de aseo, administraciones municipales, comercializadores de residuos aprovechables, así como agentes encargados de la incorporación de estos materiales en las cadenas productivas.  </w:t>
      </w:r>
    </w:p>
    <w:p w14:paraId="63DED09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5F52F5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Visión de largo plazo, implementación gradual, flexible y dinámica, viabilidad administrativa, técnica, operativa y económica.  </w:t>
      </w:r>
    </w:p>
    <w:p w14:paraId="5A25C11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56DA13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 Responsabilidad social, ambiental y empresarial para el aprovechamiento de los residuos sólidos en el marco del servicio público de aseo.  </w:t>
      </w:r>
    </w:p>
    <w:p w14:paraId="09CF941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B71757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6. Reconocimiento de la labor de los recicladores de oficio en proceso de formalización como prestadores del servicio público de aseo en la actividad de aprovechamiento.  </w:t>
      </w:r>
    </w:p>
    <w:p w14:paraId="4AB570FD" w14:textId="77777777" w:rsidR="00FC79C1" w:rsidRPr="009342F9" w:rsidRDefault="00FC79C1" w:rsidP="00FC79C1">
      <w:pPr>
        <w:spacing w:after="0" w:line="240" w:lineRule="auto"/>
        <w:jc w:val="both"/>
        <w:rPr>
          <w:rFonts w:ascii="Arial" w:eastAsia="Times New Roman" w:hAnsi="Arial" w:cs="Arial"/>
          <w:color w:val="000000"/>
          <w:lang w:eastAsia="es-CO"/>
        </w:rPr>
      </w:pPr>
    </w:p>
    <w:p w14:paraId="304CEE76" w14:textId="77777777" w:rsidR="00FC79C1" w:rsidRPr="009342F9" w:rsidRDefault="00FC79C1" w:rsidP="004E2147">
      <w:pPr>
        <w:spacing w:after="0" w:line="240" w:lineRule="auto"/>
        <w:jc w:val="center"/>
        <w:rPr>
          <w:rFonts w:ascii="Arial" w:eastAsia="Times New Roman" w:hAnsi="Arial" w:cs="Arial"/>
          <w:b/>
          <w:bCs/>
          <w:color w:val="000000"/>
          <w:lang w:eastAsia="es-CO"/>
        </w:rPr>
      </w:pPr>
      <w:bookmarkStart w:id="1836" w:name="ver_30110670"/>
      <w:bookmarkEnd w:id="1836"/>
      <w:r w:rsidRPr="009342F9">
        <w:rPr>
          <w:rFonts w:ascii="Arial" w:eastAsia="Times New Roman" w:hAnsi="Arial" w:cs="Arial"/>
          <w:b/>
          <w:bCs/>
          <w:color w:val="000000"/>
          <w:lang w:eastAsia="es-CO"/>
        </w:rPr>
        <w:t>SECCIÓN 2</w:t>
      </w:r>
    </w:p>
    <w:p w14:paraId="1264E42F" w14:textId="64D73695" w:rsidR="00FC79C1" w:rsidRDefault="00FC79C1" w:rsidP="004E2147">
      <w:pPr>
        <w:spacing w:after="0" w:line="240" w:lineRule="auto"/>
        <w:jc w:val="center"/>
        <w:rPr>
          <w:rFonts w:ascii="Arial" w:eastAsia="Times New Roman" w:hAnsi="Arial" w:cs="Arial"/>
          <w:b/>
          <w:bCs/>
          <w:color w:val="000000"/>
          <w:lang w:eastAsia="es-CO"/>
        </w:rPr>
      </w:pPr>
      <w:r w:rsidRPr="0CEF5355">
        <w:rPr>
          <w:rFonts w:ascii="Arial" w:eastAsia="Times New Roman" w:hAnsi="Arial" w:cs="Arial"/>
          <w:b/>
          <w:color w:val="000000" w:themeColor="text1"/>
          <w:lang w:eastAsia="es-CO"/>
        </w:rPr>
        <w:t>APROVECHAMIENTO EN EL SERVICIO PÚBLICO DE ASEO</w:t>
      </w:r>
    </w:p>
    <w:p w14:paraId="44D27FCE" w14:textId="64D73695" w:rsidR="00AA07E8" w:rsidRPr="009342F9" w:rsidRDefault="00AA07E8" w:rsidP="004E2147">
      <w:pPr>
        <w:spacing w:after="0" w:line="240" w:lineRule="auto"/>
        <w:jc w:val="center"/>
        <w:rPr>
          <w:rFonts w:ascii="Arial" w:eastAsia="Times New Roman" w:hAnsi="Arial" w:cs="Arial"/>
          <w:b/>
          <w:bCs/>
          <w:color w:val="000000"/>
          <w:lang w:eastAsia="es-CO"/>
        </w:rPr>
      </w:pPr>
    </w:p>
    <w:p w14:paraId="4392A535" w14:textId="77777777" w:rsidR="00FC79C1" w:rsidRPr="009342F9" w:rsidRDefault="00FC79C1" w:rsidP="004E2147">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SUBSECCIÓN 1</w:t>
      </w:r>
    </w:p>
    <w:p w14:paraId="6BD8BCB1" w14:textId="77777777" w:rsidR="00FC79C1" w:rsidRPr="009342F9" w:rsidRDefault="00FC79C1" w:rsidP="004E2147">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ESQUEMA OPERATIVO DE LA ACTIVIDAD DE APROVECHAMIENTO</w:t>
      </w:r>
    </w:p>
    <w:p w14:paraId="74CBB55A" w14:textId="77777777" w:rsidR="00FC79C1" w:rsidRPr="009342F9" w:rsidRDefault="00FC79C1" w:rsidP="004E2147">
      <w:pPr>
        <w:spacing w:after="0" w:line="240" w:lineRule="auto"/>
        <w:jc w:val="center"/>
        <w:rPr>
          <w:rFonts w:ascii="Arial" w:eastAsia="Times New Roman" w:hAnsi="Arial" w:cs="Arial"/>
          <w:b/>
          <w:bCs/>
          <w:color w:val="000000"/>
          <w:lang w:eastAsia="es-CO"/>
        </w:rPr>
      </w:pPr>
      <w:bookmarkStart w:id="1837" w:name="ver_30110676"/>
      <w:bookmarkEnd w:id="1837"/>
    </w:p>
    <w:p w14:paraId="45F942F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2.3.2.5.2.1.</w:t>
      </w:r>
      <w:proofErr w:type="gramStart"/>
      <w:r w:rsidRPr="009342F9">
        <w:rPr>
          <w:rFonts w:ascii="Arial" w:eastAsia="Times New Roman" w:hAnsi="Arial" w:cs="Arial"/>
          <w:color w:val="000000"/>
          <w:lang w:eastAsia="es-CO"/>
        </w:rPr>
        <w:t>1.Presentación</w:t>
      </w:r>
      <w:proofErr w:type="gramEnd"/>
      <w:r w:rsidRPr="009342F9">
        <w:rPr>
          <w:rFonts w:ascii="Arial" w:eastAsia="Times New Roman" w:hAnsi="Arial" w:cs="Arial"/>
          <w:color w:val="000000"/>
          <w:lang w:eastAsia="es-CO"/>
        </w:rPr>
        <w:t xml:space="preserve"> de residuos para aprovechamiento. De conformidad con el numeral 3 del artículo 2.3.2.2.4.2.109 del presente decreto, es obligación de los usuarios presentar los residuos separados en la fuente con el fin de ser aprovechados y entregados a la persona prestadora de la actividad de aprovechamiento, que será la responsable de su recolección y transporte hasta la Estación de Clasificación y Aprovechamiento (ECA), y del pesaje y clasificación en la ECA.  </w:t>
      </w:r>
    </w:p>
    <w:p w14:paraId="068BE98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089F4E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La presentación de los residuos aprovechables, de acuerdo con los avances de la cultura ciudadana y de capacidad de los usuarios para la separación en la fuente, deberá efectuarse con un incremento gradual del nivel de desagregación de conformidad con lo dispuesto en los Planes de Gestión Integral de Residuos Sólidos (PGIRS).  </w:t>
      </w:r>
    </w:p>
    <w:p w14:paraId="68ADC7F0"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838" w:name="ver_30110680"/>
      <w:bookmarkEnd w:id="1838"/>
    </w:p>
    <w:p w14:paraId="6DDC411D" w14:textId="383D3CDA"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2.3.2.5.2.1.2.</w:t>
      </w:r>
      <w:r w:rsidR="00FC5DB8">
        <w:rPr>
          <w:rFonts w:ascii="Arial" w:eastAsia="Times New Roman" w:hAnsi="Arial" w:cs="Arial"/>
          <w:color w:val="000000"/>
          <w:lang w:eastAsia="es-CO"/>
        </w:rPr>
        <w:t xml:space="preserve"> </w:t>
      </w:r>
      <w:r w:rsidRPr="009342F9">
        <w:rPr>
          <w:rFonts w:ascii="Arial" w:eastAsia="Times New Roman" w:hAnsi="Arial" w:cs="Arial"/>
          <w:color w:val="000000"/>
          <w:lang w:eastAsia="es-CO"/>
        </w:rPr>
        <w:t>Metodología Tarifaria para la Actividad de Aprovechamiento. El pago de la actividad de aprovechamiento se continuará efectuando de conformidad con la metodología tarifaria vigente adoptada por la Comisión de Regulación de Agua Potable y Saneamiento Básico (CRA).  </w:t>
      </w:r>
    </w:p>
    <w:p w14:paraId="35BAEA3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EB7795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Para las medidas regulatorias que se adopten en adelante la Comisión de Regulación de Agua Potable y Saneamiento Básico (CRA), siguiendo los parámetros del principio de colaboración armónica, deberá incluir los costos ambientales inherentes a la prestación del servicio público de aseo dentro de la tarifa que se deriven de los instrumentos económicos que definan las autoridades competentes.  </w:t>
      </w:r>
    </w:p>
    <w:p w14:paraId="3FB633F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BF4DAF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Parágrafo 1°. La metodología tarifaria vigente para el servicio público de aseo indicará el valor máximo a reconocer vía tarifa a la persona prestadora de la actividad de aprovechamiento por </w:t>
      </w:r>
      <w:r w:rsidRPr="009342F9">
        <w:rPr>
          <w:rFonts w:ascii="Arial" w:eastAsia="Times New Roman" w:hAnsi="Arial" w:cs="Arial"/>
          <w:color w:val="000000"/>
          <w:lang w:eastAsia="es-CO"/>
        </w:rPr>
        <w:lastRenderedPageBreak/>
        <w:t>conceptos de campañas educativas, atención a Peticiones, Quejas y Recursos (PQR) así como del reporte de información al Sistema Único de Información (SUI) a la persona prestadora de la actividad de aprovechamiento; valor que será definido en el costo de comercialización por usuario.  </w:t>
      </w:r>
    </w:p>
    <w:p w14:paraId="0B80BA6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47AD8C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2°. Los usuarios no podrán exigir a las personas prestadoras de la actividad de aprovechamiento contraprestación alguna por los residuos aprovechables.  </w:t>
      </w:r>
    </w:p>
    <w:p w14:paraId="6CD93858"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839" w:name="ver_30110681"/>
      <w:bookmarkEnd w:id="1839"/>
    </w:p>
    <w:p w14:paraId="64536EB2" w14:textId="205440C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2.3.2.5.2.1.3.</w:t>
      </w:r>
      <w:r w:rsidR="00FC5DB8">
        <w:rPr>
          <w:rFonts w:ascii="Arial" w:eastAsia="Times New Roman" w:hAnsi="Arial" w:cs="Arial"/>
          <w:color w:val="000000"/>
          <w:lang w:eastAsia="es-CO"/>
        </w:rPr>
        <w:t xml:space="preserve"> </w:t>
      </w:r>
      <w:r w:rsidRPr="009342F9">
        <w:rPr>
          <w:rFonts w:ascii="Arial" w:eastAsia="Times New Roman" w:hAnsi="Arial" w:cs="Arial"/>
          <w:color w:val="000000"/>
          <w:lang w:eastAsia="es-CO"/>
        </w:rPr>
        <w:t>Campañas educativas. En el marco de las estrategias definidas en el programa de aprovechamiento de los Planes de Gestión Integral de Residuos Sólidos (PGIRS), el ente territorial y la persona prestadora de la actividad de aprovechamiento deberán implementar de manera permanente y coordinada campañas educativas, con la finalidad de concientizar a los usuarios sobre el reciclaje, el reúso, el aprovechamiento y la adecuada presentación de los residuos aprovechables.  </w:t>
      </w:r>
    </w:p>
    <w:p w14:paraId="6FCA7DB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645307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De conformidad con lo dispuesto en el artículo 2.3.2.2.3.87 del presente decreto, los entes territoriales deberán contar con los recursos para financiar las campañas educativas a su cargo de acuerdo con el Plan de Gestión Integral de Residuos Sólidos (PGIRS).  </w:t>
      </w:r>
    </w:p>
    <w:p w14:paraId="5554B20D" w14:textId="5BB9F96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840" w:name="ver_30110683"/>
      <w:bookmarkEnd w:id="1840"/>
    </w:p>
    <w:p w14:paraId="2D3F87A6" w14:textId="5B45D401"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2.3.2.5.2.1.4.</w:t>
      </w:r>
      <w:r w:rsidR="00FC5DB8">
        <w:rPr>
          <w:rFonts w:ascii="Arial" w:eastAsia="Times New Roman" w:hAnsi="Arial" w:cs="Arial"/>
          <w:color w:val="000000"/>
          <w:lang w:eastAsia="es-CO"/>
        </w:rPr>
        <w:t xml:space="preserve"> </w:t>
      </w:r>
      <w:r w:rsidRPr="009342F9">
        <w:rPr>
          <w:rFonts w:ascii="Arial" w:eastAsia="Times New Roman" w:hAnsi="Arial" w:cs="Arial"/>
          <w:color w:val="000000"/>
          <w:lang w:eastAsia="es-CO"/>
        </w:rPr>
        <w:t>Aprovechamiento en los Planes de Gestión Integral de Residuos Sólidos (PGIRS). En aquellos casos en que el aprovechamiento resulte viable, de acuerdo con los estudios y evaluaciones del PGIRS, el ente territorial tendrá la obligación de contar con los recursos para los proyectos que se establezcan en los Planes de Gestión Integral de Residuos Sólidos (PGIRS).  </w:t>
      </w:r>
    </w:p>
    <w:p w14:paraId="40C7933E" w14:textId="77777777" w:rsidR="004E2147" w:rsidRPr="009342F9" w:rsidRDefault="004E2147" w:rsidP="00FC79C1">
      <w:pPr>
        <w:spacing w:after="0" w:line="240" w:lineRule="auto"/>
        <w:jc w:val="both"/>
        <w:rPr>
          <w:rFonts w:ascii="Arial" w:eastAsia="Times New Roman" w:hAnsi="Arial" w:cs="Arial"/>
          <w:color w:val="000000"/>
          <w:lang w:eastAsia="es-CO"/>
        </w:rPr>
      </w:pPr>
    </w:p>
    <w:p w14:paraId="1B1ABA44" w14:textId="20E30FAB"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2.3.2.5.2.1.5.</w:t>
      </w:r>
      <w:r w:rsidR="00FC5DB8">
        <w:rPr>
          <w:rFonts w:ascii="Arial" w:eastAsia="Times New Roman" w:hAnsi="Arial" w:cs="Arial"/>
          <w:color w:val="000000"/>
          <w:lang w:eastAsia="es-CO"/>
        </w:rPr>
        <w:t xml:space="preserve"> </w:t>
      </w:r>
      <w:r w:rsidRPr="009342F9">
        <w:rPr>
          <w:rFonts w:ascii="Arial" w:eastAsia="Times New Roman" w:hAnsi="Arial" w:cs="Arial"/>
          <w:color w:val="000000"/>
          <w:lang w:eastAsia="es-CO"/>
        </w:rPr>
        <w:t>Integralidad de la actividad de aprovechamiento. Para efectos de la prestación y remuneración vía tarifa, la persona prestadora deberá responder por la actividad de aprovechamiento de forma integral que incluye: i) la recolección de residuos aprovechables, ii) el transporte selectivo hasta la estación de clasificación y aprovechamiento (ECA), y iii) la clasificación y pesaje de los residuos en la estación de clasificación y aprovechamiento (ECA).  </w:t>
      </w:r>
    </w:p>
    <w:p w14:paraId="1236818B"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841" w:name="ver_30110687"/>
      <w:bookmarkEnd w:id="1841"/>
    </w:p>
    <w:p w14:paraId="5014695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2.3.2.5.2.1.6. Registro de las personas prestadoras de la actividad de aprovechamiento. Las personas prestadoras del servicio público de aseo en la actividad de aprovechamiento se deberán registrar ante la Superintendencia de Servicios Públicos Domiciliarios (SSPD) de conformidad con lo establecido en el numeral 9 del artículo 79 de la Ley 142 de 1994.  </w:t>
      </w:r>
    </w:p>
    <w:p w14:paraId="3A192EA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31EA70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Las personas prestadoras de la actividad de aprovechamiento que se inscriban únicamente para la prestación de esta </w:t>
      </w:r>
      <w:proofErr w:type="gramStart"/>
      <w:r w:rsidRPr="009342F9">
        <w:rPr>
          <w:rFonts w:ascii="Arial" w:eastAsia="Times New Roman" w:hAnsi="Arial" w:cs="Arial"/>
          <w:color w:val="000000"/>
          <w:lang w:eastAsia="es-CO"/>
        </w:rPr>
        <w:t>actividad,</w:t>
      </w:r>
      <w:proofErr w:type="gramEnd"/>
      <w:r w:rsidRPr="009342F9">
        <w:rPr>
          <w:rFonts w:ascii="Arial" w:eastAsia="Times New Roman" w:hAnsi="Arial" w:cs="Arial"/>
          <w:color w:val="000000"/>
          <w:lang w:eastAsia="es-CO"/>
        </w:rPr>
        <w:t xml:space="preserve"> solamente podrán recolectar y transportar los residuos presentados por los usuarios para el aprovechamiento.  </w:t>
      </w:r>
    </w:p>
    <w:p w14:paraId="79FAE83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9ABB88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Quienes inscriban la actividad de recolección y transporte de residuos no aprovechables deberán asumir todas las responsabilidades asociadas a dicha prestación y en estos casos no aplicará el régimen de transición de que trata la Sección 3 del presente capítulo. La Superintendencia de Servicios Públicos Domiciliarios (SSPD) verificará lo aquí dispuesto.  </w:t>
      </w:r>
    </w:p>
    <w:p w14:paraId="0AB184AC"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842" w:name="ver_30110689"/>
      <w:bookmarkEnd w:id="1842"/>
    </w:p>
    <w:p w14:paraId="573B6C3C" w14:textId="64D73695" w:rsidR="00FC79C1" w:rsidRPr="009342F9" w:rsidRDefault="00FC79C1" w:rsidP="00FC79C1">
      <w:pPr>
        <w:spacing w:after="0" w:line="240" w:lineRule="auto"/>
        <w:jc w:val="both"/>
        <w:rPr>
          <w:rFonts w:ascii="Arial" w:eastAsia="Times New Roman" w:hAnsi="Arial" w:cs="Arial"/>
          <w:color w:val="000000"/>
          <w:lang w:eastAsia="es-CO"/>
        </w:rPr>
      </w:pPr>
      <w:r w:rsidRPr="0CEF5355">
        <w:rPr>
          <w:rFonts w:ascii="Arial" w:eastAsia="Times New Roman" w:hAnsi="Arial" w:cs="Arial"/>
          <w:color w:val="000000" w:themeColor="text1"/>
          <w:lang w:eastAsia="es-CO"/>
        </w:rPr>
        <w:t>Artículo 2.3.2.5.2.1.7.</w:t>
      </w:r>
      <w:r w:rsidR="00FC5DB8" w:rsidRPr="0CEF5355">
        <w:rPr>
          <w:rFonts w:ascii="Arial" w:eastAsia="Times New Roman" w:hAnsi="Arial" w:cs="Arial"/>
          <w:color w:val="000000" w:themeColor="text1"/>
          <w:lang w:eastAsia="es-CO"/>
        </w:rPr>
        <w:t xml:space="preserve"> </w:t>
      </w:r>
      <w:r w:rsidRPr="0CEF5355">
        <w:rPr>
          <w:rFonts w:ascii="Arial" w:eastAsia="Times New Roman" w:hAnsi="Arial" w:cs="Arial"/>
          <w:color w:val="000000" w:themeColor="text1"/>
          <w:lang w:eastAsia="es-CO"/>
        </w:rPr>
        <w:t>Reporte al Sistema Único de Información (SUI). Las personas prestadoras de la actividad de aprovechamiento deberán reportar al Sistema Único de Información (SUI) de la Superintendencia de Servicios Públicos Domiciliarios (SSPD) la información técnica, administrativa, comercial, operativa y financiera en los términos y condiciones que para el efecto establezca dicha entidad.  </w:t>
      </w:r>
    </w:p>
    <w:p w14:paraId="1DB42B04" w14:textId="43688B96" w:rsidR="00FC79C1" w:rsidRPr="009342F9" w:rsidRDefault="00FC79C1" w:rsidP="004E2147">
      <w:pPr>
        <w:spacing w:after="0" w:line="240" w:lineRule="auto"/>
        <w:jc w:val="center"/>
        <w:rPr>
          <w:rFonts w:ascii="Arial" w:eastAsia="Times New Roman" w:hAnsi="Arial" w:cs="Arial"/>
          <w:b/>
          <w:bCs/>
          <w:color w:val="000000"/>
          <w:lang w:eastAsia="es-CO"/>
        </w:rPr>
      </w:pPr>
      <w:bookmarkStart w:id="1843" w:name="ver_30110691"/>
      <w:bookmarkEnd w:id="1843"/>
      <w:r w:rsidRPr="009342F9">
        <w:rPr>
          <w:rFonts w:ascii="Arial" w:eastAsia="Times New Roman" w:hAnsi="Arial" w:cs="Arial"/>
          <w:b/>
          <w:bCs/>
          <w:color w:val="000000"/>
          <w:lang w:eastAsia="es-CO"/>
        </w:rPr>
        <w:lastRenderedPageBreak/>
        <w:t>SUBSECCIÓN 2</w:t>
      </w:r>
    </w:p>
    <w:p w14:paraId="23E2FD8A" w14:textId="77777777" w:rsidR="00FC79C1" w:rsidRPr="009342F9" w:rsidRDefault="00FC79C1" w:rsidP="004E2147">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FACTURACIÓN E INFORMACIÓN DE LA ACTIVIDAD DE APROVECHAMIENTO DEL SERVICIO PÚBLICO DE ASEO</w:t>
      </w:r>
    </w:p>
    <w:p w14:paraId="56255CBD"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844" w:name="ver_30110693"/>
      <w:bookmarkEnd w:id="1844"/>
    </w:p>
    <w:p w14:paraId="7263B50B" w14:textId="510E86F9"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2.3.2.5.2.2.1.</w:t>
      </w:r>
      <w:r w:rsidR="00FC5DB8">
        <w:rPr>
          <w:rFonts w:ascii="Arial" w:eastAsia="Times New Roman" w:hAnsi="Arial" w:cs="Arial"/>
          <w:color w:val="000000"/>
          <w:lang w:eastAsia="es-CO"/>
        </w:rPr>
        <w:t xml:space="preserve"> </w:t>
      </w:r>
      <w:r w:rsidRPr="009342F9">
        <w:rPr>
          <w:rFonts w:ascii="Arial" w:eastAsia="Times New Roman" w:hAnsi="Arial" w:cs="Arial"/>
          <w:color w:val="000000"/>
          <w:lang w:eastAsia="es-CO"/>
        </w:rPr>
        <w:t>Obligación de facturación integral del servicio público de aseo. Todas las personas prestadoras de la actividad de recolección y transporte de residuos no aprovechables deberán facturar de manera integral el servicio público de aseo incluyendo la actividad de aprovechamiento, sin exigir trámites, requisitos o información adicional de los dispuestos en el presente Capítulo.  </w:t>
      </w:r>
    </w:p>
    <w:p w14:paraId="762566E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3E961C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Los costos de esta gestión comercial se continuarán remunerando de acuerdo con lo dispuesto en la metodología tarifaria vigente adoptada por la Comisión de Regulación de Agua Potable y Saneamiento Básico (CRA).  </w:t>
      </w:r>
    </w:p>
    <w:p w14:paraId="7B59734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1A9208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Parágrafo 1°. Las personas prestadoras del servicio público de aseo en la actividad de recolección y transporte de residuos sólidos no </w:t>
      </w:r>
      <w:proofErr w:type="gramStart"/>
      <w:r w:rsidRPr="009342F9">
        <w:rPr>
          <w:rFonts w:ascii="Arial" w:eastAsia="Times New Roman" w:hAnsi="Arial" w:cs="Arial"/>
          <w:color w:val="000000"/>
          <w:lang w:eastAsia="es-CO"/>
        </w:rPr>
        <w:t>aprovechables,</w:t>
      </w:r>
      <w:proofErr w:type="gramEnd"/>
      <w:r w:rsidRPr="009342F9">
        <w:rPr>
          <w:rFonts w:ascii="Arial" w:eastAsia="Times New Roman" w:hAnsi="Arial" w:cs="Arial"/>
          <w:color w:val="000000"/>
          <w:lang w:eastAsia="es-CO"/>
        </w:rPr>
        <w:t xml:space="preserve"> deberán adelantar las gestiones ante el concedente de la facturación conjunta, para ajustar los convenios vigentes de acuerdo con lo dispuesto en la metodología tarifaria. Dentro de los ajustes deberán incluirse los necesarios para facturar la actividad de aprovechamiento prestada por terceros.  </w:t>
      </w:r>
    </w:p>
    <w:p w14:paraId="4052711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5C9CEE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2°. Los sistemas comerciales de facturación, recaudo, así como la recepción, reparto y trámite de Peticiones, Quejas y Recursos (PQR) deberán ajustarse para el cumplimiento de las disposiciones del presente capítulo.  </w:t>
      </w:r>
    </w:p>
    <w:p w14:paraId="17A48D07" w14:textId="77777777" w:rsidR="004E2147" w:rsidRPr="009342F9" w:rsidRDefault="004E2147" w:rsidP="00FC79C1">
      <w:pPr>
        <w:spacing w:after="0" w:line="240" w:lineRule="auto"/>
        <w:jc w:val="both"/>
        <w:rPr>
          <w:rFonts w:ascii="Arial" w:eastAsia="Times New Roman" w:hAnsi="Arial" w:cs="Arial"/>
          <w:color w:val="000000"/>
          <w:lang w:eastAsia="es-CO"/>
        </w:rPr>
      </w:pPr>
    </w:p>
    <w:p w14:paraId="28E2E749" w14:textId="355CDFA4"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2.3.2.5.2.2.2.</w:t>
      </w:r>
      <w:r w:rsidR="00FC5DB8">
        <w:rPr>
          <w:rFonts w:ascii="Arial" w:eastAsia="Times New Roman" w:hAnsi="Arial" w:cs="Arial"/>
          <w:color w:val="000000"/>
          <w:lang w:eastAsia="es-CO"/>
        </w:rPr>
        <w:t xml:space="preserve"> </w:t>
      </w:r>
      <w:r w:rsidRPr="009342F9">
        <w:rPr>
          <w:rFonts w:ascii="Arial" w:eastAsia="Times New Roman" w:hAnsi="Arial" w:cs="Arial"/>
          <w:color w:val="000000"/>
          <w:lang w:eastAsia="es-CO"/>
        </w:rPr>
        <w:t xml:space="preserve">Reporte de información para el cálculo de la remuneración vía tarifa de la actividad de aprovechamiento. El reporte de información al Sistema Único de Información (SUI) para el cálculo de la remuneración vía tarifa de la actividad de aprovechamiento, por el prestador de no aprovechables, se hará en los términos y condiciones que señale la Superintendencia de Servicios Públicos Domiciliarios (SSPD) </w:t>
      </w:r>
      <w:proofErr w:type="gramStart"/>
      <w:r w:rsidRPr="009342F9">
        <w:rPr>
          <w:rFonts w:ascii="Arial" w:eastAsia="Times New Roman" w:hAnsi="Arial" w:cs="Arial"/>
          <w:color w:val="000000"/>
          <w:lang w:eastAsia="es-CO"/>
        </w:rPr>
        <w:t>de acuerdo a</w:t>
      </w:r>
      <w:proofErr w:type="gramEnd"/>
      <w:r w:rsidRPr="009342F9">
        <w:rPr>
          <w:rFonts w:ascii="Arial" w:eastAsia="Times New Roman" w:hAnsi="Arial" w:cs="Arial"/>
          <w:color w:val="000000"/>
          <w:lang w:eastAsia="es-CO"/>
        </w:rPr>
        <w:t xml:space="preserve"> los lineamientos que establezca el Ministerio de Vivienda, Ciudad y Territorio. </w:t>
      </w:r>
    </w:p>
    <w:p w14:paraId="23CFB62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28CFAA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Adicionalmente la persona prestadora de la actividad de aprovechamiento deberá suministrar a la persona prestadora de la actividad de recolección y transporte de residuos no aprovechables, la información para el cálculo de la remuneración vía tarifa de la actividad de aprovechamiento de conformidad con los lineamientos que establezca el Ministerio de Vivienda, Ciudad y Territorio. </w:t>
      </w:r>
    </w:p>
    <w:p w14:paraId="3AE60ED2" w14:textId="77777777" w:rsidR="004E2147" w:rsidRPr="009342F9" w:rsidRDefault="004E2147" w:rsidP="00FC79C1">
      <w:pPr>
        <w:spacing w:after="0" w:line="240" w:lineRule="auto"/>
        <w:jc w:val="both"/>
        <w:rPr>
          <w:rFonts w:ascii="Arial" w:eastAsia="Times New Roman" w:hAnsi="Arial" w:cs="Arial"/>
          <w:color w:val="000000"/>
          <w:lang w:eastAsia="es-CO"/>
        </w:rPr>
      </w:pPr>
    </w:p>
    <w:p w14:paraId="4AC34B26" w14:textId="46FC609B"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2.3.2.5.2.2.3.</w:t>
      </w:r>
      <w:r w:rsidR="00FC5DB8">
        <w:rPr>
          <w:rFonts w:ascii="Arial" w:eastAsia="Times New Roman" w:hAnsi="Arial" w:cs="Arial"/>
          <w:color w:val="000000"/>
          <w:lang w:eastAsia="es-CO"/>
        </w:rPr>
        <w:t xml:space="preserve"> </w:t>
      </w:r>
      <w:r w:rsidRPr="009342F9">
        <w:rPr>
          <w:rFonts w:ascii="Arial" w:eastAsia="Times New Roman" w:hAnsi="Arial" w:cs="Arial"/>
          <w:color w:val="000000"/>
          <w:lang w:eastAsia="es-CO"/>
        </w:rPr>
        <w:t xml:space="preserve">Publicación de Información reportada al Sistema Único de Información (SUI) para el cálculo de la remuneración vía tarifa de la actividad de aprovechamiento. Para la consulta y cálculo de la remuneración vía tarifa de la actividad de aprovechamiento </w:t>
      </w:r>
      <w:proofErr w:type="gramStart"/>
      <w:r w:rsidRPr="009342F9">
        <w:rPr>
          <w:rFonts w:ascii="Arial" w:eastAsia="Times New Roman" w:hAnsi="Arial" w:cs="Arial"/>
          <w:color w:val="000000"/>
          <w:lang w:eastAsia="es-CO"/>
        </w:rPr>
        <w:t>de acuerdo a</w:t>
      </w:r>
      <w:proofErr w:type="gramEnd"/>
      <w:r w:rsidRPr="009342F9">
        <w:rPr>
          <w:rFonts w:ascii="Arial" w:eastAsia="Times New Roman" w:hAnsi="Arial" w:cs="Arial"/>
          <w:color w:val="000000"/>
          <w:lang w:eastAsia="es-CO"/>
        </w:rPr>
        <w:t xml:space="preserve"> lo definido en el artículo 2.3.2.5.2.2.6 del presente capítulo, la Superintendencia de Servicios Públicos Domiciliarios a través del Sistema Único de Información (SUI) deberá publicarla en la página web de la entidad, dentro de los dos (2) días siguientes al reporte de la información suministrada en cumplimiento del artículo 2.3.2.5.2.2.2.  </w:t>
      </w:r>
    </w:p>
    <w:p w14:paraId="4126BFE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69DE01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El Ministerio de Vivienda, Ciudad y Territorio determinará los lineamientos de la información a publicar para el cálculo de la remuneración vía tarifa de la actividad de aprovechamiento.  </w:t>
      </w:r>
    </w:p>
    <w:p w14:paraId="5B203C02"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845" w:name="ver_30110697"/>
      <w:bookmarkEnd w:id="1845"/>
    </w:p>
    <w:p w14:paraId="7EAAF629" w14:textId="5B1305D4"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2.3.2.5.2.2.4.</w:t>
      </w:r>
      <w:r w:rsidR="00FC5DB8">
        <w:rPr>
          <w:rFonts w:ascii="Arial" w:eastAsia="Times New Roman" w:hAnsi="Arial" w:cs="Arial"/>
          <w:color w:val="000000"/>
          <w:lang w:eastAsia="es-CO"/>
        </w:rPr>
        <w:t xml:space="preserve"> </w:t>
      </w:r>
      <w:r w:rsidRPr="009342F9">
        <w:rPr>
          <w:rFonts w:ascii="Arial" w:eastAsia="Times New Roman" w:hAnsi="Arial" w:cs="Arial"/>
          <w:color w:val="000000"/>
          <w:lang w:eastAsia="es-CO"/>
        </w:rPr>
        <w:t xml:space="preserve">Incentivo a la separación en la fuente (DINC). Aquellas </w:t>
      </w:r>
      <w:proofErr w:type="spellStart"/>
      <w:r w:rsidRPr="009342F9">
        <w:rPr>
          <w:rFonts w:ascii="Arial" w:eastAsia="Times New Roman" w:hAnsi="Arial" w:cs="Arial"/>
          <w:color w:val="000000"/>
          <w:lang w:eastAsia="es-CO"/>
        </w:rPr>
        <w:t>macrorrutas</w:t>
      </w:r>
      <w:proofErr w:type="spellEnd"/>
      <w:r w:rsidRPr="009342F9">
        <w:rPr>
          <w:rFonts w:ascii="Arial" w:eastAsia="Times New Roman" w:hAnsi="Arial" w:cs="Arial"/>
          <w:color w:val="000000"/>
          <w:lang w:eastAsia="es-CO"/>
        </w:rPr>
        <w:t xml:space="preserve"> de recolección de residuos aprovechables, que tengan niveles de rechazo inferiores al 20% de los </w:t>
      </w:r>
      <w:r w:rsidRPr="009342F9">
        <w:rPr>
          <w:rFonts w:ascii="Arial" w:eastAsia="Times New Roman" w:hAnsi="Arial" w:cs="Arial"/>
          <w:color w:val="000000"/>
          <w:lang w:eastAsia="es-CO"/>
        </w:rPr>
        <w:lastRenderedPageBreak/>
        <w:t>residuos presentados, les será otorgado un incentivo a la separación en la fuente (DINC). Este incentivo se mantendrá siempre y cuando los porcentajes de rechazo no superen dicho valor.  </w:t>
      </w:r>
    </w:p>
    <w:p w14:paraId="7FB2702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B84E89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La persona prestadora de la actividad de aprovechamiento deberá llevar un registro de las cantidades de residuos efectivamente aprovechados y los rechazos asociados a cada </w:t>
      </w:r>
      <w:proofErr w:type="spellStart"/>
      <w:r w:rsidRPr="009342F9">
        <w:rPr>
          <w:rFonts w:ascii="Arial" w:eastAsia="Times New Roman" w:hAnsi="Arial" w:cs="Arial"/>
          <w:color w:val="000000"/>
          <w:lang w:eastAsia="es-CO"/>
        </w:rPr>
        <w:t>macrorruta</w:t>
      </w:r>
      <w:proofErr w:type="spellEnd"/>
      <w:r w:rsidRPr="009342F9">
        <w:rPr>
          <w:rFonts w:ascii="Arial" w:eastAsia="Times New Roman" w:hAnsi="Arial" w:cs="Arial"/>
          <w:color w:val="000000"/>
          <w:lang w:eastAsia="es-CO"/>
        </w:rPr>
        <w:t xml:space="preserve"> de recolección. Para hacer efectivo el incentivo a la separación en la fuente (DINC) la persona prestadora de la actividad de aprovechamiento deberá reportar la base de datos de los suscriptores beneficiarios a:  </w:t>
      </w:r>
    </w:p>
    <w:p w14:paraId="34DD09F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ED4C38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La persona prestadora de la actividad de recolección y transporte de residuos no aprovechables en su área de prestación.  </w:t>
      </w:r>
    </w:p>
    <w:p w14:paraId="635D76E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3A7F8A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Sistema Único de Información (SUI).  </w:t>
      </w:r>
    </w:p>
    <w:p w14:paraId="2DFAEBF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E3C5A8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Continuará vigente el valor del incentivo es el definido en la metodología tarifaria del servicio público de aseo expedido por la Comisión de Regulación de Agua y Saneamiento Básico (CRA).  </w:t>
      </w:r>
    </w:p>
    <w:p w14:paraId="52890035"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846" w:name="ver_30110700"/>
      <w:bookmarkEnd w:id="1846"/>
    </w:p>
    <w:p w14:paraId="6CD9D7FA" w14:textId="03D388F6"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2.3.2.5.2.2.5.</w:t>
      </w:r>
      <w:r w:rsidR="00FC5DB8">
        <w:rPr>
          <w:rFonts w:ascii="Arial" w:eastAsia="Times New Roman" w:hAnsi="Arial" w:cs="Arial"/>
          <w:color w:val="000000"/>
          <w:lang w:eastAsia="es-CO"/>
        </w:rPr>
        <w:t xml:space="preserve"> </w:t>
      </w:r>
      <w:r w:rsidRPr="009342F9">
        <w:rPr>
          <w:rFonts w:ascii="Arial" w:eastAsia="Times New Roman" w:hAnsi="Arial" w:cs="Arial"/>
          <w:color w:val="000000"/>
          <w:lang w:eastAsia="es-CO"/>
        </w:rPr>
        <w:t>Cálculo de la tarifa mensual final al suscriptor. Las personas prestadoras de la actividad de recolección y transporte de residuos no aprovechables deberán realizar el cálculo de la tarifa final por suscriptor de acuerdo con la metodología tarifaria vigente, de acuerdo con la información publicada por el Sistema Único de Información (SUI).  </w:t>
      </w:r>
    </w:p>
    <w:p w14:paraId="592C95C3"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847" w:name="ver_30110704"/>
      <w:bookmarkEnd w:id="1847"/>
    </w:p>
    <w:p w14:paraId="1E7A2C6A" w14:textId="6539EAE8"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2.3.2.5.2.2.6.</w:t>
      </w:r>
      <w:r w:rsidR="00FC5DB8">
        <w:rPr>
          <w:rFonts w:ascii="Arial" w:eastAsia="Times New Roman" w:hAnsi="Arial" w:cs="Arial"/>
          <w:color w:val="000000"/>
          <w:lang w:eastAsia="es-CO"/>
        </w:rPr>
        <w:t xml:space="preserve"> </w:t>
      </w:r>
      <w:r w:rsidRPr="009342F9">
        <w:rPr>
          <w:rFonts w:ascii="Arial" w:eastAsia="Times New Roman" w:hAnsi="Arial" w:cs="Arial"/>
          <w:color w:val="000000"/>
          <w:lang w:eastAsia="es-CO"/>
        </w:rPr>
        <w:t>Medición y balance de masas. El Ministerio de Vivienda, Ciudad y Territorio señalará lineamientos para la medición y el balance de masas de los residuos sólidos para la prestación de la actividad de aprovechamiento.  </w:t>
      </w:r>
    </w:p>
    <w:p w14:paraId="676FCA54"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848" w:name="ver_30110706"/>
      <w:bookmarkEnd w:id="1848"/>
    </w:p>
    <w:p w14:paraId="46B1E6F6" w14:textId="79F5A031"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2.3.2.5.2.2.7.</w:t>
      </w:r>
      <w:r w:rsidR="00FC5DB8">
        <w:rPr>
          <w:rFonts w:ascii="Arial" w:eastAsia="Times New Roman" w:hAnsi="Arial" w:cs="Arial"/>
          <w:color w:val="000000"/>
          <w:lang w:eastAsia="es-CO"/>
        </w:rPr>
        <w:t xml:space="preserve"> </w:t>
      </w:r>
      <w:r w:rsidRPr="009342F9">
        <w:rPr>
          <w:rFonts w:ascii="Arial" w:eastAsia="Times New Roman" w:hAnsi="Arial" w:cs="Arial"/>
          <w:color w:val="000000"/>
          <w:lang w:eastAsia="es-CO"/>
        </w:rPr>
        <w:t>Publicaciones de tarifas. Las personas prestadoras de la actividad de recolección y transporte de residuos no aprovechables deberán incluir dentro la información periódica a los usuarios, definida por la regulación vigente, la correspondiente a la actividad de aprovechamiento.  </w:t>
      </w:r>
    </w:p>
    <w:p w14:paraId="193455CF" w14:textId="77777777" w:rsidR="004E2147" w:rsidRPr="009342F9" w:rsidRDefault="004E2147" w:rsidP="00FC79C1">
      <w:pPr>
        <w:spacing w:after="0" w:line="240" w:lineRule="auto"/>
        <w:jc w:val="both"/>
        <w:rPr>
          <w:rFonts w:ascii="Arial" w:eastAsia="Times New Roman" w:hAnsi="Arial" w:cs="Arial"/>
          <w:color w:val="000000"/>
          <w:lang w:eastAsia="es-CO"/>
        </w:rPr>
      </w:pPr>
      <w:bookmarkStart w:id="1849" w:name="ver_30110708"/>
      <w:bookmarkEnd w:id="1849"/>
    </w:p>
    <w:p w14:paraId="02CB0278" w14:textId="26D374CB" w:rsidR="00FC79C1" w:rsidRPr="009342F9" w:rsidRDefault="00FC79C1" w:rsidP="004E2147">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SUBSECCIÓN 3</w:t>
      </w:r>
    </w:p>
    <w:p w14:paraId="412A6686" w14:textId="77777777" w:rsidR="00FC79C1" w:rsidRPr="009342F9" w:rsidRDefault="00FC79C1" w:rsidP="004E2147">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COBRO Y GESTIÓN DE LOS RECURSOS DE LA ACTIVIDAD DE APROVECHAMIENTO DEL SERVICIO PÚBLICO DE ASEO</w:t>
      </w:r>
    </w:p>
    <w:p w14:paraId="12ABED9D"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850" w:name="ver_30110710"/>
      <w:bookmarkEnd w:id="1850"/>
    </w:p>
    <w:p w14:paraId="68C75CB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2.3.2.5.2.3.1. Cobro de la actividad de aprovechamiento. El cobro de la actividad de aprovechamiento se realizará a todos los usuarios del servicio público de aseo en el municipio o distrito de acuerdo con la regulación vigente, de conformidad con los criterios del artículo 87 de la Ley 142 de 1994.  </w:t>
      </w:r>
    </w:p>
    <w:p w14:paraId="433D2A5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C8EB64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El Ministerio de Vivienda, Ciudad y Territorio, de conformidad con el numeral 1 del artículo 2° del Decreto número 3571 de 2011, podrá identificar prácticas no autorizadas que afecten la implementación del esquema operativo de la actividad de aprovechamiento.  </w:t>
      </w:r>
    </w:p>
    <w:p w14:paraId="421789B2" w14:textId="4E3BFE83"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851" w:name="ver_30110712"/>
      <w:bookmarkEnd w:id="1851"/>
    </w:p>
    <w:p w14:paraId="1C0A3AF2" w14:textId="5F0F76CD"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2.3.2.5.2.3.2.</w:t>
      </w:r>
      <w:r w:rsidR="00FC5DB8">
        <w:rPr>
          <w:rFonts w:ascii="Arial" w:eastAsia="Times New Roman" w:hAnsi="Arial" w:cs="Arial"/>
          <w:color w:val="000000"/>
          <w:lang w:eastAsia="es-CO"/>
        </w:rPr>
        <w:t xml:space="preserve"> </w:t>
      </w:r>
      <w:r w:rsidRPr="009342F9">
        <w:rPr>
          <w:rFonts w:ascii="Arial" w:eastAsia="Times New Roman" w:hAnsi="Arial" w:cs="Arial"/>
          <w:color w:val="000000"/>
          <w:lang w:eastAsia="es-CO"/>
        </w:rPr>
        <w:t>Recaudo. Los recursos de la facturación del servicio público de aseo, correspondientes a la actividad de aprovechamiento, deberán ser recaudados por parte del prestador de la actividad de recolección y transporte de residuos no aprovechables, quien deberá hacer los traslados a la persona prestadora de la actividad de aprovechamiento de acuerdo con lo establecido en el presente capítulo.  </w:t>
      </w:r>
    </w:p>
    <w:p w14:paraId="38E2ED78" w14:textId="027BC2BF"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852" w:name="ver_30110714"/>
      <w:bookmarkEnd w:id="1852"/>
    </w:p>
    <w:p w14:paraId="74BCD51B" w14:textId="6F4D922D"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Artículo 2.3.2.5.2.3.3.</w:t>
      </w:r>
      <w:r w:rsidR="00FC5DB8">
        <w:rPr>
          <w:rFonts w:ascii="Arial" w:eastAsia="Times New Roman" w:hAnsi="Arial" w:cs="Arial"/>
          <w:color w:val="000000"/>
          <w:lang w:eastAsia="es-CO"/>
        </w:rPr>
        <w:t xml:space="preserve"> </w:t>
      </w:r>
      <w:r w:rsidRPr="009342F9">
        <w:rPr>
          <w:rFonts w:ascii="Arial" w:eastAsia="Times New Roman" w:hAnsi="Arial" w:cs="Arial"/>
          <w:color w:val="000000"/>
          <w:lang w:eastAsia="es-CO"/>
        </w:rPr>
        <w:t>Recursos de la facturación del servicio público de aseo correspondientes a la actividad de aprovechamiento. Las personas prestadoras de la actividad de aprovechamiento deberán recibir el valor correspondiente a la remuneración de los residuos efectivamente aprovechados, que resultará de sumar los recursos provenientes de:  </w:t>
      </w:r>
    </w:p>
    <w:p w14:paraId="0B4855B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10CE5F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Recaudo asociado al cobro máximo tarifario de las toneladas de residuos efectivamente aprovechados de usuarios no aforados, los que se distribuirán proporcionalmente con las toneladas efectivamente aprovechadas de acuerdo con la información reportada por el Sistema Único de Información (SUI).  </w:t>
      </w:r>
    </w:p>
    <w:p w14:paraId="16DFB73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F8545C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Recaudo asociado al cobro máximo tarifario de las toneladas de residuos efectivamente aprovechados de usuarios aforados, los que se trasladarán a cada persona prestadora de la actividad de aprovechamiento de acuerdo con la base de datos de recaudo de los usuarios aforados.  </w:t>
      </w:r>
    </w:p>
    <w:p w14:paraId="56D19F2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2D2A0A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Recaudo correspondiente al valor máximo de la actividad de aprovechamiento, en lo relacionado con campañas educativas, atención al usuario y cargue al SUI en el marco de la comercialización por usuario, de acuerdo con la regulación vigente.  </w:t>
      </w:r>
    </w:p>
    <w:p w14:paraId="2D45EEFE" w14:textId="77777777" w:rsidR="004E2147" w:rsidRPr="009342F9" w:rsidRDefault="004E2147" w:rsidP="00FC79C1">
      <w:pPr>
        <w:spacing w:after="0" w:line="240" w:lineRule="auto"/>
        <w:jc w:val="both"/>
        <w:rPr>
          <w:rFonts w:ascii="Arial" w:eastAsia="Times New Roman" w:hAnsi="Arial" w:cs="Arial"/>
          <w:color w:val="000000"/>
          <w:lang w:eastAsia="es-CO"/>
        </w:rPr>
      </w:pPr>
    </w:p>
    <w:p w14:paraId="33BA6FBF" w14:textId="0DEDC448"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2.3.2.5.2.3.4.</w:t>
      </w:r>
      <w:r w:rsidR="00FC5DB8">
        <w:rPr>
          <w:rFonts w:ascii="Arial" w:eastAsia="Times New Roman" w:hAnsi="Arial" w:cs="Arial"/>
          <w:color w:val="000000"/>
          <w:lang w:eastAsia="es-CO"/>
        </w:rPr>
        <w:t xml:space="preserve"> </w:t>
      </w:r>
      <w:r w:rsidRPr="009342F9">
        <w:rPr>
          <w:rFonts w:ascii="Arial" w:eastAsia="Times New Roman" w:hAnsi="Arial" w:cs="Arial"/>
          <w:color w:val="000000"/>
          <w:lang w:eastAsia="es-CO"/>
        </w:rPr>
        <w:t>Traslado de recursos de la facturación del servicio público de aseo correspondientes a la actividad de aprovechamiento. La persona prestadora de la actividad de recolección y transporte de residuos sólidos no aprovechables deberá realizar cortes quincenales para trasladar los recursos recaudados en dicho periodo a la persona prestadora de la actividad de aprovechamiento. Las fechas de dichos traslados serán acordados entre las partes.  </w:t>
      </w:r>
    </w:p>
    <w:p w14:paraId="125DD2B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46AB37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Los informes soporte de dicho traslado deberán entregarse, por parte de la persona prestadora de la actividad de recolección y transporte de residuos sólidos no aprovechables, a más tardar dentro de los diez (10) días siguientes a las fechas acordadas para los traslados de recursos.  </w:t>
      </w:r>
    </w:p>
    <w:p w14:paraId="7C74B4E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44CCA6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Los ajustes por la conciliación entre los valores trasladados, y los obtenidos de acuerdo con los informes de facturación y recaudo, deberán realizarse dentro de los quince (15) días siguientes a la conciliación.  </w:t>
      </w:r>
    </w:p>
    <w:p w14:paraId="30FC913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45C3B6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Si el traslado de los recursos no se da en los términos aquí definidos, se aplicarán las condiciones previstas en la regulación vigente sobre mora en el giro de recursos. Dicha actuación deberá ser puesta en conocimiento de la Superintendencia de Servicios Públicos Domiciliarios (SSPD) para lo de su competencia.  </w:t>
      </w:r>
    </w:p>
    <w:p w14:paraId="4160D13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A47E8A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La persona prestadora de la actividad de recolección y transporte de residuos sólidos no aprovechables deberá informar a la persona prestadora de la actividad de aprovechamiento, los tiempos de reporte de información y traslado de recursos establecidos en el convenio de facturación conjunta del servicio público de aseo.  </w:t>
      </w:r>
    </w:p>
    <w:p w14:paraId="1B094E19" w14:textId="77777777" w:rsidR="004E2147" w:rsidRPr="009342F9" w:rsidRDefault="004E2147" w:rsidP="00FC79C1">
      <w:pPr>
        <w:spacing w:after="0" w:line="240" w:lineRule="auto"/>
        <w:jc w:val="both"/>
        <w:rPr>
          <w:rFonts w:ascii="Arial" w:eastAsia="Times New Roman" w:hAnsi="Arial" w:cs="Arial"/>
          <w:color w:val="000000"/>
          <w:lang w:eastAsia="es-CO"/>
        </w:rPr>
      </w:pPr>
      <w:bookmarkStart w:id="1853" w:name="ver_30110718"/>
      <w:bookmarkEnd w:id="1853"/>
    </w:p>
    <w:p w14:paraId="3723D500" w14:textId="758FC26A"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2.3.2.5.2.3.5.</w:t>
      </w:r>
      <w:r w:rsidR="00FC5DB8">
        <w:rPr>
          <w:rFonts w:ascii="Arial" w:eastAsia="Times New Roman" w:hAnsi="Arial" w:cs="Arial"/>
          <w:color w:val="000000"/>
          <w:lang w:eastAsia="es-CO"/>
        </w:rPr>
        <w:t xml:space="preserve"> </w:t>
      </w:r>
      <w:r w:rsidRPr="009342F9">
        <w:rPr>
          <w:rFonts w:ascii="Arial" w:eastAsia="Times New Roman" w:hAnsi="Arial" w:cs="Arial"/>
          <w:color w:val="000000"/>
          <w:lang w:eastAsia="es-CO"/>
        </w:rPr>
        <w:t>Gestión de recuperación de Cartera. Los costos de la gestión de recuperación de cartera de la actividad de aprovechamiento se sujetarán a las reglas definidas en el convenio de facturación conjunta de cada una de las personas prestadoras de la actividad de recolección y transporte de residuos no aprovechables. De las condiciones de recuperación de cartera pactadas en los convenios de facturación conjunta, deberán ser informadas las personas prestadoras de la actividad de aprovechamiento.  </w:t>
      </w:r>
    </w:p>
    <w:p w14:paraId="74AF3DD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1E4169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xml:space="preserve">Parágrafo 1°. Las mismas condiciones para la recuperación de cartera pactadas en los convenios de facturación conjunta serán aplicables cuando quiera que la recuperación de </w:t>
      </w:r>
      <w:proofErr w:type="gramStart"/>
      <w:r w:rsidRPr="009342F9">
        <w:rPr>
          <w:rFonts w:ascii="Arial" w:eastAsia="Times New Roman" w:hAnsi="Arial" w:cs="Arial"/>
          <w:color w:val="000000"/>
          <w:lang w:eastAsia="es-CO"/>
        </w:rPr>
        <w:t>la misma</w:t>
      </w:r>
      <w:proofErr w:type="gramEnd"/>
      <w:r w:rsidRPr="009342F9">
        <w:rPr>
          <w:rFonts w:ascii="Arial" w:eastAsia="Times New Roman" w:hAnsi="Arial" w:cs="Arial"/>
          <w:color w:val="000000"/>
          <w:lang w:eastAsia="es-CO"/>
        </w:rPr>
        <w:t xml:space="preserve"> sea efectuada por las personas prestadoras de la actividad de recolección y transporte de residuos no aprovechables.  </w:t>
      </w:r>
    </w:p>
    <w:p w14:paraId="2644067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AB8A1A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2°. Para el caso de las personas prestadoras de la actividad de recolección y transporte de residuos no aprovechables que al momento de entrar en vigencia el presente capítulo no cuenten con convenios de facturación conjunta por prestar un servicio susceptible a suspensión o el corte deberán adoptar un convenio de facturación conjunta para la facturación y recaudo de los recursos de tarifa de la actividad de aprovechamiento con las personas prestadoras de la mencionada actividad, de conformidad con la regulación vigente en la materia.  </w:t>
      </w:r>
    </w:p>
    <w:p w14:paraId="5D622897"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854" w:name="ver_30110720"/>
      <w:bookmarkEnd w:id="1854"/>
    </w:p>
    <w:p w14:paraId="19BC1309" w14:textId="2722488E"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2.3.2.5.2.3.6.</w:t>
      </w:r>
      <w:r w:rsidR="00FC5DB8">
        <w:rPr>
          <w:rFonts w:ascii="Arial" w:eastAsia="Times New Roman" w:hAnsi="Arial" w:cs="Arial"/>
          <w:color w:val="000000"/>
          <w:lang w:eastAsia="es-CO"/>
        </w:rPr>
        <w:t xml:space="preserve"> </w:t>
      </w:r>
      <w:r w:rsidRPr="009342F9">
        <w:rPr>
          <w:rFonts w:ascii="Arial" w:eastAsia="Times New Roman" w:hAnsi="Arial" w:cs="Arial"/>
          <w:color w:val="000000"/>
          <w:lang w:eastAsia="es-CO"/>
        </w:rPr>
        <w:t>Comité de Conciliación de Cuentas. Las personas prestadoras de la actividad de recolección y transporte de residuos no aprovechables y las personas prestadoras de la actividad de aprovechamiento, deberán conformar un comité de conciliación de cuentas que se deberá reunir por lo menos una vez al mes, a efectos de revisar las cuentas y demás aspectos que surjan como consecuencia de la prestación de la actividad de aprovechamiento, la comercialización y su facturación dentro del servicio público de aseo.  </w:t>
      </w:r>
    </w:p>
    <w:p w14:paraId="5F32F32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0A6B91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El Comité de Conciliación de cuentas estará conformado por un representante de cada empresa debidamente facultado para adoptar decisiones en los aspectos que sean objeto de revisión.  </w:t>
      </w:r>
    </w:p>
    <w:p w14:paraId="5717A1B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0A3B4B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Parágrafo. El Comité de conciliación creado mediante este capítulo deberá adoptar su propio reglamento. La Comisión de Regulación de Agua Potable y Saneamiento Básico (CRA) evaluará la necesidad de establecer una regulación de carácter general para el funcionamiento y operatividad de </w:t>
      </w:r>
      <w:proofErr w:type="gramStart"/>
      <w:r w:rsidRPr="009342F9">
        <w:rPr>
          <w:rFonts w:ascii="Arial" w:eastAsia="Times New Roman" w:hAnsi="Arial" w:cs="Arial"/>
          <w:color w:val="000000"/>
          <w:lang w:eastAsia="es-CO"/>
        </w:rPr>
        <w:t>los mismos</w:t>
      </w:r>
      <w:proofErr w:type="gramEnd"/>
      <w:r w:rsidRPr="009342F9">
        <w:rPr>
          <w:rFonts w:ascii="Arial" w:eastAsia="Times New Roman" w:hAnsi="Arial" w:cs="Arial"/>
          <w:color w:val="000000"/>
          <w:lang w:eastAsia="es-CO"/>
        </w:rPr>
        <w:t>.  </w:t>
      </w:r>
    </w:p>
    <w:p w14:paraId="63586BA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058B5B1" w14:textId="77777777" w:rsidR="00FC79C1" w:rsidRPr="009342F9" w:rsidRDefault="00FC79C1" w:rsidP="004E2147">
      <w:pPr>
        <w:spacing w:after="0" w:line="240" w:lineRule="auto"/>
        <w:jc w:val="center"/>
        <w:rPr>
          <w:rFonts w:ascii="Arial" w:eastAsia="Times New Roman" w:hAnsi="Arial" w:cs="Arial"/>
          <w:b/>
          <w:bCs/>
          <w:color w:val="000000"/>
          <w:lang w:eastAsia="es-CO"/>
        </w:rPr>
      </w:pPr>
      <w:bookmarkStart w:id="1855" w:name="ver_30110722"/>
      <w:bookmarkEnd w:id="1855"/>
      <w:r w:rsidRPr="009342F9">
        <w:rPr>
          <w:rFonts w:ascii="Arial" w:eastAsia="Times New Roman" w:hAnsi="Arial" w:cs="Arial"/>
          <w:b/>
          <w:bCs/>
          <w:color w:val="000000"/>
          <w:lang w:eastAsia="es-CO"/>
        </w:rPr>
        <w:t>SUBSECCIÓN 4</w:t>
      </w:r>
    </w:p>
    <w:p w14:paraId="663F0929" w14:textId="77777777" w:rsidR="00FC79C1" w:rsidRPr="009342F9" w:rsidRDefault="00FC79C1" w:rsidP="004E2147">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ATENCIÓN AL USUARIO</w:t>
      </w:r>
    </w:p>
    <w:p w14:paraId="1B4F5D23"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856" w:name="ver_30110724"/>
      <w:bookmarkEnd w:id="1856"/>
    </w:p>
    <w:p w14:paraId="4EB4D783" w14:textId="694646BA"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2.3.2.5.2.4.1.</w:t>
      </w:r>
      <w:r w:rsidR="00FC5DB8">
        <w:rPr>
          <w:rFonts w:ascii="Arial" w:eastAsia="Times New Roman" w:hAnsi="Arial" w:cs="Arial"/>
          <w:color w:val="000000"/>
          <w:lang w:eastAsia="es-CO"/>
        </w:rPr>
        <w:t xml:space="preserve"> </w:t>
      </w:r>
      <w:r w:rsidRPr="009342F9">
        <w:rPr>
          <w:rFonts w:ascii="Arial" w:eastAsia="Times New Roman" w:hAnsi="Arial" w:cs="Arial"/>
          <w:color w:val="000000"/>
          <w:lang w:eastAsia="es-CO"/>
        </w:rPr>
        <w:t>Contrato de condiciones uniformes del servicio público de aseo (CCU) para la actividad de aprovechamiento. Las personas prestadoras de la actividad de aprovechamiento deberán adoptar un contrato de condiciones uniformes del servicio público de aseo (CCU) para la actividad de aprovechamiento.  </w:t>
      </w:r>
    </w:p>
    <w:p w14:paraId="0ABCA79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2760E0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Para el efecto podrán acoger el modelo que defina la Comisión de Regulación de Agua Potable y Saneamiento Básico (CRA), el cual deberá ser expedido dentro de los tres (3) meses siguientes a la </w:t>
      </w:r>
      <w:proofErr w:type="gramStart"/>
      <w:r w:rsidRPr="009342F9">
        <w:rPr>
          <w:rFonts w:ascii="Arial" w:eastAsia="Times New Roman" w:hAnsi="Arial" w:cs="Arial"/>
          <w:color w:val="000000"/>
          <w:lang w:eastAsia="es-CO"/>
        </w:rPr>
        <w:t>entrada en vigencia</w:t>
      </w:r>
      <w:proofErr w:type="gramEnd"/>
      <w:r w:rsidRPr="009342F9">
        <w:rPr>
          <w:rFonts w:ascii="Arial" w:eastAsia="Times New Roman" w:hAnsi="Arial" w:cs="Arial"/>
          <w:color w:val="000000"/>
          <w:lang w:eastAsia="es-CO"/>
        </w:rPr>
        <w:t xml:space="preserve"> del presente capítulo.  </w:t>
      </w:r>
    </w:p>
    <w:p w14:paraId="401BF6C7" w14:textId="2D087AD2"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857" w:name="ver_30110727"/>
      <w:bookmarkEnd w:id="1857"/>
    </w:p>
    <w:p w14:paraId="0BD6F77A" w14:textId="481430ED"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2.3.2.5.2.4.2.</w:t>
      </w:r>
      <w:r w:rsidR="00FC5DB8">
        <w:rPr>
          <w:rFonts w:ascii="Arial" w:eastAsia="Times New Roman" w:hAnsi="Arial" w:cs="Arial"/>
          <w:color w:val="000000"/>
          <w:lang w:eastAsia="es-CO"/>
        </w:rPr>
        <w:t xml:space="preserve"> </w:t>
      </w:r>
      <w:r w:rsidRPr="009342F9">
        <w:rPr>
          <w:rFonts w:ascii="Arial" w:eastAsia="Times New Roman" w:hAnsi="Arial" w:cs="Arial"/>
          <w:color w:val="000000"/>
          <w:lang w:eastAsia="es-CO"/>
        </w:rPr>
        <w:t>Vinculación de catastros. Las personas prestadoras de la actividad de recolección y transporte de residuos no aprovechables deberán vincular el catastro de usuarios a partir de la base de usuarios entregado por las personas prestadoras de la actividad de aprovechamiento. La vinculación deberá realizarse con la dirección y la cuenta contrato o número único de identificación del usuario, de tal forma que el trámite de las Peticiones, Quejas y Recursos (PQR) se realice a partir de la cuenta contrato.  </w:t>
      </w:r>
    </w:p>
    <w:p w14:paraId="4E16FBC6"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858" w:name="ver_30110729"/>
      <w:bookmarkEnd w:id="1858"/>
    </w:p>
    <w:p w14:paraId="62C5C793" w14:textId="49A5C864"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2.3.2.5.2.4.3.</w:t>
      </w:r>
      <w:r w:rsidR="00FC5DB8">
        <w:rPr>
          <w:rFonts w:ascii="Arial" w:eastAsia="Times New Roman" w:hAnsi="Arial" w:cs="Arial"/>
          <w:color w:val="000000"/>
          <w:lang w:eastAsia="es-CO"/>
        </w:rPr>
        <w:t xml:space="preserve"> </w:t>
      </w:r>
      <w:r w:rsidRPr="009342F9">
        <w:rPr>
          <w:rFonts w:ascii="Arial" w:eastAsia="Times New Roman" w:hAnsi="Arial" w:cs="Arial"/>
          <w:color w:val="000000"/>
          <w:lang w:eastAsia="es-CO"/>
        </w:rPr>
        <w:t>Recibo de Peticiones, Quejas y Recursos (PQR). Las Peticiones, Quejas y Recursos (PQR) relacionados con la actividad de aprovechamiento, presentadas por los usuarios, deberán ser recibidas por las personas prestadoras de recolección y transporte de residuos no aprovechables, en los términos y medios dispuestos por el Código de Procedimiento Administrativo y de lo Contencioso Administrativo.  </w:t>
      </w:r>
    </w:p>
    <w:p w14:paraId="58863AC7" w14:textId="77777777" w:rsidR="00FC79C1" w:rsidRPr="009342F9" w:rsidRDefault="00FC79C1" w:rsidP="00FC79C1">
      <w:pPr>
        <w:spacing w:after="0" w:line="240" w:lineRule="auto"/>
        <w:jc w:val="both"/>
        <w:rPr>
          <w:rFonts w:ascii="Arial" w:eastAsia="Times New Roman" w:hAnsi="Arial" w:cs="Arial"/>
          <w:color w:val="000000"/>
          <w:lang w:eastAsia="es-CO"/>
        </w:rPr>
      </w:pPr>
    </w:p>
    <w:p w14:paraId="424B5026" w14:textId="78058B6D" w:rsidR="00FC79C1" w:rsidRPr="009342F9" w:rsidRDefault="00FC79C1" w:rsidP="00FC79C1">
      <w:pPr>
        <w:spacing w:after="0" w:line="240" w:lineRule="auto"/>
        <w:jc w:val="both"/>
        <w:rPr>
          <w:rFonts w:ascii="Arial" w:eastAsia="Times New Roman" w:hAnsi="Arial" w:cs="Arial"/>
          <w:color w:val="000000"/>
          <w:lang w:eastAsia="es-CO"/>
        </w:rPr>
      </w:pPr>
      <w:bookmarkStart w:id="1859" w:name="ver_30110732"/>
      <w:bookmarkEnd w:id="1859"/>
      <w:r w:rsidRPr="009342F9">
        <w:rPr>
          <w:rFonts w:ascii="Arial" w:eastAsia="Times New Roman" w:hAnsi="Arial" w:cs="Arial"/>
          <w:color w:val="000000"/>
          <w:lang w:eastAsia="es-CO"/>
        </w:rPr>
        <w:t>Artículo 2.3.2.5.2.4.4.</w:t>
      </w:r>
      <w:r w:rsidR="00FC5DB8">
        <w:rPr>
          <w:rFonts w:ascii="Arial" w:eastAsia="Times New Roman" w:hAnsi="Arial" w:cs="Arial"/>
          <w:color w:val="000000"/>
          <w:lang w:eastAsia="es-CO"/>
        </w:rPr>
        <w:t xml:space="preserve"> </w:t>
      </w:r>
      <w:r w:rsidRPr="009342F9">
        <w:rPr>
          <w:rFonts w:ascii="Arial" w:eastAsia="Times New Roman" w:hAnsi="Arial" w:cs="Arial"/>
          <w:color w:val="000000"/>
          <w:lang w:eastAsia="es-CO"/>
        </w:rPr>
        <w:t>Atención de Peticiones, Quejas y Recursos (PQR) relativos al contrato de servicios públicos. Las Peticiones, Quejas y Recursos (PQR) relacionadas con la facturación del servicio deberán ser tramitadas en su integralidad por la persona prestadora de la actividad de recolección y transporte de residuos no aprovechables. Los reclamos relacionados con el cobro de la actividad de aprovechamiento se sujetarán a lo dispuesto en la Ley 142 de 1994.  </w:t>
      </w:r>
    </w:p>
    <w:p w14:paraId="5E4E94E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7B3264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Las Peticiones, Quejas y Recursos (PQR) relacionadas con las cantidades de residuos aprovechables facturadas, aforos y aspectos operativos relacionados con horarios y frecuencias, deberán ser trasladadas, a más tardar dentro de los cinco (5) días siguientes, a la persona prestadora de la actividad de aprovechamiento para que dentro de los términos establecidos en la Ley 142 de 1994, se dé respuesta al usuario.  </w:t>
      </w:r>
    </w:p>
    <w:p w14:paraId="7ECF584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379FB9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Cuando la respuesta de este tipo de Peticiones, Quejas y Recursos (PQR) implique ajuste en el valor facturado, la persona prestadora de la actividad de aprovechamiento deberá informar a la persona prestadora de la actividad de recolección y transporte de residuos no aprovechables el ajuste para que genere una nueva factura. Los costos de la expedición de nuevas facturas serán asumidos por la persona prestadora de la actividad de aprovechamiento de acuerdo con los valores establecidos en los convenios de facturación conjunta.  </w:t>
      </w:r>
    </w:p>
    <w:p w14:paraId="29B50C5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1A772F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1°. Las Peticiones, Quejas y Recursos (PQR) que se relacionen con una solicitud de prestación de la actividad de aprovechamiento presentadas por los usuarios, deberán indicar a cuál persona prestadora de la actividad de aprovechamiento se dirigen, en desarrollo a lo dispuesto en el numeral 9.2 del artículo 9° de la Ley 142 de 1994.  </w:t>
      </w:r>
    </w:p>
    <w:p w14:paraId="2FF3711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9471C2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2°. Los términos para respuesta de una Petición, Queja o Recurso (PQR), relacionada con la prestación de la actividad de aprovechamiento, correrán a partir de la fecha del recibo del traslado.  </w:t>
      </w:r>
    </w:p>
    <w:p w14:paraId="2810145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BE8C6A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3°. Para el reporte ante el Sistema Único de Información (SUI) de las Peticiones, Quejas y Recursos (PQR), se deberá dar cumplimiento a las disposiciones de la Superintendencia de Servicios Públicos Domiciliarios (SSPD) vigentes en la materia.  </w:t>
      </w:r>
    </w:p>
    <w:p w14:paraId="7C19392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EB344A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4°. El reporte de facturación correspondiente a la actividad de aprovechamiento, así como sus ajustes, deberán ser reportados por la persona prestadora de la actividad de recolección y transporte de residuos no aprovechables al Sistema Único de Información (SUI).  </w:t>
      </w:r>
    </w:p>
    <w:p w14:paraId="6E5D4AED" w14:textId="77777777" w:rsidR="00FC79C1" w:rsidRPr="009342F9" w:rsidRDefault="00FC79C1" w:rsidP="00FC79C1">
      <w:pPr>
        <w:spacing w:after="0" w:line="240" w:lineRule="auto"/>
        <w:jc w:val="both"/>
        <w:rPr>
          <w:rFonts w:ascii="Arial" w:eastAsia="Times New Roman" w:hAnsi="Arial" w:cs="Arial"/>
          <w:color w:val="000000"/>
          <w:lang w:eastAsia="es-CO"/>
        </w:rPr>
      </w:pPr>
    </w:p>
    <w:p w14:paraId="68D8D042" w14:textId="77777777" w:rsidR="00FC79C1" w:rsidRPr="009342F9" w:rsidRDefault="00FC79C1" w:rsidP="004E2147">
      <w:pPr>
        <w:spacing w:after="0" w:line="240" w:lineRule="auto"/>
        <w:jc w:val="center"/>
        <w:rPr>
          <w:rFonts w:ascii="Arial" w:eastAsia="Times New Roman" w:hAnsi="Arial" w:cs="Arial"/>
          <w:b/>
          <w:bCs/>
          <w:color w:val="000000"/>
          <w:lang w:eastAsia="es-CO"/>
        </w:rPr>
      </w:pPr>
      <w:bookmarkStart w:id="1860" w:name="ver_30110733"/>
      <w:bookmarkEnd w:id="1860"/>
      <w:r w:rsidRPr="009342F9">
        <w:rPr>
          <w:rFonts w:ascii="Arial" w:eastAsia="Times New Roman" w:hAnsi="Arial" w:cs="Arial"/>
          <w:b/>
          <w:bCs/>
          <w:color w:val="000000"/>
          <w:lang w:eastAsia="es-CO"/>
        </w:rPr>
        <w:t>SECCIÓN 3</w:t>
      </w:r>
    </w:p>
    <w:p w14:paraId="60BA54C8" w14:textId="77777777" w:rsidR="00FC79C1" w:rsidRPr="009342F9" w:rsidRDefault="00FC79C1" w:rsidP="004E2147">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FORMALIZACIÓN DE LOS RECICLADORES DE OFICIO</w:t>
      </w:r>
    </w:p>
    <w:p w14:paraId="67537091"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861" w:name="ver_30110734"/>
      <w:bookmarkEnd w:id="1861"/>
    </w:p>
    <w:p w14:paraId="07126ACF" w14:textId="07C2D268"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2.3.2.5.3.1.</w:t>
      </w:r>
      <w:r w:rsidR="00FC5DB8">
        <w:rPr>
          <w:rFonts w:ascii="Arial" w:eastAsia="Times New Roman" w:hAnsi="Arial" w:cs="Arial"/>
          <w:color w:val="000000"/>
          <w:lang w:eastAsia="es-CO"/>
        </w:rPr>
        <w:t xml:space="preserve"> </w:t>
      </w:r>
      <w:r w:rsidRPr="009342F9">
        <w:rPr>
          <w:rFonts w:ascii="Arial" w:eastAsia="Times New Roman" w:hAnsi="Arial" w:cs="Arial"/>
          <w:color w:val="000000"/>
          <w:lang w:eastAsia="es-CO"/>
        </w:rPr>
        <w:t>Progresividad para la formalización. Las organizaciones de recicladores de oficio que estén en proceso de formalización como personas prestadoras de la actividad de aprovechamiento contarán con un término de cinco (5) años para efectos de cumplir de manera progresiva con las obligaciones administrativas, comerciales, financieras y técnicas definidas en el presente capítulo, en los términos que señale el Ministerio de Vivienda, Ciudad y Territorio.  </w:t>
      </w:r>
    </w:p>
    <w:p w14:paraId="2D5D4006" w14:textId="2E59E278"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862" w:name="ver_30110735"/>
      <w:bookmarkEnd w:id="1862"/>
    </w:p>
    <w:p w14:paraId="6D6DE08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2.3.2.5.3.2. Fases para la formalización progresiva de los recicladores de oficio. El proceso de formalización de las organizaciones de recicladores de oficio se adelantará de acuerdo con las siguientes fases:  </w:t>
      </w:r>
    </w:p>
    <w:p w14:paraId="2B4C47C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tbl>
      <w:tblPr>
        <w:tblW w:w="10027"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27"/>
        <w:gridCol w:w="2065"/>
        <w:gridCol w:w="7235"/>
      </w:tblGrid>
      <w:tr w:rsidR="00FC79C1" w:rsidRPr="009342F9" w14:paraId="7B6E8155" w14:textId="77777777" w:rsidTr="004E2147">
        <w:trPr>
          <w:trHeight w:val="105"/>
          <w:tblCellSpacing w:w="0" w:type="dxa"/>
          <w:jc w:val="center"/>
        </w:trPr>
        <w:tc>
          <w:tcPr>
            <w:tcW w:w="102" w:type="dxa"/>
            <w:tcBorders>
              <w:top w:val="outset" w:sz="6" w:space="0" w:color="auto"/>
              <w:left w:val="outset" w:sz="6" w:space="0" w:color="auto"/>
              <w:bottom w:val="outset" w:sz="6" w:space="0" w:color="auto"/>
              <w:right w:val="outset" w:sz="6" w:space="0" w:color="auto"/>
            </w:tcBorders>
            <w:vAlign w:val="center"/>
            <w:hideMark/>
          </w:tcPr>
          <w:p w14:paraId="286B87D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FASE  </w:t>
            </w:r>
          </w:p>
        </w:tc>
        <w:tc>
          <w:tcPr>
            <w:tcW w:w="2120" w:type="dxa"/>
            <w:tcBorders>
              <w:top w:val="outset" w:sz="6" w:space="0" w:color="auto"/>
              <w:left w:val="outset" w:sz="6" w:space="0" w:color="auto"/>
              <w:bottom w:val="outset" w:sz="6" w:space="0" w:color="auto"/>
              <w:right w:val="outset" w:sz="6" w:space="0" w:color="auto"/>
            </w:tcBorders>
            <w:vAlign w:val="center"/>
            <w:hideMark/>
          </w:tcPr>
          <w:p w14:paraId="40484E4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TÓPICO  </w:t>
            </w:r>
          </w:p>
        </w:tc>
        <w:tc>
          <w:tcPr>
            <w:tcW w:w="7805" w:type="dxa"/>
            <w:tcBorders>
              <w:top w:val="outset" w:sz="6" w:space="0" w:color="auto"/>
              <w:left w:val="outset" w:sz="6" w:space="0" w:color="auto"/>
              <w:bottom w:val="outset" w:sz="6" w:space="0" w:color="auto"/>
              <w:right w:val="outset" w:sz="6" w:space="0" w:color="auto"/>
            </w:tcBorders>
            <w:vAlign w:val="center"/>
            <w:hideMark/>
          </w:tcPr>
          <w:p w14:paraId="30EFD29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ASPECTO  </w:t>
            </w:r>
          </w:p>
        </w:tc>
      </w:tr>
      <w:tr w:rsidR="00FC79C1" w:rsidRPr="009342F9" w14:paraId="3D989B2F" w14:textId="77777777" w:rsidTr="004E2147">
        <w:trPr>
          <w:trHeight w:val="105"/>
          <w:tblCellSpacing w:w="0" w:type="dxa"/>
          <w:jc w:val="center"/>
        </w:trPr>
        <w:tc>
          <w:tcPr>
            <w:tcW w:w="102" w:type="dxa"/>
            <w:tcBorders>
              <w:top w:val="outset" w:sz="6" w:space="0" w:color="auto"/>
              <w:left w:val="outset" w:sz="6" w:space="0" w:color="auto"/>
              <w:bottom w:val="outset" w:sz="6" w:space="0" w:color="auto"/>
              <w:right w:val="outset" w:sz="6" w:space="0" w:color="auto"/>
            </w:tcBorders>
            <w:vAlign w:val="center"/>
            <w:hideMark/>
          </w:tcPr>
          <w:p w14:paraId="5964869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Fase 1  </w:t>
            </w:r>
          </w:p>
        </w:tc>
        <w:tc>
          <w:tcPr>
            <w:tcW w:w="2120" w:type="dxa"/>
            <w:tcBorders>
              <w:top w:val="outset" w:sz="6" w:space="0" w:color="auto"/>
              <w:left w:val="outset" w:sz="6" w:space="0" w:color="auto"/>
              <w:bottom w:val="outset" w:sz="6" w:space="0" w:color="auto"/>
              <w:right w:val="outset" w:sz="6" w:space="0" w:color="auto"/>
            </w:tcBorders>
            <w:vAlign w:val="center"/>
            <w:hideMark/>
          </w:tcPr>
          <w:p w14:paraId="008C8B0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Registro  </w:t>
            </w:r>
          </w:p>
        </w:tc>
        <w:tc>
          <w:tcPr>
            <w:tcW w:w="7805" w:type="dxa"/>
            <w:tcBorders>
              <w:top w:val="outset" w:sz="6" w:space="0" w:color="auto"/>
              <w:left w:val="outset" w:sz="6" w:space="0" w:color="auto"/>
              <w:bottom w:val="outset" w:sz="6" w:space="0" w:color="auto"/>
              <w:right w:val="outset" w:sz="6" w:space="0" w:color="auto"/>
            </w:tcBorders>
            <w:vAlign w:val="center"/>
            <w:hideMark/>
          </w:tcPr>
          <w:p w14:paraId="2ABD5CA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Registro Único de Prestadores (RUP)  </w:t>
            </w:r>
          </w:p>
        </w:tc>
      </w:tr>
      <w:tr w:rsidR="00FC79C1" w:rsidRPr="009342F9" w14:paraId="64854E74" w14:textId="77777777" w:rsidTr="004E2147">
        <w:trPr>
          <w:trHeight w:val="105"/>
          <w:tblCellSpacing w:w="0" w:type="dxa"/>
          <w:jc w:val="center"/>
        </w:trPr>
        <w:tc>
          <w:tcPr>
            <w:tcW w:w="102" w:type="dxa"/>
            <w:vMerge w:val="restart"/>
            <w:tcBorders>
              <w:top w:val="outset" w:sz="6" w:space="0" w:color="auto"/>
              <w:left w:val="outset" w:sz="6" w:space="0" w:color="auto"/>
              <w:bottom w:val="outset" w:sz="6" w:space="0" w:color="auto"/>
              <w:right w:val="outset" w:sz="6" w:space="0" w:color="auto"/>
            </w:tcBorders>
            <w:vAlign w:val="center"/>
            <w:hideMark/>
          </w:tcPr>
          <w:p w14:paraId="22862C9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Fase 2  </w:t>
            </w:r>
          </w:p>
        </w:tc>
        <w:tc>
          <w:tcPr>
            <w:tcW w:w="2120" w:type="dxa"/>
            <w:tcBorders>
              <w:top w:val="outset" w:sz="6" w:space="0" w:color="auto"/>
              <w:left w:val="outset" w:sz="6" w:space="0" w:color="auto"/>
              <w:bottom w:val="outset" w:sz="6" w:space="0" w:color="auto"/>
              <w:right w:val="outset" w:sz="6" w:space="0" w:color="auto"/>
            </w:tcBorders>
            <w:vAlign w:val="center"/>
            <w:hideMark/>
          </w:tcPr>
          <w:p w14:paraId="106A264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Técnico  </w:t>
            </w:r>
          </w:p>
        </w:tc>
        <w:tc>
          <w:tcPr>
            <w:tcW w:w="7805" w:type="dxa"/>
            <w:tcBorders>
              <w:top w:val="outset" w:sz="6" w:space="0" w:color="auto"/>
              <w:left w:val="outset" w:sz="6" w:space="0" w:color="auto"/>
              <w:bottom w:val="outset" w:sz="6" w:space="0" w:color="auto"/>
              <w:right w:val="outset" w:sz="6" w:space="0" w:color="auto"/>
            </w:tcBorders>
            <w:vAlign w:val="center"/>
            <w:hideMark/>
          </w:tcPr>
          <w:p w14:paraId="534A4D5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Definir el área de prestación  </w:t>
            </w:r>
          </w:p>
        </w:tc>
      </w:tr>
      <w:tr w:rsidR="00FC79C1" w:rsidRPr="009342F9" w14:paraId="73F4E998" w14:textId="77777777" w:rsidTr="004E2147">
        <w:trPr>
          <w:trHeight w:val="105"/>
          <w:tblCellSpacing w:w="0" w:type="dxa"/>
          <w:jc w:val="center"/>
        </w:trPr>
        <w:tc>
          <w:tcPr>
            <w:tcW w:w="102" w:type="dxa"/>
            <w:vMerge/>
            <w:tcBorders>
              <w:top w:val="outset" w:sz="6" w:space="0" w:color="auto"/>
              <w:left w:val="outset" w:sz="6" w:space="0" w:color="auto"/>
              <w:bottom w:val="outset" w:sz="6" w:space="0" w:color="auto"/>
              <w:right w:val="outset" w:sz="6" w:space="0" w:color="auto"/>
            </w:tcBorders>
            <w:vAlign w:val="center"/>
            <w:hideMark/>
          </w:tcPr>
          <w:p w14:paraId="691FA828" w14:textId="77777777" w:rsidR="00FC79C1" w:rsidRPr="009342F9" w:rsidRDefault="00FC79C1" w:rsidP="00FC79C1">
            <w:pPr>
              <w:spacing w:after="0" w:line="240" w:lineRule="auto"/>
              <w:jc w:val="both"/>
              <w:rPr>
                <w:rFonts w:ascii="Arial" w:eastAsia="Times New Roman" w:hAnsi="Arial" w:cs="Arial"/>
                <w:color w:val="000000"/>
                <w:lang w:eastAsia="es-CO"/>
              </w:rPr>
            </w:pPr>
          </w:p>
        </w:tc>
        <w:tc>
          <w:tcPr>
            <w:tcW w:w="2120" w:type="dxa"/>
            <w:tcBorders>
              <w:top w:val="outset" w:sz="6" w:space="0" w:color="auto"/>
              <w:left w:val="outset" w:sz="6" w:space="0" w:color="auto"/>
              <w:bottom w:val="outset" w:sz="6" w:space="0" w:color="auto"/>
              <w:right w:val="outset" w:sz="6" w:space="0" w:color="auto"/>
            </w:tcBorders>
            <w:vAlign w:val="center"/>
            <w:hideMark/>
          </w:tcPr>
          <w:p w14:paraId="7E82F59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Técnico  </w:t>
            </w:r>
          </w:p>
        </w:tc>
        <w:tc>
          <w:tcPr>
            <w:tcW w:w="7805" w:type="dxa"/>
            <w:tcBorders>
              <w:top w:val="outset" w:sz="6" w:space="0" w:color="auto"/>
              <w:left w:val="outset" w:sz="6" w:space="0" w:color="auto"/>
              <w:bottom w:val="outset" w:sz="6" w:space="0" w:color="auto"/>
              <w:right w:val="outset" w:sz="6" w:space="0" w:color="auto"/>
            </w:tcBorders>
            <w:vAlign w:val="center"/>
            <w:hideMark/>
          </w:tcPr>
          <w:p w14:paraId="0113E99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Registro toneladas transportadas  </w:t>
            </w:r>
          </w:p>
        </w:tc>
      </w:tr>
      <w:tr w:rsidR="00FC79C1" w:rsidRPr="009342F9" w14:paraId="0F3017C5" w14:textId="77777777" w:rsidTr="004E2147">
        <w:trPr>
          <w:trHeight w:val="105"/>
          <w:tblCellSpacing w:w="0" w:type="dxa"/>
          <w:jc w:val="center"/>
        </w:trPr>
        <w:tc>
          <w:tcPr>
            <w:tcW w:w="102" w:type="dxa"/>
            <w:vMerge/>
            <w:tcBorders>
              <w:top w:val="outset" w:sz="6" w:space="0" w:color="auto"/>
              <w:left w:val="outset" w:sz="6" w:space="0" w:color="auto"/>
              <w:bottom w:val="outset" w:sz="6" w:space="0" w:color="auto"/>
              <w:right w:val="outset" w:sz="6" w:space="0" w:color="auto"/>
            </w:tcBorders>
            <w:vAlign w:val="center"/>
            <w:hideMark/>
          </w:tcPr>
          <w:p w14:paraId="15B25EB7" w14:textId="77777777" w:rsidR="00FC79C1" w:rsidRPr="009342F9" w:rsidRDefault="00FC79C1" w:rsidP="00FC79C1">
            <w:pPr>
              <w:spacing w:after="0" w:line="240" w:lineRule="auto"/>
              <w:jc w:val="both"/>
              <w:rPr>
                <w:rFonts w:ascii="Arial" w:eastAsia="Times New Roman" w:hAnsi="Arial" w:cs="Arial"/>
                <w:color w:val="000000"/>
                <w:lang w:eastAsia="es-CO"/>
              </w:rPr>
            </w:pPr>
          </w:p>
        </w:tc>
        <w:tc>
          <w:tcPr>
            <w:tcW w:w="2120" w:type="dxa"/>
            <w:tcBorders>
              <w:top w:val="outset" w:sz="6" w:space="0" w:color="auto"/>
              <w:left w:val="outset" w:sz="6" w:space="0" w:color="auto"/>
              <w:bottom w:val="outset" w:sz="6" w:space="0" w:color="auto"/>
              <w:right w:val="outset" w:sz="6" w:space="0" w:color="auto"/>
            </w:tcBorders>
            <w:vAlign w:val="center"/>
            <w:hideMark/>
          </w:tcPr>
          <w:p w14:paraId="76E8401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Técnico  </w:t>
            </w:r>
          </w:p>
        </w:tc>
        <w:tc>
          <w:tcPr>
            <w:tcW w:w="7805" w:type="dxa"/>
            <w:tcBorders>
              <w:top w:val="outset" w:sz="6" w:space="0" w:color="auto"/>
              <w:left w:val="outset" w:sz="6" w:space="0" w:color="auto"/>
              <w:bottom w:val="outset" w:sz="6" w:space="0" w:color="auto"/>
              <w:right w:val="outset" w:sz="6" w:space="0" w:color="auto"/>
            </w:tcBorders>
            <w:vAlign w:val="center"/>
            <w:hideMark/>
          </w:tcPr>
          <w:p w14:paraId="46F063C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Registro toneladas área de prestación  </w:t>
            </w:r>
          </w:p>
        </w:tc>
      </w:tr>
      <w:tr w:rsidR="00FC79C1" w:rsidRPr="009342F9" w14:paraId="154F6120" w14:textId="77777777" w:rsidTr="004E2147">
        <w:trPr>
          <w:trHeight w:val="105"/>
          <w:tblCellSpacing w:w="0" w:type="dxa"/>
          <w:jc w:val="center"/>
        </w:trPr>
        <w:tc>
          <w:tcPr>
            <w:tcW w:w="102" w:type="dxa"/>
            <w:vMerge/>
            <w:tcBorders>
              <w:top w:val="outset" w:sz="6" w:space="0" w:color="auto"/>
              <w:left w:val="outset" w:sz="6" w:space="0" w:color="auto"/>
              <w:bottom w:val="outset" w:sz="6" w:space="0" w:color="auto"/>
              <w:right w:val="outset" w:sz="6" w:space="0" w:color="auto"/>
            </w:tcBorders>
            <w:vAlign w:val="center"/>
            <w:hideMark/>
          </w:tcPr>
          <w:p w14:paraId="430C9192" w14:textId="77777777" w:rsidR="00FC79C1" w:rsidRPr="009342F9" w:rsidRDefault="00FC79C1" w:rsidP="00FC79C1">
            <w:pPr>
              <w:spacing w:after="0" w:line="240" w:lineRule="auto"/>
              <w:jc w:val="both"/>
              <w:rPr>
                <w:rFonts w:ascii="Arial" w:eastAsia="Times New Roman" w:hAnsi="Arial" w:cs="Arial"/>
                <w:color w:val="000000"/>
                <w:lang w:eastAsia="es-CO"/>
              </w:rPr>
            </w:pPr>
          </w:p>
        </w:tc>
        <w:tc>
          <w:tcPr>
            <w:tcW w:w="2120" w:type="dxa"/>
            <w:tcBorders>
              <w:top w:val="outset" w:sz="6" w:space="0" w:color="auto"/>
              <w:left w:val="outset" w:sz="6" w:space="0" w:color="auto"/>
              <w:bottom w:val="outset" w:sz="6" w:space="0" w:color="auto"/>
              <w:right w:val="outset" w:sz="6" w:space="0" w:color="auto"/>
            </w:tcBorders>
            <w:vAlign w:val="center"/>
            <w:hideMark/>
          </w:tcPr>
          <w:p w14:paraId="54395FE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Comercial  </w:t>
            </w:r>
          </w:p>
        </w:tc>
        <w:tc>
          <w:tcPr>
            <w:tcW w:w="7805" w:type="dxa"/>
            <w:tcBorders>
              <w:top w:val="outset" w:sz="6" w:space="0" w:color="auto"/>
              <w:left w:val="outset" w:sz="6" w:space="0" w:color="auto"/>
              <w:bottom w:val="outset" w:sz="6" w:space="0" w:color="auto"/>
              <w:right w:val="outset" w:sz="6" w:space="0" w:color="auto"/>
            </w:tcBorders>
            <w:vAlign w:val="center"/>
            <w:hideMark/>
          </w:tcPr>
          <w:p w14:paraId="3822421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Registro toneladas aprovechadas  </w:t>
            </w:r>
          </w:p>
        </w:tc>
      </w:tr>
      <w:tr w:rsidR="00FC79C1" w:rsidRPr="009342F9" w14:paraId="57226CD8" w14:textId="77777777" w:rsidTr="004E2147">
        <w:trPr>
          <w:trHeight w:val="105"/>
          <w:tblCellSpacing w:w="0" w:type="dxa"/>
          <w:jc w:val="center"/>
        </w:trPr>
        <w:tc>
          <w:tcPr>
            <w:tcW w:w="102" w:type="dxa"/>
            <w:vMerge/>
            <w:tcBorders>
              <w:top w:val="outset" w:sz="6" w:space="0" w:color="auto"/>
              <w:left w:val="outset" w:sz="6" w:space="0" w:color="auto"/>
              <w:bottom w:val="outset" w:sz="6" w:space="0" w:color="auto"/>
              <w:right w:val="outset" w:sz="6" w:space="0" w:color="auto"/>
            </w:tcBorders>
            <w:vAlign w:val="center"/>
            <w:hideMark/>
          </w:tcPr>
          <w:p w14:paraId="214DD581" w14:textId="77777777" w:rsidR="00FC79C1" w:rsidRPr="009342F9" w:rsidRDefault="00FC79C1" w:rsidP="00FC79C1">
            <w:pPr>
              <w:spacing w:after="0" w:line="240" w:lineRule="auto"/>
              <w:jc w:val="both"/>
              <w:rPr>
                <w:rFonts w:ascii="Arial" w:eastAsia="Times New Roman" w:hAnsi="Arial" w:cs="Arial"/>
                <w:color w:val="000000"/>
                <w:lang w:eastAsia="es-CO"/>
              </w:rPr>
            </w:pPr>
          </w:p>
        </w:tc>
        <w:tc>
          <w:tcPr>
            <w:tcW w:w="2120" w:type="dxa"/>
            <w:tcBorders>
              <w:top w:val="outset" w:sz="6" w:space="0" w:color="auto"/>
              <w:left w:val="outset" w:sz="6" w:space="0" w:color="auto"/>
              <w:bottom w:val="outset" w:sz="6" w:space="0" w:color="auto"/>
              <w:right w:val="outset" w:sz="6" w:space="0" w:color="auto"/>
            </w:tcBorders>
            <w:vAlign w:val="center"/>
            <w:hideMark/>
          </w:tcPr>
          <w:p w14:paraId="4204774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Comercial  </w:t>
            </w:r>
          </w:p>
        </w:tc>
        <w:tc>
          <w:tcPr>
            <w:tcW w:w="7805" w:type="dxa"/>
            <w:tcBorders>
              <w:top w:val="outset" w:sz="6" w:space="0" w:color="auto"/>
              <w:left w:val="outset" w:sz="6" w:space="0" w:color="auto"/>
              <w:bottom w:val="outset" w:sz="6" w:space="0" w:color="auto"/>
              <w:right w:val="outset" w:sz="6" w:space="0" w:color="auto"/>
            </w:tcBorders>
            <w:vAlign w:val="center"/>
            <w:hideMark/>
          </w:tcPr>
          <w:p w14:paraId="4060A83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Registro factura de comercialización de material aprovechable  </w:t>
            </w:r>
          </w:p>
        </w:tc>
      </w:tr>
      <w:tr w:rsidR="00FC79C1" w:rsidRPr="009342F9" w14:paraId="2F1E9E79" w14:textId="77777777" w:rsidTr="004E2147">
        <w:trPr>
          <w:trHeight w:val="105"/>
          <w:tblCellSpacing w:w="0" w:type="dxa"/>
          <w:jc w:val="center"/>
        </w:trPr>
        <w:tc>
          <w:tcPr>
            <w:tcW w:w="102" w:type="dxa"/>
            <w:vMerge/>
            <w:tcBorders>
              <w:top w:val="outset" w:sz="6" w:space="0" w:color="auto"/>
              <w:left w:val="outset" w:sz="6" w:space="0" w:color="auto"/>
              <w:bottom w:val="outset" w:sz="6" w:space="0" w:color="auto"/>
              <w:right w:val="outset" w:sz="6" w:space="0" w:color="auto"/>
            </w:tcBorders>
            <w:vAlign w:val="center"/>
            <w:hideMark/>
          </w:tcPr>
          <w:p w14:paraId="5EB68803" w14:textId="77777777" w:rsidR="00FC79C1" w:rsidRPr="009342F9" w:rsidRDefault="00FC79C1" w:rsidP="00FC79C1">
            <w:pPr>
              <w:spacing w:after="0" w:line="240" w:lineRule="auto"/>
              <w:jc w:val="both"/>
              <w:rPr>
                <w:rFonts w:ascii="Arial" w:eastAsia="Times New Roman" w:hAnsi="Arial" w:cs="Arial"/>
                <w:color w:val="000000"/>
                <w:lang w:eastAsia="es-CO"/>
              </w:rPr>
            </w:pPr>
          </w:p>
        </w:tc>
        <w:tc>
          <w:tcPr>
            <w:tcW w:w="2120" w:type="dxa"/>
            <w:tcBorders>
              <w:top w:val="outset" w:sz="6" w:space="0" w:color="auto"/>
              <w:left w:val="outset" w:sz="6" w:space="0" w:color="auto"/>
              <w:bottom w:val="outset" w:sz="6" w:space="0" w:color="auto"/>
              <w:right w:val="outset" w:sz="6" w:space="0" w:color="auto"/>
            </w:tcBorders>
            <w:vAlign w:val="center"/>
            <w:hideMark/>
          </w:tcPr>
          <w:p w14:paraId="1B8CCA5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Técnico  </w:t>
            </w:r>
          </w:p>
        </w:tc>
        <w:tc>
          <w:tcPr>
            <w:tcW w:w="7805" w:type="dxa"/>
            <w:tcBorders>
              <w:top w:val="outset" w:sz="6" w:space="0" w:color="auto"/>
              <w:left w:val="outset" w:sz="6" w:space="0" w:color="auto"/>
              <w:bottom w:val="outset" w:sz="6" w:space="0" w:color="auto"/>
              <w:right w:val="outset" w:sz="6" w:space="0" w:color="auto"/>
            </w:tcBorders>
            <w:vAlign w:val="center"/>
            <w:hideMark/>
          </w:tcPr>
          <w:p w14:paraId="033BFB2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Registro de estaciones de clasificación y aprovechamiento (ECA)  </w:t>
            </w:r>
          </w:p>
        </w:tc>
      </w:tr>
      <w:tr w:rsidR="00FC79C1" w:rsidRPr="009342F9" w14:paraId="16D7BC19" w14:textId="77777777" w:rsidTr="004E2147">
        <w:trPr>
          <w:trHeight w:val="105"/>
          <w:tblCellSpacing w:w="0" w:type="dxa"/>
          <w:jc w:val="center"/>
        </w:trPr>
        <w:tc>
          <w:tcPr>
            <w:tcW w:w="102" w:type="dxa"/>
            <w:vMerge/>
            <w:tcBorders>
              <w:top w:val="outset" w:sz="6" w:space="0" w:color="auto"/>
              <w:left w:val="outset" w:sz="6" w:space="0" w:color="auto"/>
              <w:bottom w:val="outset" w:sz="6" w:space="0" w:color="auto"/>
              <w:right w:val="outset" w:sz="6" w:space="0" w:color="auto"/>
            </w:tcBorders>
            <w:vAlign w:val="center"/>
            <w:hideMark/>
          </w:tcPr>
          <w:p w14:paraId="44B24E3E" w14:textId="77777777" w:rsidR="00FC79C1" w:rsidRPr="009342F9" w:rsidRDefault="00FC79C1" w:rsidP="00FC79C1">
            <w:pPr>
              <w:spacing w:after="0" w:line="240" w:lineRule="auto"/>
              <w:jc w:val="both"/>
              <w:rPr>
                <w:rFonts w:ascii="Arial" w:eastAsia="Times New Roman" w:hAnsi="Arial" w:cs="Arial"/>
                <w:color w:val="000000"/>
                <w:lang w:eastAsia="es-CO"/>
              </w:rPr>
            </w:pPr>
          </w:p>
        </w:tc>
        <w:tc>
          <w:tcPr>
            <w:tcW w:w="2120" w:type="dxa"/>
            <w:tcBorders>
              <w:top w:val="outset" w:sz="6" w:space="0" w:color="auto"/>
              <w:left w:val="outset" w:sz="6" w:space="0" w:color="auto"/>
              <w:bottom w:val="outset" w:sz="6" w:space="0" w:color="auto"/>
              <w:right w:val="outset" w:sz="6" w:space="0" w:color="auto"/>
            </w:tcBorders>
            <w:vAlign w:val="center"/>
            <w:hideMark/>
          </w:tcPr>
          <w:p w14:paraId="0770798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Técnico  </w:t>
            </w:r>
          </w:p>
        </w:tc>
        <w:tc>
          <w:tcPr>
            <w:tcW w:w="7805" w:type="dxa"/>
            <w:tcBorders>
              <w:top w:val="outset" w:sz="6" w:space="0" w:color="auto"/>
              <w:left w:val="outset" w:sz="6" w:space="0" w:color="auto"/>
              <w:bottom w:val="outset" w:sz="6" w:space="0" w:color="auto"/>
              <w:right w:val="outset" w:sz="6" w:space="0" w:color="auto"/>
            </w:tcBorders>
            <w:vAlign w:val="center"/>
            <w:hideMark/>
          </w:tcPr>
          <w:p w14:paraId="00F374E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Registro vehículos para el transporte  </w:t>
            </w:r>
          </w:p>
        </w:tc>
      </w:tr>
      <w:tr w:rsidR="00FC79C1" w:rsidRPr="009342F9" w14:paraId="4CE137C8" w14:textId="77777777" w:rsidTr="004E2147">
        <w:trPr>
          <w:trHeight w:val="105"/>
          <w:tblCellSpacing w:w="0" w:type="dxa"/>
          <w:jc w:val="center"/>
        </w:trPr>
        <w:tc>
          <w:tcPr>
            <w:tcW w:w="102" w:type="dxa"/>
            <w:tcBorders>
              <w:top w:val="outset" w:sz="6" w:space="0" w:color="auto"/>
              <w:left w:val="outset" w:sz="6" w:space="0" w:color="auto"/>
              <w:bottom w:val="outset" w:sz="6" w:space="0" w:color="auto"/>
              <w:right w:val="outset" w:sz="6" w:space="0" w:color="auto"/>
            </w:tcBorders>
            <w:vAlign w:val="center"/>
            <w:hideMark/>
          </w:tcPr>
          <w:p w14:paraId="6D57D52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Fase 3  </w:t>
            </w:r>
          </w:p>
        </w:tc>
        <w:tc>
          <w:tcPr>
            <w:tcW w:w="2120" w:type="dxa"/>
            <w:tcBorders>
              <w:top w:val="outset" w:sz="6" w:space="0" w:color="auto"/>
              <w:left w:val="outset" w:sz="6" w:space="0" w:color="auto"/>
              <w:bottom w:val="outset" w:sz="6" w:space="0" w:color="auto"/>
              <w:right w:val="outset" w:sz="6" w:space="0" w:color="auto"/>
            </w:tcBorders>
            <w:vAlign w:val="center"/>
            <w:hideMark/>
          </w:tcPr>
          <w:p w14:paraId="5D9A6A1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Comercial  </w:t>
            </w:r>
          </w:p>
        </w:tc>
        <w:tc>
          <w:tcPr>
            <w:tcW w:w="7805" w:type="dxa"/>
            <w:tcBorders>
              <w:top w:val="outset" w:sz="6" w:space="0" w:color="auto"/>
              <w:left w:val="outset" w:sz="6" w:space="0" w:color="auto"/>
              <w:bottom w:val="outset" w:sz="6" w:space="0" w:color="auto"/>
              <w:right w:val="outset" w:sz="6" w:space="0" w:color="auto"/>
            </w:tcBorders>
            <w:vAlign w:val="center"/>
            <w:hideMark/>
          </w:tcPr>
          <w:p w14:paraId="07E3E55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Condiciones uniformes del servicio público de aseo (CCU)  </w:t>
            </w:r>
          </w:p>
        </w:tc>
      </w:tr>
      <w:tr w:rsidR="00FC79C1" w:rsidRPr="009342F9" w14:paraId="12134827" w14:textId="77777777" w:rsidTr="004E2147">
        <w:trPr>
          <w:trHeight w:val="105"/>
          <w:tblCellSpacing w:w="0" w:type="dxa"/>
          <w:jc w:val="center"/>
        </w:trPr>
        <w:tc>
          <w:tcPr>
            <w:tcW w:w="102" w:type="dxa"/>
            <w:vMerge w:val="restart"/>
            <w:tcBorders>
              <w:top w:val="outset" w:sz="6" w:space="0" w:color="auto"/>
              <w:left w:val="outset" w:sz="6" w:space="0" w:color="auto"/>
              <w:bottom w:val="outset" w:sz="6" w:space="0" w:color="auto"/>
              <w:right w:val="outset" w:sz="6" w:space="0" w:color="auto"/>
            </w:tcBorders>
            <w:vAlign w:val="center"/>
            <w:hideMark/>
          </w:tcPr>
          <w:p w14:paraId="7725C7F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Fase 4  </w:t>
            </w:r>
          </w:p>
        </w:tc>
        <w:tc>
          <w:tcPr>
            <w:tcW w:w="2120" w:type="dxa"/>
            <w:tcBorders>
              <w:top w:val="outset" w:sz="6" w:space="0" w:color="auto"/>
              <w:left w:val="outset" w:sz="6" w:space="0" w:color="auto"/>
              <w:bottom w:val="outset" w:sz="6" w:space="0" w:color="auto"/>
              <w:right w:val="outset" w:sz="6" w:space="0" w:color="auto"/>
            </w:tcBorders>
            <w:vAlign w:val="center"/>
            <w:hideMark/>
          </w:tcPr>
          <w:p w14:paraId="7F749C6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Comercial  </w:t>
            </w:r>
          </w:p>
        </w:tc>
        <w:tc>
          <w:tcPr>
            <w:tcW w:w="7805" w:type="dxa"/>
            <w:tcBorders>
              <w:top w:val="outset" w:sz="6" w:space="0" w:color="auto"/>
              <w:left w:val="outset" w:sz="6" w:space="0" w:color="auto"/>
              <w:bottom w:val="outset" w:sz="6" w:space="0" w:color="auto"/>
              <w:right w:val="outset" w:sz="6" w:space="0" w:color="auto"/>
            </w:tcBorders>
            <w:vAlign w:val="center"/>
            <w:hideMark/>
          </w:tcPr>
          <w:p w14:paraId="37A00CA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Portafolio de servicios  </w:t>
            </w:r>
          </w:p>
        </w:tc>
      </w:tr>
      <w:tr w:rsidR="00FC79C1" w:rsidRPr="009342F9" w14:paraId="350D14E2" w14:textId="77777777" w:rsidTr="004E2147">
        <w:trPr>
          <w:trHeight w:val="105"/>
          <w:tblCellSpacing w:w="0" w:type="dxa"/>
          <w:jc w:val="center"/>
        </w:trPr>
        <w:tc>
          <w:tcPr>
            <w:tcW w:w="102" w:type="dxa"/>
            <w:vMerge/>
            <w:tcBorders>
              <w:top w:val="outset" w:sz="6" w:space="0" w:color="auto"/>
              <w:left w:val="outset" w:sz="6" w:space="0" w:color="auto"/>
              <w:bottom w:val="outset" w:sz="6" w:space="0" w:color="auto"/>
              <w:right w:val="outset" w:sz="6" w:space="0" w:color="auto"/>
            </w:tcBorders>
            <w:vAlign w:val="center"/>
            <w:hideMark/>
          </w:tcPr>
          <w:p w14:paraId="08C3CAF3" w14:textId="77777777" w:rsidR="00FC79C1" w:rsidRPr="009342F9" w:rsidRDefault="00FC79C1" w:rsidP="00FC79C1">
            <w:pPr>
              <w:spacing w:after="0" w:line="240" w:lineRule="auto"/>
              <w:jc w:val="both"/>
              <w:rPr>
                <w:rFonts w:ascii="Arial" w:eastAsia="Times New Roman" w:hAnsi="Arial" w:cs="Arial"/>
                <w:color w:val="000000"/>
                <w:lang w:eastAsia="es-CO"/>
              </w:rPr>
            </w:pPr>
          </w:p>
        </w:tc>
        <w:tc>
          <w:tcPr>
            <w:tcW w:w="2120" w:type="dxa"/>
            <w:tcBorders>
              <w:top w:val="outset" w:sz="6" w:space="0" w:color="auto"/>
              <w:left w:val="outset" w:sz="6" w:space="0" w:color="auto"/>
              <w:bottom w:val="outset" w:sz="6" w:space="0" w:color="auto"/>
              <w:right w:val="outset" w:sz="6" w:space="0" w:color="auto"/>
            </w:tcBorders>
            <w:vAlign w:val="center"/>
            <w:hideMark/>
          </w:tcPr>
          <w:p w14:paraId="5A4D8A6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Administrativo  </w:t>
            </w:r>
          </w:p>
        </w:tc>
        <w:tc>
          <w:tcPr>
            <w:tcW w:w="7805" w:type="dxa"/>
            <w:tcBorders>
              <w:top w:val="outset" w:sz="6" w:space="0" w:color="auto"/>
              <w:left w:val="outset" w:sz="6" w:space="0" w:color="auto"/>
              <w:bottom w:val="outset" w:sz="6" w:space="0" w:color="auto"/>
              <w:right w:val="outset" w:sz="6" w:space="0" w:color="auto"/>
            </w:tcBorders>
            <w:vAlign w:val="center"/>
            <w:hideMark/>
          </w:tcPr>
          <w:p w14:paraId="6BC30E6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Plan de fortalecimiento empresarial  </w:t>
            </w:r>
          </w:p>
        </w:tc>
      </w:tr>
      <w:tr w:rsidR="00FC79C1" w:rsidRPr="009342F9" w14:paraId="6945383A" w14:textId="77777777" w:rsidTr="004E2147">
        <w:trPr>
          <w:trHeight w:val="105"/>
          <w:tblCellSpacing w:w="0" w:type="dxa"/>
          <w:jc w:val="center"/>
        </w:trPr>
        <w:tc>
          <w:tcPr>
            <w:tcW w:w="102" w:type="dxa"/>
            <w:vMerge/>
            <w:tcBorders>
              <w:top w:val="outset" w:sz="6" w:space="0" w:color="auto"/>
              <w:left w:val="outset" w:sz="6" w:space="0" w:color="auto"/>
              <w:bottom w:val="outset" w:sz="6" w:space="0" w:color="auto"/>
              <w:right w:val="outset" w:sz="6" w:space="0" w:color="auto"/>
            </w:tcBorders>
            <w:vAlign w:val="center"/>
            <w:hideMark/>
          </w:tcPr>
          <w:p w14:paraId="51E6FF3D" w14:textId="77777777" w:rsidR="00FC79C1" w:rsidRPr="009342F9" w:rsidRDefault="00FC79C1" w:rsidP="00FC79C1">
            <w:pPr>
              <w:spacing w:after="0" w:line="240" w:lineRule="auto"/>
              <w:jc w:val="both"/>
              <w:rPr>
                <w:rFonts w:ascii="Arial" w:eastAsia="Times New Roman" w:hAnsi="Arial" w:cs="Arial"/>
                <w:color w:val="000000"/>
                <w:lang w:eastAsia="es-CO"/>
              </w:rPr>
            </w:pPr>
          </w:p>
        </w:tc>
        <w:tc>
          <w:tcPr>
            <w:tcW w:w="2120" w:type="dxa"/>
            <w:tcBorders>
              <w:top w:val="outset" w:sz="6" w:space="0" w:color="auto"/>
              <w:left w:val="outset" w:sz="6" w:space="0" w:color="auto"/>
              <w:bottom w:val="outset" w:sz="6" w:space="0" w:color="auto"/>
              <w:right w:val="outset" w:sz="6" w:space="0" w:color="auto"/>
            </w:tcBorders>
            <w:vAlign w:val="center"/>
            <w:hideMark/>
          </w:tcPr>
          <w:p w14:paraId="25DA988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Comercial  </w:t>
            </w:r>
          </w:p>
        </w:tc>
        <w:tc>
          <w:tcPr>
            <w:tcW w:w="7805" w:type="dxa"/>
            <w:tcBorders>
              <w:top w:val="outset" w:sz="6" w:space="0" w:color="auto"/>
              <w:left w:val="outset" w:sz="6" w:space="0" w:color="auto"/>
              <w:bottom w:val="outset" w:sz="6" w:space="0" w:color="auto"/>
              <w:right w:val="outset" w:sz="6" w:space="0" w:color="auto"/>
            </w:tcBorders>
            <w:vAlign w:val="center"/>
            <w:hideMark/>
          </w:tcPr>
          <w:p w14:paraId="4E1A7D4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Base de datos de usuarios  </w:t>
            </w:r>
          </w:p>
        </w:tc>
      </w:tr>
      <w:tr w:rsidR="00FC79C1" w:rsidRPr="009342F9" w14:paraId="51D3EFCB" w14:textId="77777777" w:rsidTr="004E2147">
        <w:trPr>
          <w:trHeight w:val="105"/>
          <w:tblCellSpacing w:w="0" w:type="dxa"/>
          <w:jc w:val="center"/>
        </w:trPr>
        <w:tc>
          <w:tcPr>
            <w:tcW w:w="102" w:type="dxa"/>
            <w:vMerge/>
            <w:tcBorders>
              <w:top w:val="outset" w:sz="6" w:space="0" w:color="auto"/>
              <w:left w:val="outset" w:sz="6" w:space="0" w:color="auto"/>
              <w:bottom w:val="outset" w:sz="6" w:space="0" w:color="auto"/>
              <w:right w:val="outset" w:sz="6" w:space="0" w:color="auto"/>
            </w:tcBorders>
            <w:vAlign w:val="center"/>
            <w:hideMark/>
          </w:tcPr>
          <w:p w14:paraId="1F8AF9B1" w14:textId="77777777" w:rsidR="00FC79C1" w:rsidRPr="009342F9" w:rsidRDefault="00FC79C1" w:rsidP="00FC79C1">
            <w:pPr>
              <w:spacing w:after="0" w:line="240" w:lineRule="auto"/>
              <w:jc w:val="both"/>
              <w:rPr>
                <w:rFonts w:ascii="Arial" w:eastAsia="Times New Roman" w:hAnsi="Arial" w:cs="Arial"/>
                <w:color w:val="000000"/>
                <w:lang w:eastAsia="es-CO"/>
              </w:rPr>
            </w:pPr>
          </w:p>
        </w:tc>
        <w:tc>
          <w:tcPr>
            <w:tcW w:w="2120" w:type="dxa"/>
            <w:tcBorders>
              <w:top w:val="outset" w:sz="6" w:space="0" w:color="auto"/>
              <w:left w:val="outset" w:sz="6" w:space="0" w:color="auto"/>
              <w:bottom w:val="outset" w:sz="6" w:space="0" w:color="auto"/>
              <w:right w:val="outset" w:sz="6" w:space="0" w:color="auto"/>
            </w:tcBorders>
            <w:vAlign w:val="center"/>
            <w:hideMark/>
          </w:tcPr>
          <w:p w14:paraId="3199AF0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Comercial  </w:t>
            </w:r>
          </w:p>
        </w:tc>
        <w:tc>
          <w:tcPr>
            <w:tcW w:w="7805" w:type="dxa"/>
            <w:tcBorders>
              <w:top w:val="outset" w:sz="6" w:space="0" w:color="auto"/>
              <w:left w:val="outset" w:sz="6" w:space="0" w:color="auto"/>
              <w:bottom w:val="outset" w:sz="6" w:space="0" w:color="auto"/>
              <w:right w:val="outset" w:sz="6" w:space="0" w:color="auto"/>
            </w:tcBorders>
            <w:vAlign w:val="center"/>
            <w:hideMark/>
          </w:tcPr>
          <w:p w14:paraId="6FDB799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Página web  </w:t>
            </w:r>
          </w:p>
        </w:tc>
      </w:tr>
      <w:tr w:rsidR="00FC79C1" w:rsidRPr="009342F9" w14:paraId="34780A38" w14:textId="77777777" w:rsidTr="004E2147">
        <w:trPr>
          <w:trHeight w:val="105"/>
          <w:tblCellSpacing w:w="0" w:type="dxa"/>
          <w:jc w:val="center"/>
        </w:trPr>
        <w:tc>
          <w:tcPr>
            <w:tcW w:w="102" w:type="dxa"/>
            <w:vMerge w:val="restart"/>
            <w:tcBorders>
              <w:top w:val="outset" w:sz="6" w:space="0" w:color="auto"/>
              <w:left w:val="outset" w:sz="6" w:space="0" w:color="auto"/>
              <w:bottom w:val="outset" w:sz="6" w:space="0" w:color="auto"/>
              <w:right w:val="outset" w:sz="6" w:space="0" w:color="auto"/>
            </w:tcBorders>
            <w:vAlign w:val="center"/>
            <w:hideMark/>
          </w:tcPr>
          <w:p w14:paraId="4AA30E1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Fase 5  </w:t>
            </w:r>
          </w:p>
        </w:tc>
        <w:tc>
          <w:tcPr>
            <w:tcW w:w="2120" w:type="dxa"/>
            <w:tcBorders>
              <w:top w:val="outset" w:sz="6" w:space="0" w:color="auto"/>
              <w:left w:val="outset" w:sz="6" w:space="0" w:color="auto"/>
              <w:bottom w:val="outset" w:sz="6" w:space="0" w:color="auto"/>
              <w:right w:val="outset" w:sz="6" w:space="0" w:color="auto"/>
            </w:tcBorders>
            <w:vAlign w:val="center"/>
            <w:hideMark/>
          </w:tcPr>
          <w:p w14:paraId="6C60964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Técnico  </w:t>
            </w:r>
          </w:p>
        </w:tc>
        <w:tc>
          <w:tcPr>
            <w:tcW w:w="7805" w:type="dxa"/>
            <w:tcBorders>
              <w:top w:val="outset" w:sz="6" w:space="0" w:color="auto"/>
              <w:left w:val="outset" w:sz="6" w:space="0" w:color="auto"/>
              <w:bottom w:val="outset" w:sz="6" w:space="0" w:color="auto"/>
              <w:right w:val="outset" w:sz="6" w:space="0" w:color="auto"/>
            </w:tcBorders>
            <w:vAlign w:val="center"/>
            <w:hideMark/>
          </w:tcPr>
          <w:p w14:paraId="5071AFF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Registro de calibración básculas  </w:t>
            </w:r>
          </w:p>
        </w:tc>
      </w:tr>
      <w:tr w:rsidR="00FC79C1" w:rsidRPr="009342F9" w14:paraId="18F8A1B8" w14:textId="77777777" w:rsidTr="004E2147">
        <w:trPr>
          <w:trHeight w:val="105"/>
          <w:tblCellSpacing w:w="0" w:type="dxa"/>
          <w:jc w:val="center"/>
        </w:trPr>
        <w:tc>
          <w:tcPr>
            <w:tcW w:w="102" w:type="dxa"/>
            <w:vMerge/>
            <w:tcBorders>
              <w:top w:val="outset" w:sz="6" w:space="0" w:color="auto"/>
              <w:left w:val="outset" w:sz="6" w:space="0" w:color="auto"/>
              <w:bottom w:val="outset" w:sz="6" w:space="0" w:color="auto"/>
              <w:right w:val="outset" w:sz="6" w:space="0" w:color="auto"/>
            </w:tcBorders>
            <w:vAlign w:val="center"/>
            <w:hideMark/>
          </w:tcPr>
          <w:p w14:paraId="7C2CD35E" w14:textId="77777777" w:rsidR="00FC79C1" w:rsidRPr="009342F9" w:rsidRDefault="00FC79C1" w:rsidP="00FC79C1">
            <w:pPr>
              <w:spacing w:after="0" w:line="240" w:lineRule="auto"/>
              <w:jc w:val="both"/>
              <w:rPr>
                <w:rFonts w:ascii="Arial" w:eastAsia="Times New Roman" w:hAnsi="Arial" w:cs="Arial"/>
                <w:color w:val="000000"/>
                <w:lang w:eastAsia="es-CO"/>
              </w:rPr>
            </w:pPr>
          </w:p>
        </w:tc>
        <w:tc>
          <w:tcPr>
            <w:tcW w:w="2120" w:type="dxa"/>
            <w:tcBorders>
              <w:top w:val="outset" w:sz="6" w:space="0" w:color="auto"/>
              <w:left w:val="outset" w:sz="6" w:space="0" w:color="auto"/>
              <w:bottom w:val="outset" w:sz="6" w:space="0" w:color="auto"/>
              <w:right w:val="outset" w:sz="6" w:space="0" w:color="auto"/>
            </w:tcBorders>
            <w:vAlign w:val="center"/>
            <w:hideMark/>
          </w:tcPr>
          <w:p w14:paraId="5EB5B2D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Técnico  </w:t>
            </w:r>
          </w:p>
        </w:tc>
        <w:tc>
          <w:tcPr>
            <w:tcW w:w="7805" w:type="dxa"/>
            <w:tcBorders>
              <w:top w:val="outset" w:sz="6" w:space="0" w:color="auto"/>
              <w:left w:val="outset" w:sz="6" w:space="0" w:color="auto"/>
              <w:bottom w:val="outset" w:sz="6" w:space="0" w:color="auto"/>
              <w:right w:val="outset" w:sz="6" w:space="0" w:color="auto"/>
            </w:tcBorders>
            <w:vAlign w:val="center"/>
            <w:hideMark/>
          </w:tcPr>
          <w:p w14:paraId="7B9B898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Supervisores y sistemas de control operativo  </w:t>
            </w:r>
          </w:p>
        </w:tc>
      </w:tr>
      <w:tr w:rsidR="00FC79C1" w:rsidRPr="009342F9" w14:paraId="2CD373B9" w14:textId="77777777" w:rsidTr="004E2147">
        <w:trPr>
          <w:trHeight w:val="105"/>
          <w:tblCellSpacing w:w="0" w:type="dxa"/>
          <w:jc w:val="center"/>
        </w:trPr>
        <w:tc>
          <w:tcPr>
            <w:tcW w:w="102" w:type="dxa"/>
            <w:vMerge/>
            <w:tcBorders>
              <w:top w:val="outset" w:sz="6" w:space="0" w:color="auto"/>
              <w:left w:val="outset" w:sz="6" w:space="0" w:color="auto"/>
              <w:bottom w:val="outset" w:sz="6" w:space="0" w:color="auto"/>
              <w:right w:val="outset" w:sz="6" w:space="0" w:color="auto"/>
            </w:tcBorders>
            <w:vAlign w:val="center"/>
            <w:hideMark/>
          </w:tcPr>
          <w:p w14:paraId="1560CC04" w14:textId="77777777" w:rsidR="00FC79C1" w:rsidRPr="009342F9" w:rsidRDefault="00FC79C1" w:rsidP="00FC79C1">
            <w:pPr>
              <w:spacing w:after="0" w:line="240" w:lineRule="auto"/>
              <w:jc w:val="both"/>
              <w:rPr>
                <w:rFonts w:ascii="Arial" w:eastAsia="Times New Roman" w:hAnsi="Arial" w:cs="Arial"/>
                <w:color w:val="000000"/>
                <w:lang w:eastAsia="es-CO"/>
              </w:rPr>
            </w:pPr>
          </w:p>
        </w:tc>
        <w:tc>
          <w:tcPr>
            <w:tcW w:w="2120" w:type="dxa"/>
            <w:tcBorders>
              <w:top w:val="outset" w:sz="6" w:space="0" w:color="auto"/>
              <w:left w:val="outset" w:sz="6" w:space="0" w:color="auto"/>
              <w:bottom w:val="outset" w:sz="6" w:space="0" w:color="auto"/>
              <w:right w:val="outset" w:sz="6" w:space="0" w:color="auto"/>
            </w:tcBorders>
            <w:vAlign w:val="center"/>
            <w:hideMark/>
          </w:tcPr>
          <w:p w14:paraId="3D7F637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Técnico  </w:t>
            </w:r>
          </w:p>
        </w:tc>
        <w:tc>
          <w:tcPr>
            <w:tcW w:w="7805" w:type="dxa"/>
            <w:tcBorders>
              <w:top w:val="outset" w:sz="6" w:space="0" w:color="auto"/>
              <w:left w:val="outset" w:sz="6" w:space="0" w:color="auto"/>
              <w:bottom w:val="outset" w:sz="6" w:space="0" w:color="auto"/>
              <w:right w:val="outset" w:sz="6" w:space="0" w:color="auto"/>
            </w:tcBorders>
            <w:vAlign w:val="center"/>
            <w:hideMark/>
          </w:tcPr>
          <w:p w14:paraId="5B176D9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Programa de prestación del servicio  </w:t>
            </w:r>
          </w:p>
        </w:tc>
      </w:tr>
      <w:tr w:rsidR="00FC79C1" w:rsidRPr="009342F9" w14:paraId="4540DC36" w14:textId="77777777" w:rsidTr="004E2147">
        <w:trPr>
          <w:trHeight w:val="105"/>
          <w:tblCellSpacing w:w="0" w:type="dxa"/>
          <w:jc w:val="center"/>
        </w:trPr>
        <w:tc>
          <w:tcPr>
            <w:tcW w:w="102" w:type="dxa"/>
            <w:vMerge w:val="restart"/>
            <w:tcBorders>
              <w:top w:val="outset" w:sz="6" w:space="0" w:color="auto"/>
              <w:left w:val="outset" w:sz="6" w:space="0" w:color="auto"/>
              <w:bottom w:val="outset" w:sz="6" w:space="0" w:color="auto"/>
              <w:right w:val="outset" w:sz="6" w:space="0" w:color="auto"/>
            </w:tcBorders>
            <w:vAlign w:val="center"/>
            <w:hideMark/>
          </w:tcPr>
          <w:p w14:paraId="470B597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Fase 6  </w:t>
            </w:r>
          </w:p>
        </w:tc>
        <w:tc>
          <w:tcPr>
            <w:tcW w:w="2120" w:type="dxa"/>
            <w:tcBorders>
              <w:top w:val="outset" w:sz="6" w:space="0" w:color="auto"/>
              <w:left w:val="outset" w:sz="6" w:space="0" w:color="auto"/>
              <w:bottom w:val="outset" w:sz="6" w:space="0" w:color="auto"/>
              <w:right w:val="outset" w:sz="6" w:space="0" w:color="auto"/>
            </w:tcBorders>
            <w:vAlign w:val="center"/>
            <w:hideMark/>
          </w:tcPr>
          <w:p w14:paraId="1973511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Administrativo  </w:t>
            </w:r>
          </w:p>
        </w:tc>
        <w:tc>
          <w:tcPr>
            <w:tcW w:w="7805" w:type="dxa"/>
            <w:tcBorders>
              <w:top w:val="outset" w:sz="6" w:space="0" w:color="auto"/>
              <w:left w:val="outset" w:sz="6" w:space="0" w:color="auto"/>
              <w:bottom w:val="outset" w:sz="6" w:space="0" w:color="auto"/>
              <w:right w:val="outset" w:sz="6" w:space="0" w:color="auto"/>
            </w:tcBorders>
            <w:vAlign w:val="center"/>
            <w:hideMark/>
          </w:tcPr>
          <w:p w14:paraId="77F9CD2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Personal por categoría de empleo  </w:t>
            </w:r>
          </w:p>
        </w:tc>
      </w:tr>
      <w:tr w:rsidR="00FC79C1" w:rsidRPr="009342F9" w14:paraId="482ADD15" w14:textId="77777777" w:rsidTr="004E2147">
        <w:trPr>
          <w:trHeight w:val="105"/>
          <w:tblCellSpacing w:w="0" w:type="dxa"/>
          <w:jc w:val="center"/>
        </w:trPr>
        <w:tc>
          <w:tcPr>
            <w:tcW w:w="102" w:type="dxa"/>
            <w:vMerge/>
            <w:tcBorders>
              <w:top w:val="outset" w:sz="6" w:space="0" w:color="auto"/>
              <w:left w:val="outset" w:sz="6" w:space="0" w:color="auto"/>
              <w:bottom w:val="outset" w:sz="6" w:space="0" w:color="auto"/>
              <w:right w:val="outset" w:sz="6" w:space="0" w:color="auto"/>
            </w:tcBorders>
            <w:vAlign w:val="center"/>
            <w:hideMark/>
          </w:tcPr>
          <w:p w14:paraId="644CEB8A" w14:textId="77777777" w:rsidR="00FC79C1" w:rsidRPr="009342F9" w:rsidRDefault="00FC79C1" w:rsidP="00FC79C1">
            <w:pPr>
              <w:spacing w:after="0" w:line="240" w:lineRule="auto"/>
              <w:jc w:val="both"/>
              <w:rPr>
                <w:rFonts w:ascii="Arial" w:eastAsia="Times New Roman" w:hAnsi="Arial" w:cs="Arial"/>
                <w:color w:val="000000"/>
                <w:lang w:eastAsia="es-CO"/>
              </w:rPr>
            </w:pPr>
          </w:p>
        </w:tc>
        <w:tc>
          <w:tcPr>
            <w:tcW w:w="2120" w:type="dxa"/>
            <w:tcBorders>
              <w:top w:val="outset" w:sz="6" w:space="0" w:color="auto"/>
              <w:left w:val="outset" w:sz="6" w:space="0" w:color="auto"/>
              <w:bottom w:val="outset" w:sz="6" w:space="0" w:color="auto"/>
              <w:right w:val="outset" w:sz="6" w:space="0" w:color="auto"/>
            </w:tcBorders>
            <w:vAlign w:val="center"/>
            <w:hideMark/>
          </w:tcPr>
          <w:p w14:paraId="75F50AD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Técnico  </w:t>
            </w:r>
          </w:p>
        </w:tc>
        <w:tc>
          <w:tcPr>
            <w:tcW w:w="7805" w:type="dxa"/>
            <w:tcBorders>
              <w:top w:val="outset" w:sz="6" w:space="0" w:color="auto"/>
              <w:left w:val="outset" w:sz="6" w:space="0" w:color="auto"/>
              <w:bottom w:val="outset" w:sz="6" w:space="0" w:color="auto"/>
              <w:right w:val="outset" w:sz="6" w:space="0" w:color="auto"/>
            </w:tcBorders>
            <w:vAlign w:val="center"/>
            <w:hideMark/>
          </w:tcPr>
          <w:p w14:paraId="54AE922E" w14:textId="77777777" w:rsidR="00FC79C1" w:rsidRPr="009342F9" w:rsidRDefault="00FC79C1" w:rsidP="00FC79C1">
            <w:pPr>
              <w:spacing w:after="0" w:line="240" w:lineRule="auto"/>
              <w:jc w:val="both"/>
              <w:rPr>
                <w:rFonts w:ascii="Arial" w:eastAsia="Times New Roman" w:hAnsi="Arial" w:cs="Arial"/>
                <w:color w:val="000000"/>
                <w:lang w:eastAsia="es-CO"/>
              </w:rPr>
            </w:pPr>
            <w:proofErr w:type="spellStart"/>
            <w:r w:rsidRPr="009342F9">
              <w:rPr>
                <w:rFonts w:ascii="Arial" w:eastAsia="Times New Roman" w:hAnsi="Arial" w:cs="Arial"/>
                <w:color w:val="000000"/>
                <w:lang w:eastAsia="es-CO"/>
              </w:rPr>
              <w:t>Microrrutas</w:t>
            </w:r>
            <w:proofErr w:type="spellEnd"/>
            <w:r w:rsidRPr="009342F9">
              <w:rPr>
                <w:rFonts w:ascii="Arial" w:eastAsia="Times New Roman" w:hAnsi="Arial" w:cs="Arial"/>
                <w:color w:val="000000"/>
                <w:lang w:eastAsia="es-CO"/>
              </w:rPr>
              <w:t xml:space="preserve"> de recolección  </w:t>
            </w:r>
          </w:p>
        </w:tc>
      </w:tr>
      <w:tr w:rsidR="00FC79C1" w:rsidRPr="009342F9" w14:paraId="6A394810" w14:textId="77777777" w:rsidTr="004E2147">
        <w:trPr>
          <w:trHeight w:val="105"/>
          <w:tblCellSpacing w:w="0" w:type="dxa"/>
          <w:jc w:val="center"/>
        </w:trPr>
        <w:tc>
          <w:tcPr>
            <w:tcW w:w="102" w:type="dxa"/>
            <w:vMerge/>
            <w:tcBorders>
              <w:top w:val="outset" w:sz="6" w:space="0" w:color="auto"/>
              <w:left w:val="outset" w:sz="6" w:space="0" w:color="auto"/>
              <w:bottom w:val="outset" w:sz="6" w:space="0" w:color="auto"/>
              <w:right w:val="outset" w:sz="6" w:space="0" w:color="auto"/>
            </w:tcBorders>
            <w:vAlign w:val="center"/>
            <w:hideMark/>
          </w:tcPr>
          <w:p w14:paraId="2F703776" w14:textId="77777777" w:rsidR="00FC79C1" w:rsidRPr="009342F9" w:rsidRDefault="00FC79C1" w:rsidP="00FC79C1">
            <w:pPr>
              <w:spacing w:after="0" w:line="240" w:lineRule="auto"/>
              <w:jc w:val="both"/>
              <w:rPr>
                <w:rFonts w:ascii="Arial" w:eastAsia="Times New Roman" w:hAnsi="Arial" w:cs="Arial"/>
                <w:color w:val="000000"/>
                <w:lang w:eastAsia="es-CO"/>
              </w:rPr>
            </w:pPr>
          </w:p>
        </w:tc>
        <w:tc>
          <w:tcPr>
            <w:tcW w:w="2120" w:type="dxa"/>
            <w:tcBorders>
              <w:top w:val="outset" w:sz="6" w:space="0" w:color="auto"/>
              <w:left w:val="outset" w:sz="6" w:space="0" w:color="auto"/>
              <w:bottom w:val="outset" w:sz="6" w:space="0" w:color="auto"/>
              <w:right w:val="outset" w:sz="6" w:space="0" w:color="auto"/>
            </w:tcBorders>
            <w:vAlign w:val="center"/>
            <w:hideMark/>
          </w:tcPr>
          <w:p w14:paraId="7F0C729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Administrativo  </w:t>
            </w:r>
          </w:p>
        </w:tc>
        <w:tc>
          <w:tcPr>
            <w:tcW w:w="7805" w:type="dxa"/>
            <w:tcBorders>
              <w:top w:val="outset" w:sz="6" w:space="0" w:color="auto"/>
              <w:left w:val="outset" w:sz="6" w:space="0" w:color="auto"/>
              <w:bottom w:val="outset" w:sz="6" w:space="0" w:color="auto"/>
              <w:right w:val="outset" w:sz="6" w:space="0" w:color="auto"/>
            </w:tcBorders>
            <w:vAlign w:val="center"/>
            <w:hideMark/>
          </w:tcPr>
          <w:p w14:paraId="1B9625E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Certificación de competencias laborales  </w:t>
            </w:r>
          </w:p>
        </w:tc>
      </w:tr>
      <w:tr w:rsidR="00FC79C1" w:rsidRPr="009342F9" w14:paraId="56DE8071" w14:textId="77777777" w:rsidTr="004E2147">
        <w:trPr>
          <w:trHeight w:val="105"/>
          <w:tblCellSpacing w:w="0" w:type="dxa"/>
          <w:jc w:val="center"/>
        </w:trPr>
        <w:tc>
          <w:tcPr>
            <w:tcW w:w="102" w:type="dxa"/>
            <w:vMerge w:val="restart"/>
            <w:tcBorders>
              <w:top w:val="outset" w:sz="6" w:space="0" w:color="auto"/>
              <w:left w:val="outset" w:sz="6" w:space="0" w:color="auto"/>
              <w:bottom w:val="outset" w:sz="6" w:space="0" w:color="auto"/>
              <w:right w:val="outset" w:sz="6" w:space="0" w:color="auto"/>
            </w:tcBorders>
            <w:vAlign w:val="center"/>
            <w:hideMark/>
          </w:tcPr>
          <w:p w14:paraId="328E87A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Fase 7  </w:t>
            </w:r>
          </w:p>
        </w:tc>
        <w:tc>
          <w:tcPr>
            <w:tcW w:w="2120" w:type="dxa"/>
            <w:tcBorders>
              <w:top w:val="outset" w:sz="6" w:space="0" w:color="auto"/>
              <w:left w:val="outset" w:sz="6" w:space="0" w:color="auto"/>
              <w:bottom w:val="outset" w:sz="6" w:space="0" w:color="auto"/>
              <w:right w:val="outset" w:sz="6" w:space="0" w:color="auto"/>
            </w:tcBorders>
            <w:vAlign w:val="center"/>
            <w:hideMark/>
          </w:tcPr>
          <w:p w14:paraId="20F6AC1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Comercial  </w:t>
            </w:r>
          </w:p>
        </w:tc>
        <w:tc>
          <w:tcPr>
            <w:tcW w:w="7805" w:type="dxa"/>
            <w:tcBorders>
              <w:top w:val="outset" w:sz="6" w:space="0" w:color="auto"/>
              <w:left w:val="outset" w:sz="6" w:space="0" w:color="auto"/>
              <w:bottom w:val="outset" w:sz="6" w:space="0" w:color="auto"/>
              <w:right w:val="outset" w:sz="6" w:space="0" w:color="auto"/>
            </w:tcBorders>
            <w:vAlign w:val="center"/>
            <w:hideMark/>
          </w:tcPr>
          <w:p w14:paraId="3235D94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Registro de Peticiones, Quejas y Recursos (PQR)  </w:t>
            </w:r>
          </w:p>
        </w:tc>
      </w:tr>
      <w:tr w:rsidR="00FC79C1" w:rsidRPr="009342F9" w14:paraId="3740A545" w14:textId="77777777" w:rsidTr="004E2147">
        <w:trPr>
          <w:trHeight w:val="105"/>
          <w:tblCellSpacing w:w="0" w:type="dxa"/>
          <w:jc w:val="center"/>
        </w:trPr>
        <w:tc>
          <w:tcPr>
            <w:tcW w:w="102" w:type="dxa"/>
            <w:vMerge/>
            <w:tcBorders>
              <w:top w:val="outset" w:sz="6" w:space="0" w:color="auto"/>
              <w:left w:val="outset" w:sz="6" w:space="0" w:color="auto"/>
              <w:bottom w:val="outset" w:sz="6" w:space="0" w:color="auto"/>
              <w:right w:val="outset" w:sz="6" w:space="0" w:color="auto"/>
            </w:tcBorders>
            <w:vAlign w:val="center"/>
            <w:hideMark/>
          </w:tcPr>
          <w:p w14:paraId="30F2599A" w14:textId="77777777" w:rsidR="00FC79C1" w:rsidRPr="009342F9" w:rsidRDefault="00FC79C1" w:rsidP="00FC79C1">
            <w:pPr>
              <w:spacing w:after="0" w:line="240" w:lineRule="auto"/>
              <w:jc w:val="both"/>
              <w:rPr>
                <w:rFonts w:ascii="Arial" w:eastAsia="Times New Roman" w:hAnsi="Arial" w:cs="Arial"/>
                <w:color w:val="000000"/>
                <w:lang w:eastAsia="es-CO"/>
              </w:rPr>
            </w:pPr>
          </w:p>
        </w:tc>
        <w:tc>
          <w:tcPr>
            <w:tcW w:w="2120" w:type="dxa"/>
            <w:tcBorders>
              <w:top w:val="outset" w:sz="6" w:space="0" w:color="auto"/>
              <w:left w:val="outset" w:sz="6" w:space="0" w:color="auto"/>
              <w:bottom w:val="outset" w:sz="6" w:space="0" w:color="auto"/>
              <w:right w:val="outset" w:sz="6" w:space="0" w:color="auto"/>
            </w:tcBorders>
            <w:vAlign w:val="center"/>
            <w:hideMark/>
          </w:tcPr>
          <w:p w14:paraId="5C6427A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Técnico  </w:t>
            </w:r>
          </w:p>
        </w:tc>
        <w:tc>
          <w:tcPr>
            <w:tcW w:w="7805" w:type="dxa"/>
            <w:tcBorders>
              <w:top w:val="outset" w:sz="6" w:space="0" w:color="auto"/>
              <w:left w:val="outset" w:sz="6" w:space="0" w:color="auto"/>
              <w:bottom w:val="outset" w:sz="6" w:space="0" w:color="auto"/>
              <w:right w:val="outset" w:sz="6" w:space="0" w:color="auto"/>
            </w:tcBorders>
            <w:vAlign w:val="center"/>
            <w:hideMark/>
          </w:tcPr>
          <w:p w14:paraId="0952598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Planes de emergencia y contingencia  </w:t>
            </w:r>
          </w:p>
        </w:tc>
      </w:tr>
      <w:tr w:rsidR="00FC79C1" w:rsidRPr="009342F9" w14:paraId="7AF625F5" w14:textId="77777777" w:rsidTr="004E2147">
        <w:trPr>
          <w:trHeight w:val="105"/>
          <w:tblCellSpacing w:w="0" w:type="dxa"/>
          <w:jc w:val="center"/>
        </w:trPr>
        <w:tc>
          <w:tcPr>
            <w:tcW w:w="102" w:type="dxa"/>
            <w:vMerge w:val="restart"/>
            <w:tcBorders>
              <w:top w:val="outset" w:sz="6" w:space="0" w:color="auto"/>
              <w:left w:val="outset" w:sz="6" w:space="0" w:color="auto"/>
              <w:bottom w:val="outset" w:sz="6" w:space="0" w:color="auto"/>
              <w:right w:val="outset" w:sz="6" w:space="0" w:color="auto"/>
            </w:tcBorders>
            <w:vAlign w:val="center"/>
            <w:hideMark/>
          </w:tcPr>
          <w:p w14:paraId="4611282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Fase 8  </w:t>
            </w:r>
          </w:p>
        </w:tc>
        <w:tc>
          <w:tcPr>
            <w:tcW w:w="2120" w:type="dxa"/>
            <w:tcBorders>
              <w:top w:val="outset" w:sz="6" w:space="0" w:color="auto"/>
              <w:left w:val="outset" w:sz="6" w:space="0" w:color="auto"/>
              <w:bottom w:val="outset" w:sz="6" w:space="0" w:color="auto"/>
              <w:right w:val="outset" w:sz="6" w:space="0" w:color="auto"/>
            </w:tcBorders>
            <w:vAlign w:val="center"/>
            <w:hideMark/>
          </w:tcPr>
          <w:p w14:paraId="1B3D283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Financiero  </w:t>
            </w:r>
          </w:p>
        </w:tc>
        <w:tc>
          <w:tcPr>
            <w:tcW w:w="7805" w:type="dxa"/>
            <w:tcBorders>
              <w:top w:val="outset" w:sz="6" w:space="0" w:color="auto"/>
              <w:left w:val="outset" w:sz="6" w:space="0" w:color="auto"/>
              <w:bottom w:val="outset" w:sz="6" w:space="0" w:color="auto"/>
              <w:right w:val="outset" w:sz="6" w:space="0" w:color="auto"/>
            </w:tcBorders>
            <w:vAlign w:val="center"/>
            <w:hideMark/>
          </w:tcPr>
          <w:p w14:paraId="143CC8F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Información financiera  </w:t>
            </w:r>
          </w:p>
        </w:tc>
      </w:tr>
      <w:tr w:rsidR="00FC79C1" w:rsidRPr="009342F9" w14:paraId="317071D6" w14:textId="77777777" w:rsidTr="004E2147">
        <w:trPr>
          <w:trHeight w:val="105"/>
          <w:tblCellSpacing w:w="0" w:type="dxa"/>
          <w:jc w:val="center"/>
        </w:trPr>
        <w:tc>
          <w:tcPr>
            <w:tcW w:w="102" w:type="dxa"/>
            <w:vMerge/>
            <w:tcBorders>
              <w:top w:val="outset" w:sz="6" w:space="0" w:color="auto"/>
              <w:left w:val="outset" w:sz="6" w:space="0" w:color="auto"/>
              <w:bottom w:val="outset" w:sz="6" w:space="0" w:color="auto"/>
              <w:right w:val="outset" w:sz="6" w:space="0" w:color="auto"/>
            </w:tcBorders>
            <w:vAlign w:val="center"/>
            <w:hideMark/>
          </w:tcPr>
          <w:p w14:paraId="501B28BB" w14:textId="77777777" w:rsidR="00FC79C1" w:rsidRPr="009342F9" w:rsidRDefault="00FC79C1" w:rsidP="00FC79C1">
            <w:pPr>
              <w:spacing w:after="0" w:line="240" w:lineRule="auto"/>
              <w:jc w:val="both"/>
              <w:rPr>
                <w:rFonts w:ascii="Arial" w:eastAsia="Times New Roman" w:hAnsi="Arial" w:cs="Arial"/>
                <w:color w:val="000000"/>
                <w:lang w:eastAsia="es-CO"/>
              </w:rPr>
            </w:pPr>
          </w:p>
        </w:tc>
        <w:tc>
          <w:tcPr>
            <w:tcW w:w="2120" w:type="dxa"/>
            <w:tcBorders>
              <w:top w:val="outset" w:sz="6" w:space="0" w:color="auto"/>
              <w:left w:val="outset" w:sz="6" w:space="0" w:color="auto"/>
              <w:bottom w:val="outset" w:sz="6" w:space="0" w:color="auto"/>
              <w:right w:val="outset" w:sz="6" w:space="0" w:color="auto"/>
            </w:tcBorders>
            <w:vAlign w:val="center"/>
            <w:hideMark/>
          </w:tcPr>
          <w:p w14:paraId="3CF66A2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Técnico  </w:t>
            </w:r>
          </w:p>
        </w:tc>
        <w:tc>
          <w:tcPr>
            <w:tcW w:w="7805" w:type="dxa"/>
            <w:tcBorders>
              <w:top w:val="outset" w:sz="6" w:space="0" w:color="auto"/>
              <w:left w:val="outset" w:sz="6" w:space="0" w:color="auto"/>
              <w:bottom w:val="outset" w:sz="6" w:space="0" w:color="auto"/>
              <w:right w:val="outset" w:sz="6" w:space="0" w:color="auto"/>
            </w:tcBorders>
            <w:vAlign w:val="center"/>
            <w:hideMark/>
          </w:tcPr>
          <w:p w14:paraId="5453E47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Mapa del área de prestación en sistema de referencia Magna-Sirgas  </w:t>
            </w:r>
          </w:p>
        </w:tc>
      </w:tr>
    </w:tbl>
    <w:p w14:paraId="41CBF8F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91A9D2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Las organizaciones de recicladores de oficio que estén en proceso de formalización como personas prestadoras de la actividad de aprovechamiento efectuarán los reportes al Sistema Único de Información (SUI) de acuerdo con las fases anteriormente definidas, iniciando con el registro ante la Superintendencia de Servicios Públicos Domiciliarios (SSPD) momento a partir del cual se considerarán como personas prestadoras de la actividad de aprovechamiento del servicio público de aseo para los efectos del presente capítulo.  </w:t>
      </w:r>
    </w:p>
    <w:p w14:paraId="1D0BCC5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8AA0F8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1°. La Superintendencia de Servicios Públicos Domiciliarios (SSPD) solamente podrá solicitar información a las organizaciones de recicladores de oficio a partir de la fecha en la cual hagan su inscripción en el RUPS y de acuerdo con la gradualidad aquí establecida. En ningún caso se podrá exigir el cargue de información anterior a la fecha de la inscripción o la entrada en vigor del presente capítulo.  </w:t>
      </w:r>
    </w:p>
    <w:p w14:paraId="5F22683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603D17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2°. El Ministerio de Vivienda, Ciudad y Territorio definirá los plazos en los que se ejecutarán cada una de las fases descritas en el presente artículo.  </w:t>
      </w:r>
    </w:p>
    <w:p w14:paraId="502FED3E" w14:textId="068856A3"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BCD567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2.3.2.5.3.</w:t>
      </w:r>
      <w:proofErr w:type="gramStart"/>
      <w:r w:rsidRPr="009342F9">
        <w:rPr>
          <w:rFonts w:ascii="Arial" w:eastAsia="Times New Roman" w:hAnsi="Arial" w:cs="Arial"/>
          <w:color w:val="000000"/>
          <w:lang w:eastAsia="es-CO"/>
        </w:rPr>
        <w:t>3.Registro</w:t>
      </w:r>
      <w:proofErr w:type="gramEnd"/>
      <w:r w:rsidRPr="009342F9">
        <w:rPr>
          <w:rFonts w:ascii="Arial" w:eastAsia="Times New Roman" w:hAnsi="Arial" w:cs="Arial"/>
          <w:color w:val="000000"/>
          <w:lang w:eastAsia="es-CO"/>
        </w:rPr>
        <w:t xml:space="preserve"> ante la Superintendencia de Servicios Públicos Domiciliarios (SSPD). Las organizaciones de recicladores de oficio que estén en proceso de formalización como personas prestadoras de la actividad de aprovechamiento deberán registrarse ante la Superintendencia de Servicios Públicos Domiciliarios (SSPD), e indicar:  </w:t>
      </w:r>
    </w:p>
    <w:p w14:paraId="3F7B351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4B000E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El municipio o distrito donde se presta el servicio.  </w:t>
      </w:r>
    </w:p>
    <w:p w14:paraId="1F207AF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w:t>
      </w:r>
    </w:p>
    <w:p w14:paraId="3C18FFF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Documentos de constitución de la organización.  </w:t>
      </w:r>
    </w:p>
    <w:p w14:paraId="262051B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0ECA38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Relación de recicladores de oficio que conforman la organización con sus respectivos datos de identificación, el cual deberá ir como anexo a los documentos de registro.  </w:t>
      </w:r>
    </w:p>
    <w:p w14:paraId="514AC3D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C47FFB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La Superintendencia de Servicios Públicos Domiciliarios (SSPD) en un plazo de hasta tres (3) meses contados a partir de la publicación del presente capítulo, deberá estructurar y habilitar un procedimiento simplificado para la inscripción, actualización y cancelación del registro de las organizaciones de recicladores de oficio que estén en proceso de formalización como personas prestadoras de la actividad de aprovechamiento, donde se verificará que dichas organizaciones en su formación, funcionamiento y desarrollo del objeto social, cumplan con la normatividad legal y estatutaria, y estén conformadas por recicladores de oficio.  </w:t>
      </w:r>
    </w:p>
    <w:p w14:paraId="312A3646" w14:textId="77777777" w:rsidR="00FC79C1" w:rsidRPr="009342F9" w:rsidRDefault="00FC79C1" w:rsidP="00FC79C1">
      <w:pPr>
        <w:spacing w:after="0" w:line="240" w:lineRule="auto"/>
        <w:jc w:val="both"/>
        <w:rPr>
          <w:rFonts w:ascii="Arial" w:eastAsia="Times New Roman" w:hAnsi="Arial" w:cs="Arial"/>
          <w:color w:val="000000"/>
          <w:lang w:eastAsia="es-CO"/>
        </w:rPr>
      </w:pPr>
    </w:p>
    <w:p w14:paraId="6C029A7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2.3.2.5.3.</w:t>
      </w:r>
      <w:proofErr w:type="gramStart"/>
      <w:r w:rsidRPr="009342F9">
        <w:rPr>
          <w:rFonts w:ascii="Arial" w:eastAsia="Times New Roman" w:hAnsi="Arial" w:cs="Arial"/>
          <w:color w:val="000000"/>
          <w:lang w:eastAsia="es-CO"/>
        </w:rPr>
        <w:t>4.Planes</w:t>
      </w:r>
      <w:proofErr w:type="gramEnd"/>
      <w:r w:rsidRPr="009342F9">
        <w:rPr>
          <w:rFonts w:ascii="Arial" w:eastAsia="Times New Roman" w:hAnsi="Arial" w:cs="Arial"/>
          <w:color w:val="000000"/>
          <w:lang w:eastAsia="es-CO"/>
        </w:rPr>
        <w:t xml:space="preserve"> de Fortalecimiento Empresarial. Las organizaciones de recicladores de oficio que estén en proceso de formalización como personas prestadoras de la actividad de aprovechamiento deberán formular un Plan de Fortalecimiento Empresarial, en el cual se definirán: objetivos, metas, actividades, cronogramas, costos y fuentes de financiación.  </w:t>
      </w:r>
    </w:p>
    <w:p w14:paraId="3AEBC8A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27E76C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Este Plan deberá contemplar un horizonte de planeación de corto plazo cuatro (4) años, mediano plazo ocho (8) años y largo plazo doce (12) años.  </w:t>
      </w:r>
    </w:p>
    <w:p w14:paraId="489F99A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DD6114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El Ministerio de Vivienda, Ciudad y Territorio (MVCT) definirá los lineamientos para la formulación de los Planes de Fortalecimiento Empresarial de que trata el presente artículo.  </w:t>
      </w:r>
    </w:p>
    <w:p w14:paraId="3AE6E446"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863" w:name="ver_30110738"/>
      <w:bookmarkEnd w:id="1863"/>
    </w:p>
    <w:p w14:paraId="46D0165D" w14:textId="4B2FFD2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2.3.2.5.3.5.</w:t>
      </w:r>
      <w:r w:rsidR="00EE4153">
        <w:rPr>
          <w:rFonts w:ascii="Arial" w:eastAsia="Times New Roman" w:hAnsi="Arial" w:cs="Arial"/>
          <w:color w:val="000000"/>
          <w:lang w:eastAsia="es-CO"/>
        </w:rPr>
        <w:t xml:space="preserve"> </w:t>
      </w:r>
      <w:r w:rsidRPr="009342F9">
        <w:rPr>
          <w:rFonts w:ascii="Arial" w:eastAsia="Times New Roman" w:hAnsi="Arial" w:cs="Arial"/>
          <w:color w:val="000000"/>
          <w:lang w:eastAsia="es-CO"/>
        </w:rPr>
        <w:t>Provisión de inversiones. Las organizaciones de recicladores de oficio que estén en proceso de formalización como personas prestadoras de la actividad de aprovechamiento deberán reservar una provisión para inversiones con recursos de la tarifa, la cual se hará mensualmente en el porcentaje de los recursos del recaudo del servicio público de aseo correspondientes a la actividad de aprovechamiento que para el efecto defina la Comisión de Regulación de Agua Potable y Saneamiento Básico (CRA).  </w:t>
      </w:r>
    </w:p>
    <w:p w14:paraId="37F6CBD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1F60F8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Estos recursos se destinarán a las inversiones requeridas de acuerdo con los respectivos Planes de Fortalecimiento Empresarial, y serán reportados a la Superintendencia de Servicios Públicos Domiciliarios (SSPD).  </w:t>
      </w:r>
    </w:p>
    <w:p w14:paraId="27BF936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B85AD1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Los recursos de la provisión deberán destinarse para realizar las inversiones propias de la prestación de la actividad de acuerdo con los objetivos de fortalecimiento definidos en los Planes de Fortalecimiento Empresarial.  </w:t>
      </w:r>
    </w:p>
    <w:p w14:paraId="47CB6F64"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864" w:name="ver_30110739"/>
      <w:bookmarkEnd w:id="1864"/>
    </w:p>
    <w:p w14:paraId="627D2B1D" w14:textId="0B0F9E3C"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2.3.2.5.3.6.</w:t>
      </w:r>
      <w:r w:rsidR="00EE4153">
        <w:rPr>
          <w:rFonts w:ascii="Arial" w:eastAsia="Times New Roman" w:hAnsi="Arial" w:cs="Arial"/>
          <w:color w:val="000000"/>
          <w:lang w:eastAsia="es-CO"/>
        </w:rPr>
        <w:t xml:space="preserve"> </w:t>
      </w:r>
      <w:r w:rsidRPr="009342F9">
        <w:rPr>
          <w:rFonts w:ascii="Arial" w:eastAsia="Times New Roman" w:hAnsi="Arial" w:cs="Arial"/>
          <w:color w:val="000000"/>
          <w:lang w:eastAsia="es-CO"/>
        </w:rPr>
        <w:t>Aspectos administrativos mínimos. Las organizaciones de recicladores de oficio que estén en proceso de formalización como prestadores de la actividad de aprovechamiento deberán contar como mínimo con los siguientes aspectos:  </w:t>
      </w:r>
    </w:p>
    <w:p w14:paraId="76EBE4E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2BA5FC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Portafolios de servicios. En donde se deberá indicar como mínimo los siguientes elementos (i) Descripción de la organización; (ii) Visión y misión; (iii) Productos y servicios que se ofrecen y (</w:t>
      </w:r>
      <w:proofErr w:type="spellStart"/>
      <w:r w:rsidRPr="009342F9">
        <w:rPr>
          <w:rFonts w:ascii="Arial" w:eastAsia="Times New Roman" w:hAnsi="Arial" w:cs="Arial"/>
          <w:color w:val="000000"/>
          <w:lang w:eastAsia="es-CO"/>
        </w:rPr>
        <w:t>iv</w:t>
      </w:r>
      <w:proofErr w:type="spellEnd"/>
      <w:r w:rsidRPr="009342F9">
        <w:rPr>
          <w:rFonts w:ascii="Arial" w:eastAsia="Times New Roman" w:hAnsi="Arial" w:cs="Arial"/>
          <w:color w:val="000000"/>
          <w:lang w:eastAsia="es-CO"/>
        </w:rPr>
        <w:t>) Medios de contacto.  </w:t>
      </w:r>
    </w:p>
    <w:p w14:paraId="52F9C6C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34BF74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Base de datos de usuarios. La Base de datos deberá contener al menos la siguiente información (i) Dirección del suscriptor, (ii) Tipo y uso de usuario, y (iii) Cuenta contrato o número único de identificación del usuario.  </w:t>
      </w:r>
    </w:p>
    <w:p w14:paraId="2459DB4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w:t>
      </w:r>
    </w:p>
    <w:p w14:paraId="263DD1A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Para efectos de lo anterior, el ente territorial deberá prestar asistencia técnica en el marco del Plan de Gestión Integral de Residuos Sólidos (PGIRS).  </w:t>
      </w:r>
    </w:p>
    <w:p w14:paraId="2CA13A4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0468A1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Supervisión y Sistemas de Control Operativo. Tendrán que contar con supervisores y sistemas de control operativo para el seguimiento en tiempo real de la prestación de la actividad.  </w:t>
      </w:r>
    </w:p>
    <w:p w14:paraId="6D2D7B2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4DBB58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Competencias laborales. Se deberá asegurar que los miembros de la organización cuenten con certificación de competencias laborales para el manejo adecuado de residuos, reciclaje y aprovechamiento, de conformidad con los diferentes niveles establecidos por el Servicio Nacional de Aprendizaje (SENA).  </w:t>
      </w:r>
    </w:p>
    <w:p w14:paraId="7BD0EF9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9852A8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 Página web. Contarán con una página web en la que se deberá publicar: el contrato de condiciones uniformes del servicio público de aseo (CCU) para la actividad de aprovechamiento, la evolución en el otorgamiento del incentivo a la separación en la fuente (DINC), así como de los rechazos y de las toneladas efectivamente aprovechadas en su zona de prestación, sin perjuicio de lo establecido en el artículo 2.3.2.2.4.2.112 del presente decreto </w:t>
      </w:r>
    </w:p>
    <w:p w14:paraId="6837E969"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865" w:name="ver_30110740"/>
      <w:bookmarkEnd w:id="1865"/>
    </w:p>
    <w:p w14:paraId="44023FEE" w14:textId="270C4B5C"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2.3.2.5.3.7.</w:t>
      </w:r>
      <w:r w:rsidR="00EE4153">
        <w:rPr>
          <w:rFonts w:ascii="Arial" w:eastAsia="Times New Roman" w:hAnsi="Arial" w:cs="Arial"/>
          <w:color w:val="000000"/>
          <w:lang w:eastAsia="es-CO"/>
        </w:rPr>
        <w:t xml:space="preserve"> </w:t>
      </w:r>
      <w:r w:rsidRPr="009342F9">
        <w:rPr>
          <w:rFonts w:ascii="Arial" w:eastAsia="Times New Roman" w:hAnsi="Arial" w:cs="Arial"/>
          <w:color w:val="000000"/>
          <w:lang w:eastAsia="es-CO"/>
        </w:rPr>
        <w:t>Incentivo a la separación en la fuente (DINC). Las organizaciones de recicladores de oficio que estén en proceso de formalización como personas prestadoras de la actividad de aprovechamiento deberán contar con la base de datos de los usuarios, de que trata el numeral 2 del artículo anterior, para poder iniciar el proceso de otorgamiento del incentivo a la separación en la fuente (DINC) a aquellos usuarios que den cumplimiento a lo dispuesto en el artículo 2.3.2.5.2.2.4.  </w:t>
      </w:r>
    </w:p>
    <w:p w14:paraId="0CAC92C0" w14:textId="77777777" w:rsidR="004E2147" w:rsidRPr="009342F9" w:rsidRDefault="004E2147" w:rsidP="004E2147">
      <w:pPr>
        <w:spacing w:after="0" w:line="240" w:lineRule="auto"/>
        <w:jc w:val="center"/>
        <w:rPr>
          <w:rFonts w:ascii="Arial" w:eastAsia="Times New Roman" w:hAnsi="Arial" w:cs="Arial"/>
          <w:b/>
          <w:bCs/>
          <w:color w:val="000000"/>
          <w:lang w:eastAsia="es-CO"/>
        </w:rPr>
      </w:pPr>
      <w:bookmarkStart w:id="1866" w:name="ver_30110741"/>
      <w:bookmarkEnd w:id="1866"/>
    </w:p>
    <w:p w14:paraId="2FADEFE8" w14:textId="149E0182" w:rsidR="00FC79C1" w:rsidRPr="009342F9" w:rsidRDefault="00FC79C1" w:rsidP="004E2147">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SECCIÓN 4</w:t>
      </w:r>
    </w:p>
    <w:p w14:paraId="3ED960C9" w14:textId="77777777" w:rsidR="00FC79C1" w:rsidRPr="009342F9" w:rsidRDefault="00FC79C1" w:rsidP="004E2147">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DEBERES Y DERECHOS</w:t>
      </w:r>
    </w:p>
    <w:p w14:paraId="3462E021"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867" w:name="ver_30110742"/>
      <w:bookmarkEnd w:id="1867"/>
    </w:p>
    <w:p w14:paraId="503D150C" w14:textId="1DB3D633"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2.3.2.5.4.1.</w:t>
      </w:r>
      <w:r w:rsidR="00EE4153">
        <w:rPr>
          <w:rFonts w:ascii="Arial" w:eastAsia="Times New Roman" w:hAnsi="Arial" w:cs="Arial"/>
          <w:color w:val="000000"/>
          <w:lang w:eastAsia="es-CO"/>
        </w:rPr>
        <w:t xml:space="preserve"> </w:t>
      </w:r>
      <w:r w:rsidRPr="009342F9">
        <w:rPr>
          <w:rFonts w:ascii="Arial" w:eastAsia="Times New Roman" w:hAnsi="Arial" w:cs="Arial"/>
          <w:color w:val="000000"/>
          <w:lang w:eastAsia="es-CO"/>
        </w:rPr>
        <w:t>Derechos de los usuarios. Acorde con los definidos en la ley y los reglamentos, y sin perjuicio de aquellos contemplados en el artículo 2.3.2.2.4.2.108 del presente decreto, los usuarios de la actividad de aprovechamiento en el servicio público de aseo tendrán el derecho a:  </w:t>
      </w:r>
    </w:p>
    <w:p w14:paraId="525D5D0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2C5BB9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Recibir capacitación sobre la separación en la fuente de los residuos sólidos aprovechables.  </w:t>
      </w:r>
    </w:p>
    <w:p w14:paraId="56B9791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467A29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Recibir el incentivo a la separación en la fuente (DINC) cuando se logren los niveles de rechazo establecidos.  </w:t>
      </w:r>
    </w:p>
    <w:p w14:paraId="36D5C4B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1E860F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Ser incluido en la ruta de recolección de residuos sólidos aprovechables.  </w:t>
      </w:r>
    </w:p>
    <w:p w14:paraId="699902EC" w14:textId="77777777" w:rsidR="004E2147" w:rsidRPr="009342F9" w:rsidRDefault="004E2147" w:rsidP="00FC79C1">
      <w:pPr>
        <w:spacing w:after="0" w:line="240" w:lineRule="auto"/>
        <w:jc w:val="both"/>
        <w:rPr>
          <w:rFonts w:ascii="Arial" w:eastAsia="Times New Roman" w:hAnsi="Arial" w:cs="Arial"/>
          <w:color w:val="000000"/>
          <w:lang w:eastAsia="es-CO"/>
        </w:rPr>
      </w:pPr>
    </w:p>
    <w:p w14:paraId="5B3ACF12" w14:textId="172D2AD6"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2.3.2.5.4.2.</w:t>
      </w:r>
      <w:r w:rsidR="00EE4153">
        <w:rPr>
          <w:rFonts w:ascii="Arial" w:eastAsia="Times New Roman" w:hAnsi="Arial" w:cs="Arial"/>
          <w:color w:val="000000"/>
          <w:lang w:eastAsia="es-CO"/>
        </w:rPr>
        <w:t xml:space="preserve"> </w:t>
      </w:r>
      <w:r w:rsidRPr="009342F9">
        <w:rPr>
          <w:rFonts w:ascii="Arial" w:eastAsia="Times New Roman" w:hAnsi="Arial" w:cs="Arial"/>
          <w:color w:val="000000"/>
          <w:lang w:eastAsia="es-CO"/>
        </w:rPr>
        <w:t>Deberes de los usuarios. Acorde con los definidos en la ley y los reglamentos, y sin perjuicio de aquellos contemplados en el artículo 2.3.2.2.4.2.109 del presente decreto, los usuarios de la actividad de aprovechamiento en el servicio público de aseo tendrán los siguientes deberes:  </w:t>
      </w:r>
    </w:p>
    <w:p w14:paraId="7A26D44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EAAB9D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Presentar los residuos sólidos aprovechables separados en la fuente a las personas prestadoras de la actividad sin imponer condiciones adicionales a las establecidas en el contrato de condiciones uniformes.  </w:t>
      </w:r>
    </w:p>
    <w:p w14:paraId="36A7D49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F9408F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Permitir la realización del aforo de los residuos sólidos aprovechables.  </w:t>
      </w:r>
    </w:p>
    <w:p w14:paraId="4D27B5B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77398E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3. Pagar la tarifa establecida para el servicio prestado.  </w:t>
      </w:r>
    </w:p>
    <w:p w14:paraId="04F6DD57" w14:textId="77777777" w:rsidR="004E2147" w:rsidRPr="009342F9" w:rsidRDefault="004E2147" w:rsidP="00FC79C1">
      <w:pPr>
        <w:spacing w:after="0" w:line="240" w:lineRule="auto"/>
        <w:jc w:val="both"/>
        <w:rPr>
          <w:rFonts w:ascii="Arial" w:eastAsia="Times New Roman" w:hAnsi="Arial" w:cs="Arial"/>
          <w:color w:val="000000"/>
          <w:lang w:eastAsia="es-CO"/>
        </w:rPr>
      </w:pPr>
    </w:p>
    <w:p w14:paraId="0F31E49B" w14:textId="3AD11215"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2.3.2.5.4.3.</w:t>
      </w:r>
      <w:r w:rsidR="00EE4153">
        <w:rPr>
          <w:rFonts w:ascii="Arial" w:eastAsia="Times New Roman" w:hAnsi="Arial" w:cs="Arial"/>
          <w:color w:val="000000"/>
          <w:lang w:eastAsia="es-CO"/>
        </w:rPr>
        <w:t xml:space="preserve"> </w:t>
      </w:r>
      <w:r w:rsidRPr="009342F9">
        <w:rPr>
          <w:rFonts w:ascii="Arial" w:eastAsia="Times New Roman" w:hAnsi="Arial" w:cs="Arial"/>
          <w:color w:val="000000"/>
          <w:lang w:eastAsia="es-CO"/>
        </w:rPr>
        <w:t>Deberes de las personas prestadoras de la actividad de aprovechamiento. Es deber de las personas prestadoras de la actividad de aprovechamiento:  </w:t>
      </w:r>
    </w:p>
    <w:p w14:paraId="081BC32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C19CB5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Definir e informar al usuario sobre las condiciones de prestación del servicio.  </w:t>
      </w:r>
    </w:p>
    <w:p w14:paraId="749B8AB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E25B02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Definir e informar al usuario sobre los residuos sólidos aprovechables.  </w:t>
      </w:r>
    </w:p>
    <w:p w14:paraId="56E4879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8326C2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Recolectar los residuos sólidos presentados por el usuario como aprovechables, de acuerdo con lo indicado en el contrato de condiciones uniformes del servicio público de aseo (CCU) para la actividad de aprovechamiento.  </w:t>
      </w:r>
    </w:p>
    <w:p w14:paraId="616B9B6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836E2E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Realizar las actividades de clasificación en las Estaciones de Clasificación y Aprovechamiento (ECA).  </w:t>
      </w:r>
    </w:p>
    <w:p w14:paraId="6CAC12E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05F324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 No dejar residuos sólidos dispersos en las vías públicas que puedan conducir a la generación de puntos críticos.  </w:t>
      </w:r>
    </w:p>
    <w:p w14:paraId="7F1833A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E820BB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6. Realizar campañas de capacitación de separación en la fuente a sus usuarios de la actividad de aprovechamiento del servicio público de aseo.  </w:t>
      </w:r>
    </w:p>
    <w:p w14:paraId="50517B58" w14:textId="77777777" w:rsidR="004E2147" w:rsidRPr="009342F9" w:rsidRDefault="004E2147" w:rsidP="004E2147">
      <w:pPr>
        <w:spacing w:after="0" w:line="240" w:lineRule="auto"/>
        <w:jc w:val="center"/>
        <w:rPr>
          <w:rFonts w:ascii="Arial" w:eastAsia="Times New Roman" w:hAnsi="Arial" w:cs="Arial"/>
          <w:b/>
          <w:bCs/>
          <w:color w:val="000000"/>
          <w:lang w:eastAsia="es-CO"/>
        </w:rPr>
      </w:pPr>
      <w:bookmarkStart w:id="1868" w:name="ver_30110745"/>
      <w:bookmarkEnd w:id="1868"/>
    </w:p>
    <w:p w14:paraId="0C1DDC89" w14:textId="0D960BDB" w:rsidR="00FC79C1" w:rsidRPr="009342F9" w:rsidRDefault="00FC79C1" w:rsidP="004E2147">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SECCIÓN 5</w:t>
      </w:r>
    </w:p>
    <w:p w14:paraId="70A22B37" w14:textId="77777777" w:rsidR="00FC79C1" w:rsidRPr="009342F9" w:rsidRDefault="00FC79C1" w:rsidP="004E2147">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DISPOSICIONES FINALES</w:t>
      </w:r>
    </w:p>
    <w:p w14:paraId="1860C6B5"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869" w:name="ver_30110786"/>
      <w:bookmarkEnd w:id="1869"/>
    </w:p>
    <w:p w14:paraId="53B3CC9E" w14:textId="01AF8E44"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2.3.2.5.5.1.</w:t>
      </w:r>
      <w:r w:rsidR="00EE4153">
        <w:rPr>
          <w:rFonts w:ascii="Arial" w:eastAsia="Times New Roman" w:hAnsi="Arial" w:cs="Arial"/>
          <w:color w:val="000000"/>
          <w:lang w:eastAsia="es-CO"/>
        </w:rPr>
        <w:t xml:space="preserve"> </w:t>
      </w:r>
      <w:r w:rsidRPr="009342F9">
        <w:rPr>
          <w:rFonts w:ascii="Arial" w:eastAsia="Times New Roman" w:hAnsi="Arial" w:cs="Arial"/>
          <w:color w:val="000000"/>
          <w:lang w:eastAsia="es-CO"/>
        </w:rPr>
        <w:t>Responsabilidades de los entes territoriales. Los entes territoriales incluirán en el “programa de inclusión de recicladores” del respectivo Plan de Gestión Integral de Residuos Sólidos (PGIRS), de conformidad con el numeral 9 del artículo 2.3.2.2.3.95 del presente decreto, como mínimo lo siguiente:  </w:t>
      </w:r>
    </w:p>
    <w:p w14:paraId="33BDB27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F73B29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Un proyecto de capacitación a los recicladores de oficio identificados en el censo de la línea base y en sus actualizaciones posteriores el cual deberá diseñarse teniendo en cuenta los siguientes aspectos:  </w:t>
      </w:r>
    </w:p>
    <w:p w14:paraId="6496B89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533ACF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1.1 Formación y asesoramiento para la formalización en alguna de las figuras contempladas en la Ley 142 de 1994 para la prestación del servicio público de aseo.  </w:t>
      </w:r>
    </w:p>
    <w:p w14:paraId="2A7EE66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159EE7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1.2 Capacitación en aspectos administrativos, comerciales, financieros, técnicos y operativos para la prestación del servicio público de aseo en la actividad de aprovechamiento, de las estructuras organizacionales y de emprendimiento empresarial.  </w:t>
      </w:r>
    </w:p>
    <w:p w14:paraId="521EE88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6CC83C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1.3 Asesoramiento técnico y operativo para el manejo de los residuos aprovechables, generación de valor de </w:t>
      </w:r>
      <w:proofErr w:type="gramStart"/>
      <w:r w:rsidRPr="009342F9">
        <w:rPr>
          <w:rFonts w:ascii="Arial" w:eastAsia="Times New Roman" w:hAnsi="Arial" w:cs="Arial"/>
          <w:color w:val="000000"/>
          <w:lang w:eastAsia="es-CO"/>
        </w:rPr>
        <w:t>los mismos</w:t>
      </w:r>
      <w:proofErr w:type="gramEnd"/>
      <w:r w:rsidRPr="009342F9">
        <w:rPr>
          <w:rFonts w:ascii="Arial" w:eastAsia="Times New Roman" w:hAnsi="Arial" w:cs="Arial"/>
          <w:color w:val="000000"/>
          <w:lang w:eastAsia="es-CO"/>
        </w:rPr>
        <w:t xml:space="preserve"> y su incorporación en las cadenas productivas.  </w:t>
      </w:r>
    </w:p>
    <w:p w14:paraId="6EE91EB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04D65F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Un proyecto de apoyo a la formalización de los recicladores de oficio el cual deberá considerar los diferentes niveles de vulnerabilidad identificados en el respectivo Censo del PGIRS. Este proyecto deberá incluir metas de formalización las cuales deberán ser evaluadas anualmente.  </w:t>
      </w:r>
    </w:p>
    <w:p w14:paraId="344DBA2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4EC3D7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Parágrafo 1°. Cualquier intervención o acción afirmativa desarrollada por el ente territorial que no esté afecta a la prestación del servicio público de aseo en la actividad de aprovechamiento, deberá contar con los recursos del ente territorial y por lo tanto deberá ser incorporada dentro del </w:t>
      </w:r>
      <w:r w:rsidRPr="009342F9">
        <w:rPr>
          <w:rFonts w:ascii="Arial" w:eastAsia="Times New Roman" w:hAnsi="Arial" w:cs="Arial"/>
          <w:color w:val="000000"/>
          <w:lang w:eastAsia="es-CO"/>
        </w:rPr>
        <w:lastRenderedPageBreak/>
        <w:t>plan financiero del Plan de Gestión Integral de Residuos Sólidos (PGIRS) y del Plan de Desarrollo Municipal.  </w:t>
      </w:r>
    </w:p>
    <w:p w14:paraId="15FE124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F0F51A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2°. Al inicio de cada periodo de gobierno municipal o distrital se deberá evaluar, con la participación de los recicladores de oficio, la necesidad de actualizar el censo de recicladores. En caso de constituirse nuevas organizaciones de recicladores de oficio, estas deberán informarle al municipio a fin de mantener actualizado el censo.  </w:t>
      </w:r>
    </w:p>
    <w:p w14:paraId="7EE4F53E"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870" w:name="ver_30110791"/>
      <w:bookmarkEnd w:id="1870"/>
    </w:p>
    <w:p w14:paraId="30A13CAB" w14:textId="46F189FD"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2.3.2.5.5.2.</w:t>
      </w:r>
      <w:r w:rsidR="00EE4153">
        <w:rPr>
          <w:rFonts w:ascii="Arial" w:eastAsia="Times New Roman" w:hAnsi="Arial" w:cs="Arial"/>
          <w:color w:val="000000"/>
          <w:lang w:eastAsia="es-CO"/>
        </w:rPr>
        <w:t xml:space="preserve"> </w:t>
      </w:r>
      <w:r w:rsidRPr="009342F9">
        <w:rPr>
          <w:rFonts w:ascii="Arial" w:eastAsia="Times New Roman" w:hAnsi="Arial" w:cs="Arial"/>
          <w:color w:val="000000"/>
          <w:lang w:eastAsia="es-CO"/>
        </w:rPr>
        <w:t>Aportes bajo condición. Se entenderá que son aportes bajo condición la entrega por el municipio o distrito de bienes o derechos en infraestructura y equipos afectos a la prestación de la actividad de aprovechamiento en el marco del servicio público de aseo. Los aportes bajo condición no podrán destinarse para atender costos de mantenimiento, sostenimiento y operación de la infraestructura y equipos. </w:t>
      </w:r>
    </w:p>
    <w:p w14:paraId="34A12A6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5E3EFA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De conformidad con el artículo 87.9 de la Ley 142 de 1994 el valor de dichos aportes no podrá ser incluido en el cálculo de la tarifa de la actividad de aprovechamiento. </w:t>
      </w:r>
    </w:p>
    <w:p w14:paraId="346CE14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00A7EC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La Comisión de Regulación de Agua Potable y Saneamiento Básico (CRA) establecerá la metodología de descuentos por aportes de bienes y derechos que se realicen bajo condición de conformidad con el artículo 87.9 de la Ley 142 de 1994. </w:t>
      </w:r>
    </w:p>
    <w:p w14:paraId="763E342C" w14:textId="60F5ADF1"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871" w:name="ver_30110860"/>
      <w:bookmarkEnd w:id="1871"/>
    </w:p>
    <w:p w14:paraId="4B64846E" w14:textId="3B478D19"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2.3.2.5.5.3.</w:t>
      </w:r>
      <w:r w:rsidR="00EE4153">
        <w:rPr>
          <w:rFonts w:ascii="Arial" w:eastAsia="Times New Roman" w:hAnsi="Arial" w:cs="Arial"/>
          <w:color w:val="000000"/>
          <w:lang w:eastAsia="es-CO"/>
        </w:rPr>
        <w:t xml:space="preserve"> </w:t>
      </w:r>
      <w:r w:rsidRPr="009342F9">
        <w:rPr>
          <w:rFonts w:ascii="Arial" w:eastAsia="Times New Roman" w:hAnsi="Arial" w:cs="Arial"/>
          <w:color w:val="000000"/>
          <w:lang w:eastAsia="es-CO"/>
        </w:rPr>
        <w:t>Presentación de residuos aprovechables por parte de las entidades públicas del orden nacional. Las entidades públicas del orden nacional propenderán por presentar sus residuos aprovechables a las organizaciones de recicladores de oficio en proceso de formalización como personas prestadoras de la actividad de aprovechamiento. </w:t>
      </w:r>
    </w:p>
    <w:p w14:paraId="6A3940F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17DDE6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Las entidades públicas del orden nacional contarán con un plazo de seis (6) meses a partir de la publicación del presente capítulo, para formular e implementar campañas de separación en la fuente. </w:t>
      </w:r>
    </w:p>
    <w:p w14:paraId="57C28041" w14:textId="77777777" w:rsidR="004E2147" w:rsidRPr="009342F9" w:rsidRDefault="004E2147" w:rsidP="00FC79C1">
      <w:pPr>
        <w:spacing w:after="0" w:line="240" w:lineRule="auto"/>
        <w:jc w:val="both"/>
        <w:rPr>
          <w:rFonts w:ascii="Arial" w:eastAsia="Times New Roman" w:hAnsi="Arial" w:cs="Arial"/>
          <w:color w:val="000000"/>
          <w:lang w:eastAsia="es-CO"/>
        </w:rPr>
      </w:pPr>
    </w:p>
    <w:p w14:paraId="52CA3A35" w14:textId="42FCCEED"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2.3.2.5.5.4.</w:t>
      </w:r>
      <w:r w:rsidR="00EE4153">
        <w:rPr>
          <w:rFonts w:ascii="Arial" w:eastAsia="Times New Roman" w:hAnsi="Arial" w:cs="Arial"/>
          <w:color w:val="000000"/>
          <w:lang w:eastAsia="es-CO"/>
        </w:rPr>
        <w:t xml:space="preserve"> </w:t>
      </w:r>
      <w:r w:rsidRPr="009342F9">
        <w:rPr>
          <w:rFonts w:ascii="Arial" w:eastAsia="Times New Roman" w:hAnsi="Arial" w:cs="Arial"/>
          <w:color w:val="000000"/>
          <w:lang w:eastAsia="es-CO"/>
        </w:rPr>
        <w:t>Vigilancia y control. La Superintendencia de Servicios Públicos Domiciliarios (SSPD), en ejercicio de sus funciones de inspección, vigilancia y control, adelantará las medidas a que haya lugar, con el fin de que los prestadores de recolección y transporte de residuos sólidos no aprovechables den cumplimiento a las obligaciones previstas en el presente capítulo para garantizar el esquema operativo de la prestación de la actividad de aprovechamiento.  </w:t>
      </w:r>
    </w:p>
    <w:p w14:paraId="3327D5A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A3D203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 Superintendencia de Servicios Públicos Domiciliarios (SSPD) adelantará programas de vigilancia y control específicos sobre el pesaje y registro de las cantidades de residuos efectivamente aprovechados con miras al cobro eficiente de la actividad de aprovechamiento.  </w:t>
      </w:r>
    </w:p>
    <w:p w14:paraId="4CA12DC3"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872" w:name="ver_30110853"/>
      <w:bookmarkStart w:id="1873" w:name="ver_30110798"/>
      <w:bookmarkEnd w:id="1872"/>
    </w:p>
    <w:p w14:paraId="5E65647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2.3.2.5.5.5. Transitorio. En municipios y distritos que al momento de </w:t>
      </w:r>
      <w:proofErr w:type="gramStart"/>
      <w:r w:rsidRPr="009342F9">
        <w:rPr>
          <w:rFonts w:ascii="Arial" w:eastAsia="Times New Roman" w:hAnsi="Arial" w:cs="Arial"/>
          <w:color w:val="000000"/>
          <w:lang w:eastAsia="es-CO"/>
        </w:rPr>
        <w:t>entrada en vigencia</w:t>
      </w:r>
      <w:proofErr w:type="gramEnd"/>
      <w:r w:rsidRPr="009342F9">
        <w:rPr>
          <w:rFonts w:ascii="Arial" w:eastAsia="Times New Roman" w:hAnsi="Arial" w:cs="Arial"/>
          <w:color w:val="000000"/>
          <w:lang w:eastAsia="es-CO"/>
        </w:rPr>
        <w:t xml:space="preserve"> del presente capítulo cuenten con esquemas operativos de aprovechamiento, contarán con un plazo de dos (2) años para realizar los ajustes y observar en su integralidad a lo aquí dispuesto”.  </w:t>
      </w:r>
    </w:p>
    <w:p w14:paraId="1FE65634" w14:textId="77777777" w:rsidR="00FC79C1" w:rsidRPr="009342F9" w:rsidRDefault="00FC79C1" w:rsidP="00FC79C1">
      <w:pPr>
        <w:spacing w:after="0" w:line="240" w:lineRule="auto"/>
        <w:jc w:val="both"/>
        <w:rPr>
          <w:rFonts w:ascii="Arial" w:eastAsia="Times New Roman" w:hAnsi="Arial" w:cs="Arial"/>
          <w:color w:val="000000"/>
          <w:lang w:eastAsia="es-CO"/>
        </w:rPr>
      </w:pPr>
    </w:p>
    <w:p w14:paraId="6285BFF6" w14:textId="77777777" w:rsidR="00FC79C1" w:rsidRPr="009342F9" w:rsidRDefault="00FC79C1" w:rsidP="004E2147">
      <w:pPr>
        <w:spacing w:after="0" w:line="240" w:lineRule="auto"/>
        <w:jc w:val="center"/>
        <w:rPr>
          <w:rFonts w:ascii="Arial" w:eastAsia="Times New Roman" w:hAnsi="Arial" w:cs="Arial"/>
          <w:b/>
          <w:bCs/>
          <w:color w:val="000000"/>
          <w:lang w:eastAsia="es-CO"/>
        </w:rPr>
      </w:pPr>
      <w:bookmarkStart w:id="1874" w:name="ver_30137377"/>
      <w:bookmarkEnd w:id="1873"/>
      <w:bookmarkEnd w:id="1874"/>
      <w:r w:rsidRPr="009342F9">
        <w:rPr>
          <w:rFonts w:ascii="Arial" w:eastAsia="Times New Roman" w:hAnsi="Arial" w:cs="Arial"/>
          <w:b/>
          <w:bCs/>
          <w:color w:val="000000"/>
          <w:lang w:eastAsia="es-CO"/>
        </w:rPr>
        <w:t>CAPÍTULO 6</w:t>
      </w:r>
    </w:p>
    <w:p w14:paraId="40222D9D" w14:textId="64D73695" w:rsidR="00FC79C1" w:rsidRPr="009342F9" w:rsidRDefault="00FC79C1" w:rsidP="004E2147">
      <w:pPr>
        <w:spacing w:after="0" w:line="240" w:lineRule="auto"/>
        <w:jc w:val="center"/>
        <w:rPr>
          <w:rFonts w:ascii="Arial" w:eastAsia="Times New Roman" w:hAnsi="Arial" w:cs="Arial"/>
          <w:b/>
          <w:bCs/>
          <w:color w:val="000000"/>
          <w:lang w:eastAsia="es-CO"/>
        </w:rPr>
      </w:pPr>
      <w:r w:rsidRPr="0CEF5355">
        <w:rPr>
          <w:rFonts w:ascii="Arial" w:eastAsia="Times New Roman" w:hAnsi="Arial" w:cs="Arial"/>
          <w:b/>
          <w:color w:val="000000" w:themeColor="text1"/>
          <w:lang w:eastAsia="es-CO"/>
        </w:rPr>
        <w:t>TRATAMIENTO</w:t>
      </w:r>
    </w:p>
    <w:p w14:paraId="05BC632C" w14:textId="64D73695" w:rsidR="00FC79C1" w:rsidRPr="009342F9" w:rsidRDefault="00FC79C1" w:rsidP="00FC79C1">
      <w:pPr>
        <w:spacing w:after="0" w:line="240" w:lineRule="auto"/>
        <w:jc w:val="both"/>
        <w:rPr>
          <w:rFonts w:ascii="Arial" w:eastAsia="Times New Roman" w:hAnsi="Arial" w:cs="Arial"/>
          <w:color w:val="000000"/>
          <w:lang w:eastAsia="es-CO"/>
        </w:rPr>
      </w:pPr>
      <w:bookmarkStart w:id="1875" w:name="ver_30137378"/>
      <w:bookmarkEnd w:id="1875"/>
    </w:p>
    <w:p w14:paraId="27354B27" w14:textId="64D73695" w:rsidR="00FC79C1" w:rsidRPr="009342F9" w:rsidRDefault="00FC79C1" w:rsidP="00FC79C1">
      <w:pPr>
        <w:spacing w:after="0" w:line="240" w:lineRule="auto"/>
        <w:jc w:val="both"/>
        <w:rPr>
          <w:rFonts w:ascii="Arial" w:eastAsia="Times New Roman" w:hAnsi="Arial" w:cs="Arial"/>
          <w:color w:val="000000"/>
          <w:lang w:eastAsia="es-CO"/>
        </w:rPr>
      </w:pPr>
      <w:r w:rsidRPr="0CEF5355">
        <w:rPr>
          <w:rFonts w:ascii="Arial" w:eastAsia="Times New Roman" w:hAnsi="Arial" w:cs="Arial"/>
          <w:color w:val="000000" w:themeColor="text1"/>
          <w:lang w:eastAsia="es-CO"/>
        </w:rPr>
        <w:t>Artículo 2.3.2.6.1. Objeto. El presente capítulo tiene por objeto reglamentar las condiciones bajo las cuales deberá desarrollarse la actividad complementaria de tratamiento de residuos sólidos en la prestación del servicio público de aseo.  </w:t>
      </w:r>
    </w:p>
    <w:p w14:paraId="4E917C30" w14:textId="64D73695" w:rsidR="004E2147" w:rsidRPr="009342F9" w:rsidRDefault="004E2147" w:rsidP="00FC79C1">
      <w:pPr>
        <w:spacing w:after="0" w:line="240" w:lineRule="auto"/>
        <w:jc w:val="both"/>
        <w:rPr>
          <w:rFonts w:ascii="Arial" w:eastAsia="Times New Roman" w:hAnsi="Arial" w:cs="Arial"/>
          <w:color w:val="000000"/>
          <w:lang w:eastAsia="es-CO"/>
        </w:rPr>
      </w:pPr>
    </w:p>
    <w:p w14:paraId="2B2EA1D7" w14:textId="64D73695" w:rsidR="00FC79C1" w:rsidRPr="009342F9" w:rsidRDefault="00FC79C1" w:rsidP="00FC79C1">
      <w:pPr>
        <w:spacing w:after="0" w:line="240" w:lineRule="auto"/>
        <w:jc w:val="both"/>
        <w:rPr>
          <w:rFonts w:ascii="Arial" w:eastAsia="Times New Roman" w:hAnsi="Arial" w:cs="Arial"/>
          <w:color w:val="000000"/>
          <w:lang w:eastAsia="es-CO"/>
        </w:rPr>
      </w:pPr>
      <w:r w:rsidRPr="0CEF5355">
        <w:rPr>
          <w:rFonts w:ascii="Arial" w:eastAsia="Times New Roman" w:hAnsi="Arial" w:cs="Arial"/>
          <w:color w:val="000000" w:themeColor="text1"/>
          <w:lang w:eastAsia="es-CO"/>
        </w:rPr>
        <w:lastRenderedPageBreak/>
        <w:t>Artículo 2.3.2.6.2. Del Interés Público y Social. Las áreas potenciales que la entidad territorial defina en los Planes de Ordenamiento Territorial (POT), Planes Básicos de Ordenamiento Territorial (PBOT), o Esquemas de Ordenamiento Territorial (EOT), según sea el caso, para la ubicación de infraestructura y prestación de la actividad complementaria de tratamiento de residuos sólidos, son de interés público y social.  </w:t>
      </w:r>
    </w:p>
    <w:p w14:paraId="24EB662B" w14:textId="3E562B35" w:rsidR="00FC79C1" w:rsidRPr="009342F9" w:rsidRDefault="00FC79C1" w:rsidP="00FC79C1">
      <w:pPr>
        <w:spacing w:after="0" w:line="240" w:lineRule="auto"/>
        <w:jc w:val="both"/>
        <w:rPr>
          <w:rFonts w:ascii="Arial" w:eastAsia="Times New Roman" w:hAnsi="Arial" w:cs="Arial"/>
          <w:color w:val="000000"/>
          <w:lang w:eastAsia="es-CO"/>
        </w:rPr>
      </w:pPr>
      <w:bookmarkStart w:id="1876" w:name="ver_30137380"/>
      <w:bookmarkEnd w:id="1876"/>
    </w:p>
    <w:p w14:paraId="75BB412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2.3.2.6.3. De la responsabilidad de las Entidades Territoriales. Es responsabilidad de los entes territoriales asegurar la prestación de la actividad complementaria de tratamiento, ya sea en su propio territorio o en otra jurisdicción, y para el efecto podrá participar en la estructuración e implementación de soluciones de carácter regional.  </w:t>
      </w:r>
    </w:p>
    <w:p w14:paraId="186C68F4"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877" w:name="ver_30137387"/>
      <w:bookmarkEnd w:id="1877"/>
    </w:p>
    <w:p w14:paraId="1203124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2.3.2.6.4. Finalidad del Ordenamiento Territorial en la actividad de tratamiento. Con el fin de implementar la actividad de tratamiento, el ordenamiento territorial promoverá el establecimiento de regiones de planeación y gestión de residuos sólidos como marco de las relaciones geográficas, económicas y funcionales para el aseguramiento de su prestación. </w:t>
      </w:r>
    </w:p>
    <w:p w14:paraId="6D42A274" w14:textId="77777777" w:rsidR="004E2147" w:rsidRPr="009342F9" w:rsidRDefault="004E2147" w:rsidP="00FC79C1">
      <w:pPr>
        <w:spacing w:after="0" w:line="240" w:lineRule="auto"/>
        <w:jc w:val="both"/>
        <w:rPr>
          <w:rFonts w:ascii="Arial" w:eastAsia="Times New Roman" w:hAnsi="Arial" w:cs="Arial"/>
          <w:color w:val="000000"/>
          <w:lang w:eastAsia="es-CO"/>
        </w:rPr>
      </w:pPr>
      <w:bookmarkStart w:id="1878" w:name="ver_30137388"/>
      <w:bookmarkEnd w:id="1878"/>
    </w:p>
    <w:p w14:paraId="10F64173" w14:textId="745EA090"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2.3.2.6.5. Selección de Tratamiento. La selección de tratamiento o tratamientos a implementar debe considerar, entre otros, su complejidad, acorde con la caracterización de residuos sólidos según el tratamiento a implementar, los estudios de población, proyección de generación de residuos, análisis de viabilidad financiera y económica, así como la sostenibilidad empresarial. Parágrafo. El Ministerio de Vivienda, Ciudad y Territorio definirá los criterios mínimos que deberán ser considerados para seleccionar el tipo de tratamiento o tratamientos. </w:t>
      </w:r>
    </w:p>
    <w:p w14:paraId="2CF2D190"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879" w:name="ver_30137389"/>
      <w:bookmarkEnd w:id="1879"/>
    </w:p>
    <w:p w14:paraId="7A5E4EB6" w14:textId="77777777" w:rsidR="00FC79C1" w:rsidRPr="009342F9" w:rsidRDefault="00FC79C1" w:rsidP="004E2147">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2.3.2.6.6. Localización de áreas para tratamiento. Con el fin de ubicar áreas para la localización de infraestructura asociada al tratamiento de residuos sólidos municipales o regionales, el ente territorial definirá la incorporación al plan de ordenamiento (POT, PBOT, EOT), de los polígonos donde potencialmente se localizarán dichas áreas, de acuerdo con los siguientes criterios:  </w:t>
      </w:r>
    </w:p>
    <w:p w14:paraId="0EFE8E50" w14:textId="77777777" w:rsidR="00FC79C1" w:rsidRPr="009342F9" w:rsidRDefault="00FC79C1" w:rsidP="00FC79C1">
      <w:pPr>
        <w:spacing w:after="0" w:line="240" w:lineRule="auto"/>
        <w:ind w:left="602"/>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6A63FA5" w14:textId="77777777" w:rsidR="00FC79C1" w:rsidRPr="009342F9" w:rsidRDefault="00FC79C1" w:rsidP="004E2147">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Identificación de determinantes ambientales debidamente incluidas en la cartografía oficial del POT, PBOT O EOT.  </w:t>
      </w:r>
    </w:p>
    <w:p w14:paraId="50B1CCAE" w14:textId="77777777" w:rsidR="004E2147" w:rsidRPr="009342F9" w:rsidRDefault="004E2147" w:rsidP="004E2147">
      <w:pPr>
        <w:spacing w:after="0" w:line="240" w:lineRule="auto"/>
        <w:jc w:val="both"/>
        <w:rPr>
          <w:rFonts w:ascii="Arial" w:eastAsia="Times New Roman" w:hAnsi="Arial" w:cs="Arial"/>
          <w:color w:val="000000"/>
          <w:lang w:eastAsia="es-CO"/>
        </w:rPr>
      </w:pPr>
    </w:p>
    <w:p w14:paraId="42E479B4" w14:textId="305F3CF2" w:rsidR="00FC79C1" w:rsidRPr="009342F9" w:rsidRDefault="00FC79C1" w:rsidP="004E2147">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Identificación de áreas con riesgo no mitigable incorporados en POT, PBOT o EOT.  </w:t>
      </w:r>
    </w:p>
    <w:p w14:paraId="145F14D6" w14:textId="77777777" w:rsidR="004E2147" w:rsidRPr="009342F9" w:rsidRDefault="004E2147" w:rsidP="004E2147">
      <w:pPr>
        <w:spacing w:after="0" w:line="240" w:lineRule="auto"/>
        <w:jc w:val="both"/>
        <w:rPr>
          <w:rFonts w:ascii="Arial" w:eastAsia="Times New Roman" w:hAnsi="Arial" w:cs="Arial"/>
          <w:color w:val="000000"/>
          <w:lang w:eastAsia="es-CO"/>
        </w:rPr>
      </w:pPr>
    </w:p>
    <w:p w14:paraId="521DC349" w14:textId="500614F7" w:rsidR="00FC79C1" w:rsidRPr="009342F9" w:rsidRDefault="00FC79C1" w:rsidP="004E2147">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Identificación de sitios intervenidos con la actividad de disposición final de residuos sólidos. 4. Identificación de zonas actuales con uso de suelo compatible con el tratamiento o tratamientos seleccionados.  </w:t>
      </w:r>
    </w:p>
    <w:p w14:paraId="5AD999A4" w14:textId="77777777" w:rsidR="00FC79C1" w:rsidRPr="009342F9" w:rsidRDefault="00FC79C1" w:rsidP="00FC79C1">
      <w:pPr>
        <w:spacing w:after="0" w:line="240" w:lineRule="auto"/>
        <w:ind w:left="602"/>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8E80569" w14:textId="77777777" w:rsidR="00FC79C1" w:rsidRPr="009342F9" w:rsidRDefault="00FC79C1" w:rsidP="004E2147">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1°. Con fundamento en la aplicación de los anteriores criterios se definirán las áreas disponibles sobre las que se deberán realizar los correspondientes estudios técnicos que establezcan su potencialidad para el desarrollo de tratamientos.  </w:t>
      </w:r>
    </w:p>
    <w:p w14:paraId="28248F5F" w14:textId="77777777" w:rsidR="00FC79C1" w:rsidRPr="009342F9" w:rsidRDefault="00FC79C1" w:rsidP="00FC79C1">
      <w:pPr>
        <w:spacing w:after="0" w:line="240" w:lineRule="auto"/>
        <w:ind w:left="602"/>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D9CFD84" w14:textId="77777777" w:rsidR="00FC79C1" w:rsidRPr="009342F9" w:rsidRDefault="00FC79C1" w:rsidP="004E2147">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2°. El Ministerio de Vivienda, Ciudad y Territorio establecerá los elementos que deberán considerarse para efectos de definir la potencialidad de las áreas disponibles para tratamiento, considerando entre otros, su complejidad, acorde con la caracterización de los residuos sólidos según el tratamiento a implementar, los estudios de población, proyección de generación de residuos sólidos, análisis de viabilidad financiera y económica, así como la sostenibilidad empresarial.  </w:t>
      </w:r>
    </w:p>
    <w:p w14:paraId="2AB667CD" w14:textId="77777777" w:rsidR="00FC79C1" w:rsidRPr="009342F9" w:rsidRDefault="00FC79C1" w:rsidP="00FC79C1">
      <w:pPr>
        <w:spacing w:after="0" w:line="240" w:lineRule="auto"/>
        <w:ind w:left="602"/>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2B8FBD0" w14:textId="77777777" w:rsidR="00FC79C1" w:rsidRPr="009342F9" w:rsidRDefault="00FC79C1" w:rsidP="004E2147">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Parágrafo 3°. Las áreas definidas como potenciales para la ejecución de proyectos de tratamiento acorde con lo que para el efecto defina el Ministerio de Vivienda, Ciudad y Territorio serán </w:t>
      </w:r>
      <w:r w:rsidRPr="009342F9">
        <w:rPr>
          <w:rFonts w:ascii="Arial" w:eastAsia="Times New Roman" w:hAnsi="Arial" w:cs="Arial"/>
          <w:color w:val="000000"/>
          <w:lang w:eastAsia="es-CO"/>
        </w:rPr>
        <w:lastRenderedPageBreak/>
        <w:t>consideradas para todos los efectos como de Interés Público y Social y deberán estar articuladas en el Plan de Gestión Integral de Residuos Sólidos (PGIRS).  </w:t>
      </w:r>
    </w:p>
    <w:p w14:paraId="7DA13A51" w14:textId="77777777" w:rsidR="00FC79C1" w:rsidRPr="009342F9" w:rsidRDefault="00FC79C1" w:rsidP="00FC79C1">
      <w:pPr>
        <w:spacing w:after="0" w:line="240" w:lineRule="auto"/>
        <w:ind w:left="602"/>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D473AE0" w14:textId="77777777" w:rsidR="00FC79C1" w:rsidRPr="009342F9" w:rsidRDefault="00FC79C1" w:rsidP="004E2147">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4°. Las áreas intervenidas con cualquier forma de disposición final deberán ser consideradas prioritariamente para la ubicación de infraestructura para el tratamiento de residuos sólidos.  </w:t>
      </w:r>
    </w:p>
    <w:p w14:paraId="3B7A6118" w14:textId="77777777" w:rsidR="004E2147" w:rsidRPr="009342F9" w:rsidRDefault="004E2147" w:rsidP="00FC79C1">
      <w:pPr>
        <w:spacing w:after="0" w:line="240" w:lineRule="auto"/>
        <w:jc w:val="both"/>
        <w:rPr>
          <w:rFonts w:ascii="Arial" w:eastAsia="Times New Roman" w:hAnsi="Arial" w:cs="Arial"/>
          <w:color w:val="000000"/>
          <w:lang w:eastAsia="es-CO"/>
        </w:rPr>
      </w:pPr>
    </w:p>
    <w:p w14:paraId="3AAFFA07" w14:textId="1EAF05B3"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2.3.2.6.7. Reglamento Operativo. Los sistemas de tratamiento o tratamientos deberán contar con un Reglamento Operativo que establezca los instrumentos de Planeación, Operación y Seguimiento para las diferentes etapas de desarrollo del proyecto. Los elementos mínimos que deberán ser considerados en el Reglamento Operativo son: Manuales de Operación, Bitácoras y Registros; de acuerdo con los criterios que para el efecto defina el Ministerio de Vivienda, Ciudad y Territorio.  </w:t>
      </w:r>
    </w:p>
    <w:p w14:paraId="1C1B79DB"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880" w:name="ver_30137394"/>
      <w:bookmarkEnd w:id="1880"/>
    </w:p>
    <w:p w14:paraId="651E9A1B" w14:textId="77777777" w:rsidR="00FC79C1" w:rsidRPr="009342F9" w:rsidRDefault="00FC79C1" w:rsidP="004E2147">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2.3.2.6.8. Monitoreo, Seguimiento y Control a la operación de las actividades de tratamiento. Son responsabilidades de la persona prestadora, las actividades de monitoreo, seguimiento y control técnico de los tratamientos, dentro de las cuales deberán contemplarse como mínimo las siguientes:  </w:t>
      </w:r>
    </w:p>
    <w:p w14:paraId="620ADC97" w14:textId="77777777" w:rsidR="00FC79C1" w:rsidRPr="009342F9" w:rsidRDefault="00FC79C1" w:rsidP="00FC79C1">
      <w:pPr>
        <w:spacing w:after="0" w:line="240" w:lineRule="auto"/>
        <w:ind w:left="602"/>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5BD8471" w14:textId="77777777" w:rsidR="00FC79C1" w:rsidRPr="009342F9" w:rsidRDefault="00FC79C1" w:rsidP="004E2147">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Cantidad y calidad del material de ingreso.  </w:t>
      </w:r>
    </w:p>
    <w:p w14:paraId="628EB8FE" w14:textId="77777777" w:rsidR="00FC79C1" w:rsidRPr="009342F9" w:rsidRDefault="00FC79C1" w:rsidP="004E2147">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Flujo de proceso y respectivos procedimientos.  </w:t>
      </w:r>
    </w:p>
    <w:p w14:paraId="185BCF3A" w14:textId="77777777" w:rsidR="00FC79C1" w:rsidRPr="009342F9" w:rsidRDefault="00FC79C1" w:rsidP="004E2147">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Balance de masas.  </w:t>
      </w:r>
    </w:p>
    <w:p w14:paraId="1529AD94" w14:textId="77777777" w:rsidR="00FC79C1" w:rsidRPr="009342F9" w:rsidRDefault="00FC79C1" w:rsidP="004E2147">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Cantidad y Calidad de subproductos generados en el tratamiento.  </w:t>
      </w:r>
    </w:p>
    <w:p w14:paraId="7AF4C18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Cantidad y Calidad de material de rechazo generado y tipo de disposición final </w:t>
      </w:r>
    </w:p>
    <w:p w14:paraId="4CF1702A" w14:textId="77777777" w:rsidR="004E2147" w:rsidRPr="009342F9" w:rsidRDefault="004E2147" w:rsidP="00FC79C1">
      <w:pPr>
        <w:spacing w:after="0" w:line="240" w:lineRule="auto"/>
        <w:jc w:val="both"/>
        <w:rPr>
          <w:rFonts w:ascii="Arial" w:eastAsia="Times New Roman" w:hAnsi="Arial" w:cs="Arial"/>
          <w:color w:val="000000"/>
          <w:spacing w:val="45"/>
          <w:lang w:eastAsia="es-CO"/>
        </w:rPr>
      </w:pPr>
      <w:bookmarkStart w:id="1881" w:name="ver_30075851"/>
      <w:bookmarkEnd w:id="1881"/>
    </w:p>
    <w:p w14:paraId="177C925A" w14:textId="60EBB0FB" w:rsidR="00FC79C1" w:rsidRPr="009342F9" w:rsidRDefault="00FC79C1" w:rsidP="004E2147">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TÍTULO 3</w:t>
      </w:r>
    </w:p>
    <w:p w14:paraId="21075200" w14:textId="6FC080EA" w:rsidR="00FC79C1" w:rsidRPr="009342F9" w:rsidRDefault="000443A9" w:rsidP="004E2147">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PLANES DEPARTAMENTALES DE AGUA</w:t>
      </w:r>
    </w:p>
    <w:p w14:paraId="15640F8C" w14:textId="77777777" w:rsidR="00EE4153" w:rsidRDefault="00EE4153" w:rsidP="004E2147">
      <w:pPr>
        <w:spacing w:after="0" w:line="240" w:lineRule="auto"/>
        <w:jc w:val="center"/>
        <w:rPr>
          <w:rFonts w:ascii="Arial" w:eastAsia="Times New Roman" w:hAnsi="Arial" w:cs="Arial"/>
          <w:b/>
          <w:bCs/>
          <w:color w:val="000000"/>
          <w:lang w:eastAsia="es-CO"/>
        </w:rPr>
      </w:pPr>
      <w:bookmarkStart w:id="1882" w:name="ver_30197516"/>
      <w:bookmarkEnd w:id="1882"/>
    </w:p>
    <w:p w14:paraId="30E19E09" w14:textId="779B2194" w:rsidR="00FC79C1" w:rsidRPr="009342F9" w:rsidRDefault="000443A9" w:rsidP="004E2147">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CAPÍTULO 1</w:t>
      </w:r>
    </w:p>
    <w:p w14:paraId="5A787ACC" w14:textId="6927BB42" w:rsidR="00FC79C1" w:rsidRPr="009342F9" w:rsidRDefault="000443A9" w:rsidP="004E2147">
      <w:pPr>
        <w:spacing w:after="0" w:line="240" w:lineRule="auto"/>
        <w:jc w:val="center"/>
        <w:rPr>
          <w:rFonts w:ascii="Arial" w:eastAsia="Times New Roman" w:hAnsi="Arial" w:cs="Arial"/>
          <w:b/>
          <w:bCs/>
          <w:color w:val="000000"/>
          <w:lang w:eastAsia="es-CO"/>
        </w:rPr>
      </w:pPr>
      <w:r>
        <w:rPr>
          <w:rFonts w:ascii="Arial" w:eastAsia="Times New Roman" w:hAnsi="Arial" w:cs="Arial"/>
          <w:b/>
          <w:bCs/>
          <w:color w:val="000000"/>
          <w:lang w:eastAsia="es-CO"/>
        </w:rPr>
        <w:t>P</w:t>
      </w:r>
      <w:r w:rsidRPr="009342F9">
        <w:rPr>
          <w:rFonts w:ascii="Arial" w:eastAsia="Times New Roman" w:hAnsi="Arial" w:cs="Arial"/>
          <w:b/>
          <w:bCs/>
          <w:color w:val="000000"/>
          <w:lang w:eastAsia="es-CO"/>
        </w:rPr>
        <w:t>OR EL CUAL SE REGLAMENTAN LOS PLANES DEPARTAMENTALES PARA EL MANEJO EMPRESARIAL DE LOS SERVICIOS DE AGUA Y SANEAMIENTO (PDA) SECCIÓN 1 DISPOSICIONES GENERALES</w:t>
      </w:r>
    </w:p>
    <w:p w14:paraId="01765540" w14:textId="77777777" w:rsidR="004E2147" w:rsidRPr="009342F9" w:rsidRDefault="004E2147" w:rsidP="00FC79C1">
      <w:pPr>
        <w:spacing w:after="0" w:line="240" w:lineRule="auto"/>
        <w:jc w:val="both"/>
        <w:rPr>
          <w:rFonts w:ascii="Arial" w:eastAsia="Times New Roman" w:hAnsi="Arial" w:cs="Arial"/>
          <w:color w:val="000000"/>
          <w:lang w:eastAsia="es-CO"/>
        </w:rPr>
      </w:pPr>
    </w:p>
    <w:p w14:paraId="5B0BDD28" w14:textId="3E0270FC" w:rsidR="00FC79C1" w:rsidRPr="009342F9" w:rsidRDefault="000443A9" w:rsidP="004E2147">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SECCIÓN 1</w:t>
      </w:r>
    </w:p>
    <w:p w14:paraId="71301F0B" w14:textId="0B894A99" w:rsidR="00FC79C1" w:rsidRPr="009342F9" w:rsidRDefault="000443A9" w:rsidP="004E2147">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DISPOSICIONES GENERALES</w:t>
      </w:r>
    </w:p>
    <w:p w14:paraId="5E23EF31"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883" w:name="ver_30197517"/>
      <w:bookmarkStart w:id="1884" w:name="ver_30075858"/>
      <w:bookmarkEnd w:id="1883"/>
    </w:p>
    <w:p w14:paraId="239C10E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2.3.3.1.1.1. Objeto. Reglamentar los Planes Departamentales para el Manejo Empresarial de los Servicios de Agua y Saneamiento (PDA), con el fin de fortalecer la capacidad institucional de los participantes, establecer los aspectos que los conforman; complementar el componente de aseguramiento de la prestación de los servicios de agua potable y saneamiento básico; y, en general, contribuir a la eficiente ejecución de los Planes Departamentales. </w:t>
      </w:r>
    </w:p>
    <w:p w14:paraId="5C53D5BE" w14:textId="063961DA"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885" w:name="ver_30197518"/>
      <w:bookmarkStart w:id="1886" w:name="ver_30075861"/>
      <w:bookmarkEnd w:id="1884"/>
      <w:bookmarkEnd w:id="1885"/>
    </w:p>
    <w:p w14:paraId="173BB1FE" w14:textId="1E067F70" w:rsidR="00FC79C1" w:rsidRPr="009342F9" w:rsidRDefault="00FC79C1" w:rsidP="00F647A1">
      <w:pPr>
        <w:spacing w:after="0" w:line="240" w:lineRule="auto"/>
        <w:jc w:val="both"/>
        <w:rPr>
          <w:rFonts w:ascii="Arial" w:eastAsia="Times New Roman" w:hAnsi="Arial" w:cs="Arial"/>
          <w:color w:val="000000"/>
          <w:lang w:eastAsia="es-CO"/>
        </w:rPr>
      </w:pPr>
      <w:bookmarkStart w:id="1887" w:name="_Hlk47878660"/>
      <w:r w:rsidRPr="009342F9">
        <w:rPr>
          <w:rFonts w:ascii="Arial" w:eastAsia="Times New Roman" w:hAnsi="Arial" w:cs="Arial"/>
          <w:color w:val="000000"/>
          <w:lang w:eastAsia="es-CO"/>
        </w:rPr>
        <w:t xml:space="preserve">Artículo 2.3.3.1.1.2. </w:t>
      </w:r>
      <w:bookmarkEnd w:id="1887"/>
      <w:r w:rsidRPr="009342F9">
        <w:rPr>
          <w:rFonts w:ascii="Arial" w:eastAsia="Times New Roman" w:hAnsi="Arial" w:cs="Arial"/>
          <w:color w:val="000000"/>
          <w:lang w:eastAsia="es-CO"/>
        </w:rPr>
        <w:t>Definición de los Planes Departamentales para el Manejo Empresarial de los Servicios de Agua y Saneamiento (PDA). Son un conjunto de estrategias de planeación y coordinación interinstitucional formuladas y ejecutadas con el objeto de lograr la armonización integral de recursos y la implementación de esquemas eficientes y sostenibles que garanticen el acceso a agua potable y saneamiento básico, teniendo en cuenta las características locales, la capacidad institucional de las entidades territoriales, las personas prestadoras de los servicios públicos, las comunidades organizadas y, la implementación efectiva de esquemas de regionalización y asociativos comunitarios. </w:t>
      </w:r>
    </w:p>
    <w:p w14:paraId="7A53C06E" w14:textId="6968618C" w:rsidR="00F647A1" w:rsidRPr="009342F9" w:rsidRDefault="00F647A1" w:rsidP="00F647A1">
      <w:pPr>
        <w:spacing w:after="0" w:line="240" w:lineRule="auto"/>
        <w:jc w:val="both"/>
        <w:rPr>
          <w:rFonts w:ascii="Arial" w:eastAsia="Times New Roman" w:hAnsi="Arial" w:cs="Arial"/>
          <w:color w:val="000000"/>
          <w:lang w:eastAsia="es-CO"/>
        </w:rPr>
      </w:pPr>
    </w:p>
    <w:p w14:paraId="288ED7E2" w14:textId="0127FDF8" w:rsidR="00F647A1" w:rsidRPr="00DA08A0" w:rsidRDefault="00F647A1" w:rsidP="00F647A1">
      <w:pPr>
        <w:pStyle w:val="Textoindependiente"/>
        <w:spacing w:line="264" w:lineRule="auto"/>
        <w:ind w:right="310"/>
        <w:jc w:val="both"/>
        <w:rPr>
          <w:sz w:val="20"/>
          <w:szCs w:val="20"/>
        </w:rPr>
      </w:pPr>
      <w:r w:rsidRPr="00DA08A0">
        <w:rPr>
          <w:w w:val="105"/>
          <w:sz w:val="20"/>
          <w:szCs w:val="20"/>
        </w:rPr>
        <w:lastRenderedPageBreak/>
        <w:t xml:space="preserve">(Ver conceptos: </w:t>
      </w:r>
      <w:hyperlink r:id="rId34" w:history="1">
        <w:r w:rsidRPr="00DA08A0">
          <w:rPr>
            <w:rStyle w:val="Hipervnculo"/>
            <w:w w:val="105"/>
            <w:sz w:val="20"/>
            <w:szCs w:val="20"/>
          </w:rPr>
          <w:t>C−190 del 16/04/2020</w:t>
        </w:r>
      </w:hyperlink>
      <w:r w:rsidRPr="00DA08A0">
        <w:rPr>
          <w:w w:val="105"/>
          <w:sz w:val="20"/>
          <w:szCs w:val="20"/>
        </w:rPr>
        <w:t>)</w:t>
      </w:r>
    </w:p>
    <w:bookmarkEnd w:id="1886"/>
    <w:p w14:paraId="52856695" w14:textId="77777777" w:rsidR="004E2147" w:rsidRPr="009342F9" w:rsidRDefault="004E2147" w:rsidP="00F647A1">
      <w:pPr>
        <w:spacing w:after="0" w:line="240" w:lineRule="auto"/>
        <w:jc w:val="both"/>
        <w:rPr>
          <w:rFonts w:ascii="Arial" w:eastAsia="Times New Roman" w:hAnsi="Arial" w:cs="Arial"/>
          <w:color w:val="000000"/>
          <w:lang w:eastAsia="es-CO"/>
        </w:rPr>
      </w:pPr>
    </w:p>
    <w:p w14:paraId="7B9564F6" w14:textId="626B8976" w:rsidR="00FC79C1" w:rsidRPr="009342F9" w:rsidRDefault="00FC79C1" w:rsidP="00F647A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2.3.3.1.1.3. Ámbito de aplicación. El presente capítulo se aplica a todos los participantes en la planeación, coordinación y ejecución interinstitucional de los Planes Departamentales para el Manejo Empresarial de los Servicios de Agua y Saneamiento (PDA), y a los instrumentos de administración de los recursos, que en virtud de la Ley 1176 de 2007, Ley 1450 de 2011, Ley 1530 de 2012 y Ley 1753 de 2015 o las normas que las modifiquen, complementen o sustituyan, pueden y deben ejecutarse a través de los Planes Departamentales para el Manejo Empresarial de los Servicios de Agua y Saneamiento (PDA).  </w:t>
      </w:r>
    </w:p>
    <w:p w14:paraId="113984B1" w14:textId="77777777" w:rsidR="004E2147" w:rsidRPr="009342F9" w:rsidRDefault="004E2147" w:rsidP="00FC79C1">
      <w:pPr>
        <w:spacing w:after="0" w:line="240" w:lineRule="auto"/>
        <w:jc w:val="both"/>
        <w:rPr>
          <w:rFonts w:ascii="Arial" w:eastAsia="Times New Roman" w:hAnsi="Arial" w:cs="Arial"/>
          <w:color w:val="000000"/>
          <w:lang w:eastAsia="es-CO"/>
        </w:rPr>
      </w:pPr>
      <w:bookmarkStart w:id="1888" w:name="ver_30197559"/>
      <w:bookmarkEnd w:id="1888"/>
    </w:p>
    <w:p w14:paraId="514ADFFF" w14:textId="62BD3F7D" w:rsidR="00FC79C1" w:rsidRPr="009342F9" w:rsidRDefault="00FC79C1" w:rsidP="004E2147">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SECCIÓN 2</w:t>
      </w:r>
    </w:p>
    <w:p w14:paraId="408022C3" w14:textId="77777777" w:rsidR="00FC79C1" w:rsidRPr="009342F9" w:rsidRDefault="00FC79C1" w:rsidP="004E2147">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ESTRUCTURAS OPERATIVAS Y FUNCIONES</w:t>
      </w:r>
    </w:p>
    <w:p w14:paraId="0EC2669D"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889" w:name="ver_30197561"/>
      <w:bookmarkEnd w:id="1889"/>
    </w:p>
    <w:p w14:paraId="52E74B5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2.3.3.1.2.1. Estructuras Operativas de los Planes Departamentales para el Manejo Empresarial de los Servicios de Agua y Saneamiento (PDA). Cada Plan Departamental para el Manejo Empresarial de los Servicios de Agua y Saneamiento tendrá las siguientes estructuras operativas:  </w:t>
      </w:r>
    </w:p>
    <w:p w14:paraId="0E42D65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525EA9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Gestor.  </w:t>
      </w:r>
    </w:p>
    <w:p w14:paraId="0AA4E5D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3132EA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Comité Directivo. </w:t>
      </w:r>
    </w:p>
    <w:p w14:paraId="671D383A"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890" w:name="ver_30197564"/>
      <w:bookmarkEnd w:id="1890"/>
    </w:p>
    <w:p w14:paraId="67030320"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891" w:name="_Hlk47878618"/>
      <w:r w:rsidRPr="009342F9">
        <w:rPr>
          <w:rFonts w:ascii="Arial" w:eastAsia="Times New Roman" w:hAnsi="Arial" w:cs="Arial"/>
          <w:color w:val="000000"/>
          <w:lang w:eastAsia="es-CO"/>
        </w:rPr>
        <w:t>Artículo 2.3.3.1.2.2</w:t>
      </w:r>
      <w:bookmarkEnd w:id="1891"/>
      <w:r w:rsidRPr="009342F9">
        <w:rPr>
          <w:rFonts w:ascii="Arial" w:eastAsia="Times New Roman" w:hAnsi="Arial" w:cs="Arial"/>
          <w:color w:val="000000"/>
          <w:lang w:eastAsia="es-CO"/>
        </w:rPr>
        <w:t>. El Gestor. El Gestor es el responsable de la gestión, planeación, implementación, ejecución de los Planes Departamentales para el Manejo Empresarial de los Servicios de Agua y Saneamiento (PDA) y los asuntos relacionados con agua potable y saneamiento básico en el departamento.  </w:t>
      </w:r>
    </w:p>
    <w:p w14:paraId="799BDEB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BBB97C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Podrán ser gestores, el departamento o las empresas de servicios públicos de acueducto, alcantarillado y aseo del orden departamental, siempre que sus estatutos permitan la vinculación como socios a los municipios y distritos del respectivo departamento que así lo soliciten.  </w:t>
      </w:r>
    </w:p>
    <w:p w14:paraId="16BB696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EC7EE8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Para ejercer sus funciones, el Gestor en su estructura interna contará como mínimo con los siguientes componentes: i) aseguramiento de la prestación de los servicios de agua potable y saneamiento básico, ii) gestión social, iii) infraestructura, ambiental, gestión del riesgo, </w:t>
      </w:r>
      <w:proofErr w:type="spellStart"/>
      <w:r w:rsidRPr="009342F9">
        <w:rPr>
          <w:rFonts w:ascii="Arial" w:eastAsia="Times New Roman" w:hAnsi="Arial" w:cs="Arial"/>
          <w:color w:val="000000"/>
          <w:lang w:eastAsia="es-CO"/>
        </w:rPr>
        <w:t>iv</w:t>
      </w:r>
      <w:proofErr w:type="spellEnd"/>
      <w:r w:rsidRPr="009342F9">
        <w:rPr>
          <w:rFonts w:ascii="Arial" w:eastAsia="Times New Roman" w:hAnsi="Arial" w:cs="Arial"/>
          <w:color w:val="000000"/>
          <w:lang w:eastAsia="es-CO"/>
        </w:rPr>
        <w:t>) planeación, v) jurídica, vi) administrativa y vii) financiera. Los perfiles de los profesionales requeridos deberán estar acordes con las funciones a ejercer en cada una de las áreas y estar aprobados, en los casos que aplique, por el Gobernador con el apoyo de la dependencia que este determine para tal fin.  </w:t>
      </w:r>
    </w:p>
    <w:p w14:paraId="4716CE3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0F2FD8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Para los casos que el Gestor sea una empresa de servicios públicos, atendiendo a lo dispuesto por el artículo 18 de la ley 142 de 1994 o la norma que la modifique, complemente o sustituya, deberá tener información contable, financiera y presupuestal independiente de sus actividades como prestador. </w:t>
      </w:r>
    </w:p>
    <w:p w14:paraId="3EF2B363" w14:textId="77777777" w:rsidR="00F647A1" w:rsidRPr="009342F9" w:rsidRDefault="00F647A1" w:rsidP="00F647A1">
      <w:pPr>
        <w:pStyle w:val="Textoindependiente"/>
        <w:spacing w:line="264" w:lineRule="auto"/>
        <w:ind w:right="316"/>
        <w:jc w:val="both"/>
        <w:rPr>
          <w:w w:val="105"/>
          <w:sz w:val="20"/>
          <w:szCs w:val="20"/>
        </w:rPr>
      </w:pPr>
      <w:bookmarkStart w:id="1892" w:name="ver_30197566"/>
      <w:bookmarkStart w:id="1893" w:name="ver_30075864"/>
      <w:bookmarkEnd w:id="1892"/>
    </w:p>
    <w:p w14:paraId="2E06717A" w14:textId="30EB226C" w:rsidR="00F647A1" w:rsidRPr="00DA08A0" w:rsidRDefault="00F647A1" w:rsidP="00F647A1">
      <w:pPr>
        <w:pStyle w:val="Textoindependiente"/>
        <w:spacing w:line="264" w:lineRule="auto"/>
        <w:ind w:right="316"/>
        <w:jc w:val="both"/>
        <w:rPr>
          <w:sz w:val="20"/>
          <w:szCs w:val="20"/>
        </w:rPr>
      </w:pPr>
      <w:r w:rsidRPr="00DA08A0">
        <w:rPr>
          <w:w w:val="105"/>
          <w:sz w:val="20"/>
          <w:szCs w:val="20"/>
        </w:rPr>
        <w:t xml:space="preserve">(Ver conceptos: </w:t>
      </w:r>
      <w:hyperlink r:id="rId35" w:history="1">
        <w:r w:rsidRPr="00DA08A0">
          <w:rPr>
            <w:rStyle w:val="Hipervnculo"/>
            <w:w w:val="105"/>
            <w:sz w:val="20"/>
            <w:szCs w:val="20"/>
          </w:rPr>
          <w:t>C−190 del 16/04/2020</w:t>
        </w:r>
      </w:hyperlink>
      <w:r w:rsidRPr="00DA08A0">
        <w:rPr>
          <w:w w:val="105"/>
          <w:sz w:val="20"/>
          <w:szCs w:val="20"/>
        </w:rPr>
        <w:t>)</w:t>
      </w:r>
    </w:p>
    <w:p w14:paraId="2232CC01" w14:textId="77777777" w:rsidR="00F647A1" w:rsidRPr="009342F9" w:rsidRDefault="00F647A1" w:rsidP="00FC79C1">
      <w:pPr>
        <w:spacing w:after="0" w:line="240" w:lineRule="auto"/>
        <w:jc w:val="both"/>
        <w:rPr>
          <w:rFonts w:ascii="Arial" w:eastAsia="Times New Roman" w:hAnsi="Arial" w:cs="Arial"/>
          <w:color w:val="000000"/>
          <w:lang w:eastAsia="es-CO"/>
        </w:rPr>
      </w:pPr>
    </w:p>
    <w:p w14:paraId="41F1754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2.3.3.1.2.3. Funciones del Gestor. Son funciones del Gestor:  </w:t>
      </w:r>
    </w:p>
    <w:p w14:paraId="672CC2F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Desarrollar las acciones necesarias para alcanzar el cumplimiento de los objetivos de la política del sector de agua potable y saneamiento básico; la observancia de los principios y el cumplimiento de los objetivos y las metas de los Planes Departamentales para el Manejo Empresarial de los Servicios de Agua y Saneamiento (PDA).  </w:t>
      </w:r>
    </w:p>
    <w:p w14:paraId="3B41457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w:t>
      </w:r>
    </w:p>
    <w:p w14:paraId="5212D31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Gestionar a nivel departamental los asuntos relacionados con el sector de agua potable y saneamiento básico como representante del Gobernador cuando el departamento lo requiera, así como, prestar asistencia a los municipios y distritos del departamento, vinculados a los Planes Departamentales para el Manejo Empresarial de los Servicios de Agua y Saneamiento (PDA), en los temas relacionados con el acceso sostenible a agua potable y saneamiento básico en la zona urbana y rural.  </w:t>
      </w:r>
    </w:p>
    <w:p w14:paraId="3739635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FA5B53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Coordinar las acciones de los participantes de los Planes Departamentales para el Manejo Empresarial de los Servicios de Agua y Saneamiento (PDA)y adelantar, junto con el Gobernador del respectivo departamento, el proceso de vinculación de los municipios y distritos, autoridades ambientales y demás participantes de los Planes Departamentales para el Manejo Empresarial de los Servicios de Agua y Saneamiento (PDA).  </w:t>
      </w:r>
    </w:p>
    <w:p w14:paraId="03269F7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BC00B1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4. Ejercer la Secretaría Técnica del Comité Directivo del que trata el artículo 2.3.3.1.2.4. del presente capítulo y en tal condición convocar con anticipación a las sesiones de los Comités, elaborar actas de cada una de las sesiones de </w:t>
      </w:r>
      <w:proofErr w:type="gramStart"/>
      <w:r w:rsidRPr="009342F9">
        <w:rPr>
          <w:rFonts w:ascii="Arial" w:eastAsia="Times New Roman" w:hAnsi="Arial" w:cs="Arial"/>
          <w:color w:val="000000"/>
          <w:lang w:eastAsia="es-CO"/>
        </w:rPr>
        <w:t>los mismos</w:t>
      </w:r>
      <w:proofErr w:type="gramEnd"/>
      <w:r w:rsidRPr="009342F9">
        <w:rPr>
          <w:rFonts w:ascii="Arial" w:eastAsia="Times New Roman" w:hAnsi="Arial" w:cs="Arial"/>
          <w:color w:val="000000"/>
          <w:lang w:eastAsia="es-CO"/>
        </w:rPr>
        <w:t xml:space="preserve"> y custodiar y mantener el archivo de dichas actas. De igual forma, deberá preparar y recopilar la totalidad de los documentos que se requieran para las sesiones y remitirlos con la debida antelación a los integrantes del Comité.  </w:t>
      </w:r>
    </w:p>
    <w:p w14:paraId="11775FE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BA7285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 Elaborar y concertar con el departamento las propuestas de los instrumentos de planeación y sus modificaciones, soportadas técnica, económica y legalmente, para ser presentados al Comité Directivo del que trata el artículo 2.3.3.1.2.4. del presente capítulo.  </w:t>
      </w:r>
    </w:p>
    <w:p w14:paraId="46C2678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B0A26B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6. Ejecutar todas las acciones necesarias para dar cumplimiento al contenido de los instrumentos de planeación aprobados por el Comité Directivo del que trata el artículo 2.3.3.1.2.4. del presente capítulo, acatar las instrucciones dadas por el Comité y tomar las medidas necesarias para su cumplimiento.  </w:t>
      </w:r>
    </w:p>
    <w:p w14:paraId="3F7C2CA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9CA956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7. Promover, estructurar y adelantar las acciones necesarias para apoyar a los municipios y distritos en su competencia de asegurar la prestación de los servicios de agua potable y saneamiento básico, entre otras:  </w:t>
      </w:r>
    </w:p>
    <w:p w14:paraId="0BD379B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AF1831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7.1. La asistencia administrativa, financiera, comercial, técnica, operativa, social y jurídica para la implementación por parte de los municipios y distritos de los esquemas que permitan el aseguramiento en la prestación de los servicios en un municipio o grupo de municipios o distritos del departamento, de acuerdo con lo aprobado por el Comité Directivo del que trata el artículo 2.3.3.1.2.4. del presente capítulo.  </w:t>
      </w:r>
    </w:p>
    <w:p w14:paraId="2E3F4E9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DB5ED8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7.2. Informar por escrito a la Superintendencia de Servicios Públicos Domiciliarios, los resultados de los planes de aseguramiento una vez finalice la ejecución de cada fase.  </w:t>
      </w:r>
    </w:p>
    <w:p w14:paraId="5765967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F49AE2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7.3. Apoyar al departamento en su tarea de promover y adelantar, las gestiones necesarias para que los prestadores de los servicios públicos de acueducto, alcantarillado y aseo que operan en los municipios o distritos vinculados a los Planes Departamentales para el Manejo Empresarial de los Servicios de Agua y Saneamiento (PDA), reporten la información al Sistema Único de Información (SUI), o el que haga sus veces, con la oportunidad y calidad que establezca la Superintendencia de Servicios Públicos Domiciliarios, así como también a los demás sistemas de información que se implementen.  </w:t>
      </w:r>
    </w:p>
    <w:p w14:paraId="78AA784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ED5873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7.4. Asistir a las entidades territoriales en la implementación de la estrategia de monitoreo, seguimiento y control establecida en el Decreto Ley 028 de 2008 o la norma que lo modifique, complemente o sustituya y apoyar a los departamentos en lo dispuesto en la Ley 1977 de 2019.  </w:t>
      </w:r>
    </w:p>
    <w:p w14:paraId="20B1758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2F7152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8. Dar las instrucciones necesarias al instrumento para el manejo de recursos, en los eventos en que haya sido delegado y en los términos y condiciones previstos en el respectivo contrato, para que realice los pagos necesarios para la ejecución de los Planes Departamentales para el Manejo Empresarial de los Servicios de Agua y Saneamiento (PDA).  </w:t>
      </w:r>
    </w:p>
    <w:p w14:paraId="6BF4950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106D98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9. Gestionar e implementar directamente o en conjunto con los participantes, alternativas de financiación de los Planes Departamentales para el Manejo Empresarial de los Servicios de Agua y Saneamiento (PDA).  </w:t>
      </w:r>
    </w:p>
    <w:p w14:paraId="1ED5018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CA7F22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10. En concordancia con la naturaleza jurídica de los instrumentos de financiación, estructurar e implementar instrumentos financieros para el apalancamiento de recursos, o gestionar y tomar créditos para la ejecución e implementación de los Planes Departamentales para el Manejo Empresarial de los Servicios de Agua y Saneamiento (PDA) con cargo a los recursos comprometidos por los participantes.  </w:t>
      </w:r>
    </w:p>
    <w:p w14:paraId="0200B94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0D091D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11. Apoyar al departamento en la planeación y priorización de inversiones del sector agua potable y saneamiento básico; realizar la estructuración y presentación de los proyectos a través de los mecanismos de </w:t>
      </w:r>
      <w:proofErr w:type="spellStart"/>
      <w:r w:rsidRPr="009342F9">
        <w:rPr>
          <w:rFonts w:ascii="Arial" w:eastAsia="Times New Roman" w:hAnsi="Arial" w:cs="Arial"/>
          <w:color w:val="000000"/>
          <w:lang w:eastAsia="es-CO"/>
        </w:rPr>
        <w:t>viabilización</w:t>
      </w:r>
      <w:proofErr w:type="spellEnd"/>
      <w:r w:rsidRPr="009342F9">
        <w:rPr>
          <w:rFonts w:ascii="Arial" w:eastAsia="Times New Roman" w:hAnsi="Arial" w:cs="Arial"/>
          <w:color w:val="000000"/>
          <w:lang w:eastAsia="es-CO"/>
        </w:rPr>
        <w:t xml:space="preserve">, así como, las correcciones o modificaciones necesarias de los mismos. No obstante, lo anterior, los municipios y distritos podrán presentar los proyectos ante el mecanismo nacional o departamental de </w:t>
      </w:r>
      <w:proofErr w:type="spellStart"/>
      <w:r w:rsidRPr="009342F9">
        <w:rPr>
          <w:rFonts w:ascii="Arial" w:eastAsia="Times New Roman" w:hAnsi="Arial" w:cs="Arial"/>
          <w:color w:val="000000"/>
          <w:lang w:eastAsia="es-CO"/>
        </w:rPr>
        <w:t>viabilización</w:t>
      </w:r>
      <w:proofErr w:type="spellEnd"/>
      <w:r w:rsidRPr="009342F9">
        <w:rPr>
          <w:rFonts w:ascii="Arial" w:eastAsia="Times New Roman" w:hAnsi="Arial" w:cs="Arial"/>
          <w:color w:val="000000"/>
          <w:lang w:eastAsia="es-CO"/>
        </w:rPr>
        <w:t xml:space="preserve"> de proyectos.  </w:t>
      </w:r>
    </w:p>
    <w:p w14:paraId="0C76BB2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1F75309" w14:textId="22161A2C" w:rsidR="00FC79C1" w:rsidRPr="009342F9" w:rsidRDefault="00FC79C1" w:rsidP="00F647A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12. Adelantar procesos de contratación con cargo a los recursos de los Planes Departamentales para el Manejo Empresarial de los Servicios de Agua y Saneamiento (PDA) una vez los proyectos hayan sido viabilizados cuando aplique, de acuerdo con lo previsto en el presente capítulo, el Manual Operativo señalado en el artículo 2.3.3.1.5.2., el Plan Estratégico de Inversiones señalado en el artículo 2.3.3.1.5.3. y el Plan de Aseguramiento de la Prestación de los Servicios 2.3.3.1.5.4, velando por la pluralidad de oferentes y la publicidad de dichos procesos y de acuerdo con la normatividad contractual aplicable.  </w:t>
      </w:r>
    </w:p>
    <w:p w14:paraId="44F6CF71" w14:textId="4B810A80" w:rsidR="00F647A1" w:rsidRPr="009342F9" w:rsidRDefault="00F647A1" w:rsidP="00F647A1">
      <w:pPr>
        <w:spacing w:after="0" w:line="240" w:lineRule="auto"/>
        <w:jc w:val="both"/>
        <w:rPr>
          <w:rFonts w:ascii="Arial" w:eastAsia="Times New Roman" w:hAnsi="Arial" w:cs="Arial"/>
          <w:color w:val="000000"/>
          <w:lang w:eastAsia="es-CO"/>
        </w:rPr>
      </w:pPr>
    </w:p>
    <w:p w14:paraId="3AD04F92" w14:textId="0DF05E0B" w:rsidR="00F647A1" w:rsidRPr="009342F9" w:rsidRDefault="00F647A1" w:rsidP="00F647A1">
      <w:pPr>
        <w:tabs>
          <w:tab w:val="left" w:pos="617"/>
        </w:tabs>
        <w:spacing w:after="0" w:line="264" w:lineRule="auto"/>
        <w:ind w:right="310"/>
        <w:rPr>
          <w:rFonts w:ascii="Arial" w:hAnsi="Arial" w:cs="Arial"/>
          <w:sz w:val="20"/>
          <w:szCs w:val="20"/>
        </w:rPr>
      </w:pPr>
      <w:r w:rsidRPr="009342F9">
        <w:rPr>
          <w:rFonts w:ascii="Arial" w:hAnsi="Arial" w:cs="Arial"/>
          <w:sz w:val="20"/>
          <w:szCs w:val="20"/>
        </w:rPr>
        <w:t xml:space="preserve">(Ver conceptos: </w:t>
      </w:r>
      <w:hyperlink r:id="rId36" w:history="1">
        <w:r w:rsidRPr="009342F9">
          <w:rPr>
            <w:rStyle w:val="Hipervnculo"/>
            <w:rFonts w:ascii="Arial" w:hAnsi="Arial" w:cs="Arial"/>
            <w:sz w:val="20"/>
            <w:szCs w:val="20"/>
          </w:rPr>
          <w:t>C−190 del 16/04/2020</w:t>
        </w:r>
      </w:hyperlink>
      <w:r w:rsidRPr="009342F9">
        <w:rPr>
          <w:rFonts w:ascii="Arial" w:hAnsi="Arial" w:cs="Arial"/>
          <w:sz w:val="20"/>
          <w:szCs w:val="20"/>
        </w:rPr>
        <w:t>)</w:t>
      </w:r>
    </w:p>
    <w:p w14:paraId="4839681F" w14:textId="77777777" w:rsidR="00FC79C1" w:rsidRPr="009342F9" w:rsidRDefault="00FC79C1" w:rsidP="00F647A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D5C3DA9" w14:textId="77777777" w:rsidR="00FC79C1" w:rsidRPr="009342F9" w:rsidRDefault="00FC79C1" w:rsidP="00F647A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13. Preparar, convocar y desarrollar audiencias públicas de rendición de cuentas para el seguimiento a los avances de los Planes Departamentales para el Manejo Empresarial de los Servicios de Agua y Saneamiento (PDA), así como suministrar la información requerida por los órganos de control.  </w:t>
      </w:r>
    </w:p>
    <w:p w14:paraId="36B6526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B84741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14. Remitir informes al Comité Directivo y al Ministerio de Vivienda, Ciudad y Territorio, sobre la ejecución de los instrumentos de planeación así:  </w:t>
      </w:r>
    </w:p>
    <w:p w14:paraId="7365758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65BD06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14.1. Informe sobre el estado y avance del aseguramiento de la prestación de los servicios de agua potable y saneamiento básico de cada uno de los municipios y distritos que conforman el Plan Departamental para el Manejo Empresarial de los Servicios de Agua y Saneamiento de su jurisdicción, con la metodología y periodicidad que establezca el Ministerio de Vivienda, Ciudad y Territorio.  </w:t>
      </w:r>
    </w:p>
    <w:p w14:paraId="5B57F1F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7E9663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14.2. Informe bimestral de la ejecución y seguimiento del Plan Departamental para el Manejo Empresarial de los Servicios de Agua y Saneamiento y de sus instrumentos de planeación, de </w:t>
      </w:r>
      <w:r w:rsidRPr="009342F9">
        <w:rPr>
          <w:rFonts w:ascii="Arial" w:eastAsia="Times New Roman" w:hAnsi="Arial" w:cs="Arial"/>
          <w:color w:val="000000"/>
          <w:lang w:eastAsia="es-CO"/>
        </w:rPr>
        <w:lastRenderedPageBreak/>
        <w:t>acuerdo con el formato y medios que el Ministerio de Vivienda, Ciudad y Territorio determine para tal fin. En el informe también se señalará el avance del Plan Estratégico de Inversiones, detallando el cumplimiento de los cronogramas allí fijados, las metas propuestas, el estado de avance de los proyectos en ejecución y de los procesos de contratación.  </w:t>
      </w:r>
    </w:p>
    <w:p w14:paraId="3002561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4AEA17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15. Reportar y mantener actualizado el diagnóstico técnico base en el sistema de información que facilite el seguimiento a los Planes Departamentales para el Manejo Empresarial de los Servicios de Agua y Saneamiento (PDA), en los términos en que lo señale el ministerio de Vivienda, Ciudad y Territorio y los indicadores para el sector de agua potable y saneamiento básico establecidos por el Gobierno nacional. Asimismo, realizar el cargue de los instrumentos de planeación en el sistema de información que determine ese ministerio.  </w:t>
      </w:r>
    </w:p>
    <w:p w14:paraId="1A74AFD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98A96A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16. Recopilar, consolidar y reportar la siguiente información:  </w:t>
      </w:r>
    </w:p>
    <w:p w14:paraId="24C1A24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37BB7C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16.1. Inversiones del sector de agua potable y saneamiento básico, en especial las que se ejecuten en el marco de los Planes Departamentales para el Manejo Empresarial de los Servicios de Agua y Saneamiento (PDA) para efectos de planeación y con el apoyo de las entidades territoriales.  </w:t>
      </w:r>
    </w:p>
    <w:p w14:paraId="2C45AD9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821A6C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16.2. La que solicite el Departamento Nacional de Planeación (DNP) para la elaboración del índice para la medición de la capacidad institucional y de resultados de los Planes Departamentales para el Manejo Empresarial de los Servicios de Agua y Saneamiento (PDA), a que hace referencia la Sección 6 del presente capítulo.  </w:t>
      </w:r>
    </w:p>
    <w:p w14:paraId="0E0875E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5A0666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17. Las demás que, de acuerdo con su naturaleza jurídica, le estén autorizadas por la normativa vigente.  </w:t>
      </w:r>
    </w:p>
    <w:p w14:paraId="25845EF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23B3D4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Cuando los Gestores de los Planes Departamentales para el Manejo Empresarial de los Servicios de Agua y Saneamiento (PDA) sean empresas de servicios públicos de acueducto, alcantarillado y aseo del orden departamental, deberá celebrarse un contrato o convenio entre el departamento y dicha empresa en el que se estipulen las obligaciones a cargo de la misma en condición de Gestor de acuerdo con lo aquí previsto, así como, aquellas que se consideren necesarias según cada caso concreto para atender otras necesidades del departamento dentro del marco del Plan Departamental. En dicho contrato, se establecerá la remuneración que recibirá el Gestor por las labores que deberá cumplir y ajustada a las condiciones del mercado.  </w:t>
      </w:r>
    </w:p>
    <w:p w14:paraId="15ABDFE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DB9A9C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Si las funciones de Gestor las realiza el departamento directamente, los costos inherentes a la ejecución de los productos que se desarrollen en cumplimiento de sus actividades como gestor, podrán ser computables como gastos inherentes a los Planes Departamentales para el Manejo Empresarial de los Servicios de Agua y Saneamiento (PDA).  </w:t>
      </w:r>
    </w:p>
    <w:p w14:paraId="01A0B4EF"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894" w:name="ver_30197569"/>
      <w:bookmarkStart w:id="1895" w:name="ver_30075866"/>
      <w:bookmarkEnd w:id="1893"/>
      <w:bookmarkEnd w:id="1894"/>
    </w:p>
    <w:p w14:paraId="0D49D6D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2.3.3.1.2.4. Comité Directivo e integración. El Comité Directivo es la instancia encargada de aprobar el ejercicio de planificación y seguimiento para el desarrollo de los Planes Departamentales para el Manejo Empresarial de los Servicios de Agua y Saneamiento (PDA), incorporando un análisis de necesidades, recursos disponibles, metas e indicadores definidos por el departamento, el Gestor y los municipios y distritos.  </w:t>
      </w:r>
    </w:p>
    <w:p w14:paraId="64C3E1C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9B9754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Existirá un Comité Directivo por cada departamento y se integrará de la siguiente manera: Participarán como miembros con voz y voto:  </w:t>
      </w:r>
    </w:p>
    <w:p w14:paraId="6AD629F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514F9D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El Gobernador quien lo presidirá y no podrá delegar su participación.  </w:t>
      </w:r>
    </w:p>
    <w:p w14:paraId="00C28D5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w:t>
      </w:r>
    </w:p>
    <w:p w14:paraId="42B53EB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Un Secretario departamental, designado por el Gobernador.  </w:t>
      </w:r>
    </w:p>
    <w:p w14:paraId="3E32B7F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AC91FE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Dos (2) alcaldes representantes de los municipios y distritos participantes del Plan Departamental para el Manejo Empresarial de los Servicios de Agua y Saneamiento. Dichos alcaldes serán elegidos por mayoría simple entre los alcaldes de los municipios y distritos participantes del respectivo Plan Departamental.  </w:t>
      </w:r>
    </w:p>
    <w:p w14:paraId="50D8D2B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91826A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El Ministerio de Vivienda, Ciudad y Territorio a través del Viceministro de Agua y Saneamiento Básico o el funcionario de nivel directivo que este designe, de conformidad con lo establecido en el artículo 2.3.3.1.3.1. del presente capítulo.  </w:t>
      </w:r>
    </w:p>
    <w:p w14:paraId="1E9061D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4052D6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 Los directores de las autoridades ambientales con jurisdicción en los municipios y distritos ubicados en el territorio del respectivo departamento, que hayan suscrito el convenio al que hace referencia el numeral 3 del artículo 2.3.3.1.4.1. o su delegado. El delegado de la autoridad ambiental podrá participar y ejercer el derecho al voto cuando en la respectiva sesión se discutan proyectos de saneamiento ambiental que cuenten con financiación de dicha autoridad ambiental.  </w:t>
      </w:r>
    </w:p>
    <w:p w14:paraId="75AC5F4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0D0E95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6. El delegado del Departamento Nacional de Planeación (DNP) participará de conformidad con lo establecido en el artículo 2.3.3.1.3.2., del presente capítulo.  </w:t>
      </w:r>
    </w:p>
    <w:p w14:paraId="199546E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ECE466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1°. Participará como miembro permanente, con voz, pero sin voto un (1) representante del Instrumento para el Manejo de Recursos.  </w:t>
      </w:r>
    </w:p>
    <w:p w14:paraId="1A702E5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CADC32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El Gestor o su representante asistirá a las sesiones del Comité Directivo ejerciendo su función de Secretaría Técnica.  </w:t>
      </w:r>
    </w:p>
    <w:p w14:paraId="11246DF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D9B321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2°. El Gobernador deberá convocar a los alcaldes para que estos adelanten el proceso de elección de sus representantes de acuerdo con lo que establezca el reglamento del Comité Directivo. Adicionalmente, el Gobernador publicará la convocatoria por una sola oportunidad en un medio que garantice la difusión en todos los municipios con cinco (5) días hábiles de anterioridad a la fecha de realización de la elección. Surtido el proceso de elección, los alcaldes informarán al Gobernador los representantes que resulten elegidos. Si transcurridos diez (10) días hábiles desde el momento en que el Gobernador hubiese realizado la publicación de la convocatoria, los alcaldes no informaren quiénes son los representantes elegidos, los mismos serán designados por el Gobernador.  </w:t>
      </w:r>
    </w:p>
    <w:p w14:paraId="021C2F55" w14:textId="43ECE234"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896" w:name="ver_30197570"/>
      <w:bookmarkStart w:id="1897" w:name="ver_30075868"/>
      <w:bookmarkEnd w:id="1895"/>
      <w:bookmarkEnd w:id="1896"/>
    </w:p>
    <w:p w14:paraId="0E5091A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2.3.3.1.2.5. Sesiones del Comité Directivo. El Comité Directivo de cada Plan Departamental para el Manejo Empresarial de los Servicios de Agua y Saneamiento se reunirá como mínimo cada seis (6) meses en el año en forma virtual o presencial, de acuerdo con las condiciones que establezca el manual operativo del respectivo Plan Departamental. No obstante, se realizará como mínimo una sesión presencial al año.  </w:t>
      </w:r>
    </w:p>
    <w:p w14:paraId="43F1130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273F67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cualquier caso, el Gestor como Secretaría Técnica, podrá convocar al Comité Directivo cuando lo considere necesario. Esta convocatoria podrá ser realizada por solicitud de cualquiera de los miembros del Comité Directivo.  </w:t>
      </w:r>
    </w:p>
    <w:p w14:paraId="05C2336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63AD4E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Cuando en el Comité Directivo se tomen decisiones en relación con planes de obras e inversiones, proyectos específicos, estrategias para el aseguramiento de la prestación de los servicios relacionados con una entidad territorial o grupo de entidades territoriales en particular, </w:t>
      </w:r>
      <w:r w:rsidRPr="009342F9">
        <w:rPr>
          <w:rFonts w:ascii="Arial" w:eastAsia="Times New Roman" w:hAnsi="Arial" w:cs="Arial"/>
          <w:color w:val="000000"/>
          <w:lang w:eastAsia="es-CO"/>
        </w:rPr>
        <w:lastRenderedPageBreak/>
        <w:t>los respectivos alcaldes podrán asistir como invitados a la sesión del Comité Directivo donde se traten los temas de su interés. </w:t>
      </w:r>
    </w:p>
    <w:p w14:paraId="2A5F6E62"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898" w:name="ver_30197571"/>
      <w:bookmarkStart w:id="1899" w:name="ver_30075872"/>
      <w:bookmarkEnd w:id="1897"/>
      <w:bookmarkEnd w:id="1898"/>
    </w:p>
    <w:p w14:paraId="2A1A682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2.3.3.1.2.6. Quórum decisorio y </w:t>
      </w:r>
      <w:proofErr w:type="spellStart"/>
      <w:r w:rsidRPr="009342F9">
        <w:rPr>
          <w:rFonts w:ascii="Arial" w:eastAsia="Times New Roman" w:hAnsi="Arial" w:cs="Arial"/>
          <w:color w:val="000000"/>
          <w:lang w:eastAsia="es-CO"/>
        </w:rPr>
        <w:t>deliberatorio</w:t>
      </w:r>
      <w:proofErr w:type="spellEnd"/>
      <w:r w:rsidRPr="009342F9">
        <w:rPr>
          <w:rFonts w:ascii="Arial" w:eastAsia="Times New Roman" w:hAnsi="Arial" w:cs="Arial"/>
          <w:color w:val="000000"/>
          <w:lang w:eastAsia="es-CO"/>
        </w:rPr>
        <w:t>. Solo serán válidas las sesiones del Comité Directivo donde se cuente con la participación de por lo menos los siguientes integrantes:  </w:t>
      </w:r>
    </w:p>
    <w:p w14:paraId="5219EBF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77D659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El Gobernador.  </w:t>
      </w:r>
    </w:p>
    <w:p w14:paraId="30AF91C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A772D3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Un alcalde que sea miembro del Comité Directivo.  </w:t>
      </w:r>
    </w:p>
    <w:p w14:paraId="290DA4B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B74DA4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El Ministerio de Vivienda, Ciudad y Territorio a través del Viceministro de Agua y Saneamiento Básico o el funcionario de nivel directivo que este designe, en aquellos Comités Directivos en donde participe.  </w:t>
      </w:r>
    </w:p>
    <w:p w14:paraId="1CE56D9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8AA175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Parágrafo 1°. Existiendo quórum </w:t>
      </w:r>
      <w:proofErr w:type="spellStart"/>
      <w:r w:rsidRPr="009342F9">
        <w:rPr>
          <w:rFonts w:ascii="Arial" w:eastAsia="Times New Roman" w:hAnsi="Arial" w:cs="Arial"/>
          <w:color w:val="000000"/>
          <w:lang w:eastAsia="es-CO"/>
        </w:rPr>
        <w:t>deliberatorio</w:t>
      </w:r>
      <w:proofErr w:type="spellEnd"/>
      <w:r w:rsidRPr="009342F9">
        <w:rPr>
          <w:rFonts w:ascii="Arial" w:eastAsia="Times New Roman" w:hAnsi="Arial" w:cs="Arial"/>
          <w:color w:val="000000"/>
          <w:lang w:eastAsia="es-CO"/>
        </w:rPr>
        <w:t>, las decisiones se adoptarán por la mayoría simple de los miembros asistentes. Lo anterior, sin perjuicio de lo establecido en el parágrafo 2 del presente artículo.  </w:t>
      </w:r>
    </w:p>
    <w:p w14:paraId="204F3F0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B30B24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2°. En el caso de la aprobación y modificación de los instrumentos de planeación, en aquellos Comités Directivos de los Planes Departamentales para el Manejo Empresarial de los Servicios de Agua y Saneamiento (PDA) clasificados en Nivel Alto de conformidad con lo dispuesto en los artículos 2.3.3.1.3.1. y 2.3.3.1.6.1. del presente capítulo, se requerirá voto unánime de los miembros del Comité, que asistan a la sesión, para la adopción de la respectiva decisión.  </w:t>
      </w:r>
    </w:p>
    <w:p w14:paraId="3634080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5243A1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Parágrafo 3°. Todas las decisiones del Comité Directivo quedarán consignadas en actas que serán firmadas por el </w:t>
      </w:r>
      <w:proofErr w:type="gramStart"/>
      <w:r w:rsidRPr="009342F9">
        <w:rPr>
          <w:rFonts w:ascii="Arial" w:eastAsia="Times New Roman" w:hAnsi="Arial" w:cs="Arial"/>
          <w:color w:val="000000"/>
          <w:lang w:eastAsia="es-CO"/>
        </w:rPr>
        <w:t>Presidente</w:t>
      </w:r>
      <w:proofErr w:type="gramEnd"/>
      <w:r w:rsidRPr="009342F9">
        <w:rPr>
          <w:rFonts w:ascii="Arial" w:eastAsia="Times New Roman" w:hAnsi="Arial" w:cs="Arial"/>
          <w:color w:val="000000"/>
          <w:lang w:eastAsia="es-CO"/>
        </w:rPr>
        <w:t xml:space="preserve"> y por la Secretaría Técnica del mismo.  </w:t>
      </w:r>
    </w:p>
    <w:p w14:paraId="59D5B73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6E25C3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4°. Para los departamentos que cuenten en su ordenamiento territorial con Áreas No Municipalizadas (ANM) podrá prescindirse de la presencia de los representantes de los alcaldes en los eventos en los que se tomen decisiones relacionadas con las inversiones que beneficien únicamente a las Áreas No Municipalizadas (ANM) y que se financien exclusivamente con los recursos del Sistema General de Participaciones (SGP) de las Áreas No Municipalizadas (ANM).  </w:t>
      </w:r>
    </w:p>
    <w:p w14:paraId="64F7D23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249538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5°. En el caso de la aprobación y modificaciones de los instrumentos de planeación a que hace referencia la Sección 5 de este capítulo, se requerirá el voto favorable del delegado del Ministerio de Vivienda, Ciudad y Territorio de conformidad con lo establecido en el artículo 2.3.3.1.3.1. y del Gobernador para la adopción de la respectiva decisión.  </w:t>
      </w:r>
    </w:p>
    <w:p w14:paraId="2216A5C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9E1C80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Transitorio. Durante el tiempo transcurrido entre la entrada en vigencia del presente capítulo y la publicación del informe de la medición de la capacidad institucional y de resultados de los Planes Departamentales para el Manejo Empresarial de los Servicios de Agua y Saneamiento (PDA) al que hace referencia el artículo 2.3.3.1.6.1 del presente Capítulo, el Ministerio de Vivienda, Ciudad y Territorio hará parte de todos los Comités Directivos de los Planes Departamentales para el Manejo Empresarial de los Servicios de Agua y Saneamiento (PDA). </w:t>
      </w:r>
    </w:p>
    <w:p w14:paraId="1E991B91"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900" w:name="ver_30197572"/>
      <w:bookmarkEnd w:id="1899"/>
      <w:bookmarkEnd w:id="1900"/>
    </w:p>
    <w:p w14:paraId="72C3497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2.3.3.1.2.7. Funciones del Comité Directivo. Son funciones del Comité Directivo:  </w:t>
      </w:r>
    </w:p>
    <w:p w14:paraId="48E53DA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D7A31B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1. Aprobar, atendiendo el contenido mínimo previsto en la sección de instrumentos de planeación del presente capítulo, con base en la propuesta elaborada por el Gestor, y los lineamientos </w:t>
      </w:r>
      <w:r w:rsidRPr="009342F9">
        <w:rPr>
          <w:rFonts w:ascii="Arial" w:eastAsia="Times New Roman" w:hAnsi="Arial" w:cs="Arial"/>
          <w:color w:val="000000"/>
          <w:lang w:eastAsia="es-CO"/>
        </w:rPr>
        <w:lastRenderedPageBreak/>
        <w:t>definidos por el Ministerio de Vivienda, Ciudad y Territorio, los instrumentos de planeación, así como las modificaciones respectivas.  </w:t>
      </w:r>
    </w:p>
    <w:p w14:paraId="73D2065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B4AB8D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Revisar, ajustar y aprobar las metas de los Planes Departamentales para el Manejo Empresarial de los Servicios de Agua y Saneamiento (PDA) de acuerdo con las fuentes de financiación disponibles y el análisis presentado por el Gestor del Plan Departamental.  </w:t>
      </w:r>
    </w:p>
    <w:p w14:paraId="5CA1B33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26658F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Aprobar, con base en el convenio suscrito entre la autoridad ambiental participante y el departamento respectivo, la propuesta presentada sobre los esquemas de trabajo y articulación de dicha autoridad ambiental con los demás participantes del Plan Departamental para el Manejo Empresarial de los Servicios de Agua y Saneamiento, así como las modificaciones a dichos esquemas que resulten necesarios. Esta propuesta deberá concertarse con el Gestor y estar incluida en el Plan Ambiental de que trata el artículo 2.3.3.1.5.5 del presente capítulo.  </w:t>
      </w:r>
    </w:p>
    <w:p w14:paraId="6B70F1B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6F5294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Darse su propio reglamento.  </w:t>
      </w:r>
    </w:p>
    <w:p w14:paraId="663E880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7F6381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 Las demás que le otorgue la normativa vigente, con el fin de implementar los Planes  </w:t>
      </w:r>
    </w:p>
    <w:p w14:paraId="0BD263E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14F92C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Departamentales para el Manejo Empresarial de los Servicios de Agua y Saneamiento (PDA).  </w:t>
      </w:r>
    </w:p>
    <w:p w14:paraId="04BF7BF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102B29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B3BAC9B" w14:textId="77777777" w:rsidR="00FC79C1" w:rsidRPr="009342F9" w:rsidRDefault="00FC79C1" w:rsidP="004E2147">
      <w:pPr>
        <w:spacing w:after="0" w:line="240" w:lineRule="auto"/>
        <w:jc w:val="center"/>
        <w:rPr>
          <w:rFonts w:ascii="Arial" w:eastAsia="Times New Roman" w:hAnsi="Arial" w:cs="Arial"/>
          <w:b/>
          <w:bCs/>
          <w:color w:val="000000"/>
          <w:lang w:eastAsia="es-CO"/>
        </w:rPr>
      </w:pPr>
      <w:bookmarkStart w:id="1901" w:name="ver_30075874"/>
      <w:bookmarkEnd w:id="1901"/>
      <w:r w:rsidRPr="009342F9">
        <w:rPr>
          <w:rFonts w:ascii="Arial" w:eastAsia="Times New Roman" w:hAnsi="Arial" w:cs="Arial"/>
          <w:b/>
          <w:bCs/>
          <w:color w:val="000000"/>
          <w:lang w:eastAsia="es-CO"/>
        </w:rPr>
        <w:t>SECCIÓN 3</w:t>
      </w:r>
    </w:p>
    <w:p w14:paraId="5B59837C" w14:textId="77777777" w:rsidR="00FC79C1" w:rsidRPr="009342F9" w:rsidRDefault="00FC79C1" w:rsidP="004E2147">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PARTICIPACIÓN DE LAS AUTORIDADES DEL ORDEN NACIONAL</w:t>
      </w:r>
    </w:p>
    <w:p w14:paraId="14160956"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902" w:name="ver_30197574"/>
      <w:bookmarkEnd w:id="1902"/>
    </w:p>
    <w:p w14:paraId="2C70E13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2.3.3.1.3.1. Participación del Ministerio de Vivienda, Ciudad y Territorio. La participación del Ministerio de Vivienda, Ciudad y </w:t>
      </w:r>
      <w:proofErr w:type="gramStart"/>
      <w:r w:rsidRPr="009342F9">
        <w:rPr>
          <w:rFonts w:ascii="Arial" w:eastAsia="Times New Roman" w:hAnsi="Arial" w:cs="Arial"/>
          <w:color w:val="000000"/>
          <w:lang w:eastAsia="es-CO"/>
        </w:rPr>
        <w:t>Territorio,</w:t>
      </w:r>
      <w:proofErr w:type="gramEnd"/>
      <w:r w:rsidRPr="009342F9">
        <w:rPr>
          <w:rFonts w:ascii="Arial" w:eastAsia="Times New Roman" w:hAnsi="Arial" w:cs="Arial"/>
          <w:color w:val="000000"/>
          <w:lang w:eastAsia="es-CO"/>
        </w:rPr>
        <w:t xml:space="preserve"> se realizará en los siguientes términos:  </w:t>
      </w:r>
    </w:p>
    <w:p w14:paraId="017BCA1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5041A5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El Ministerio de Vivienda, Ciudad y Territorio definirá su participación en los Comités Directivos de los Planes Departamentales para el Manejo Empresarial de los Servicios de Agua y Saneamiento (PDA) de acuerdo con el índice al que hace referencia la Sección 6 de este capítulo de la siguiente manera:  </w:t>
      </w:r>
    </w:p>
    <w:p w14:paraId="0974250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7BC2D5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1.1. Nivel Alto. Para aquellos departamentos que resulten clasificados en el Nivel Alto, el Ministerio de Vivienda, Ciudad y Territorio no hará parte del Comité Directivo del respectivo Plan Departamental.  </w:t>
      </w:r>
    </w:p>
    <w:p w14:paraId="1924A0A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D350E1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1.2. Nivel Medio. Para aquellos departamentos que resulten clasificados en el Nivel Medio, el Ministerio de Vivienda, Ciudad y Territorio hará parte del Comité Directivo del respectivo Plan Departamental con voz y voto para la aprobación y modificación de los instrumentos de planeación a que hace referencia la Sección 5 del presente capítulo.  </w:t>
      </w:r>
    </w:p>
    <w:p w14:paraId="676ABB9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4AB2F8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1.3. Nivel Bajo. Para aquellos departamentos que resulten clasificados en el Nivel Bajo, el Ministerio de Vivienda, Ciudad y Territorio hará parte del Comité Directivo del respectivo Plan Departamental con voz y voto para la aprobación y modificación de los instrumentos de planeación a que hace referencia la Sección 5 de este capítulo y verificará la estructura interna del Gestor con el fin de realizar recomendaciones al Gobernador, sin que ello implique corresponsabilidad en la supervisión a las labores que este desarrolla.  </w:t>
      </w:r>
    </w:p>
    <w:p w14:paraId="364C07B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DCFF87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Definir mediante acto administrativo los lineamientos de los instrumentos de planeación a los que hace referencia la Sección 5 de este capítulo.  </w:t>
      </w:r>
    </w:p>
    <w:p w14:paraId="4E7C3EB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F7F60A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3. Apoyar en la formulación del Plan Ambiental que los planes, programas y proyectos de agua y saneamiento básico, estén articulados con los lineamientos ambientales definidos por la respectiva Corporación Autónoma Regional.  </w:t>
      </w:r>
    </w:p>
    <w:p w14:paraId="24ACB76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10482C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Formular acciones y prestar asistencia técnica diferenciada producto de la medición de desempeño a que hace referencia la Sección 6 del presente capítulo. Esta asistencia se prestará en todos los niveles de clasificación de los Planes Departamentales para el Manejo Empresarial de los Servicios de Agua y Saneamiento (PDA), sin embargo, en el Nivel Alto se realizará por solicitud del departamento.  </w:t>
      </w:r>
    </w:p>
    <w:p w14:paraId="75199AA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24FDA4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El Ministerio de Vivienda, Ciudad y Territorio definirá los lineamientos para el desarrollo de esta función.  </w:t>
      </w:r>
    </w:p>
    <w:p w14:paraId="7C74CFB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852AE0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1°. Para los Planes Departamentales para el Manejo Empresarial de los Servicios de Agua y Saneamiento (PDA) de Nivel Alto, el departamento concertará con el Ministerio de Vivienda, Ciudad y Territorio los proyectos que se financiarán con recursos del orden nacional.  </w:t>
      </w:r>
    </w:p>
    <w:p w14:paraId="06EAFBB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FC765A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2°. El Ministerio de Vivienda, Ciudad y Territorio participará con voz y voto en todos los Comités Directivos de los Planes Departamentales para el Manejo Empresarial de los Servicios de Agua y Saneamiento (PDA), cuando se vaya a discutir y aprobar los instrumentos de planeación de que trata la Sección 5 del presente capítulo. </w:t>
      </w:r>
    </w:p>
    <w:p w14:paraId="3A95AA6A"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903" w:name="ver_30197575"/>
      <w:bookmarkEnd w:id="1903"/>
    </w:p>
    <w:p w14:paraId="1AB77AA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2.3.3.1.3.2. Participación del Departamento Nacional de Planeación (DNP). El Departamento Nacional de Planeación (DNP), en el marco de sus competencias, participará en los Planes Departamentales para el Manejo Empresarial de los Servicios de Agua y Saneamiento (PDA), desarrollando las siguientes acciones:  </w:t>
      </w:r>
    </w:p>
    <w:p w14:paraId="0BEA2B5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18DA96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Realizar la medición de la capacidad institucional y de resultados de los Planes Departamentales para el Manejo Empresarial de los Servicios de Agua y Saneamiento (PDA), a través del índice a que hace referencia la Sección 6 del presente capítulo.  </w:t>
      </w:r>
    </w:p>
    <w:p w14:paraId="22A8DDD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353398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Participar en los comités directivos con voz y voto, cuando se vaya a discutir y aprobar los instrumentos de planeación de que trata la Sección 5 del presente capítulo.  </w:t>
      </w:r>
    </w:p>
    <w:p w14:paraId="6AD2C14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24D23A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Las modificaciones de los instrumentos de planeación no requerirán aprobación del Departamento Nacional de Planeación (DNP). En todo caso para efectos de la medición de la capacidad institucional y de resultados, el Departamento Nacional de Planeación (DNP) participará en el primer Comité Directivo de cada año, en el que se presente el avance en la ejecución de los instrumentos de planeación. </w:t>
      </w:r>
    </w:p>
    <w:p w14:paraId="76EAB8A9"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904" w:name="ver_30197792"/>
      <w:bookmarkStart w:id="1905" w:name="ver_30075875"/>
      <w:bookmarkEnd w:id="1904"/>
    </w:p>
    <w:p w14:paraId="25BB1532" w14:textId="6CEC3016"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2.3.3.1.3.7. Subrogado</w:t>
      </w:r>
      <w:r w:rsidR="000443A9">
        <w:rPr>
          <w:rFonts w:ascii="Arial" w:eastAsia="Times New Roman" w:hAnsi="Arial" w:cs="Arial"/>
          <w:color w:val="000000"/>
          <w:lang w:eastAsia="es-CO"/>
        </w:rPr>
        <w:t>.</w:t>
      </w:r>
    </w:p>
    <w:p w14:paraId="2B3588A0"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906" w:name="ver_30197798"/>
      <w:bookmarkStart w:id="1907" w:name="ver_30075878"/>
      <w:bookmarkEnd w:id="1905"/>
      <w:bookmarkEnd w:id="1906"/>
    </w:p>
    <w:p w14:paraId="3FC72C01" w14:textId="1D0C1269"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2.3.3.1.3.8. Subrogado</w:t>
      </w:r>
      <w:r w:rsidR="000443A9">
        <w:rPr>
          <w:rFonts w:ascii="Arial" w:eastAsia="Times New Roman" w:hAnsi="Arial" w:cs="Arial"/>
          <w:color w:val="000000"/>
          <w:lang w:eastAsia="es-CO"/>
        </w:rPr>
        <w:t>.</w:t>
      </w:r>
    </w:p>
    <w:p w14:paraId="56EFFFF3" w14:textId="77777777" w:rsidR="00FC79C1" w:rsidRPr="009342F9" w:rsidRDefault="00FC79C1" w:rsidP="00FC79C1">
      <w:pPr>
        <w:spacing w:after="0" w:line="240" w:lineRule="auto"/>
        <w:jc w:val="both"/>
        <w:rPr>
          <w:rFonts w:ascii="Arial" w:eastAsia="Times New Roman" w:hAnsi="Arial" w:cs="Arial"/>
          <w:color w:val="000000"/>
          <w:lang w:eastAsia="es-CO"/>
        </w:rPr>
      </w:pPr>
    </w:p>
    <w:p w14:paraId="03CE24C7" w14:textId="3BFDB946" w:rsidR="00FC79C1" w:rsidRDefault="00FC79C1" w:rsidP="000443A9">
      <w:pPr>
        <w:spacing w:after="0" w:line="240" w:lineRule="auto"/>
        <w:jc w:val="both"/>
        <w:rPr>
          <w:rFonts w:ascii="Arial" w:eastAsia="Times New Roman" w:hAnsi="Arial" w:cs="Arial"/>
          <w:color w:val="000000"/>
          <w:lang w:eastAsia="es-CO"/>
        </w:rPr>
      </w:pPr>
      <w:bookmarkStart w:id="1908" w:name="ver_30197855"/>
      <w:bookmarkStart w:id="1909" w:name="ver_30075880"/>
      <w:bookmarkEnd w:id="1907"/>
      <w:bookmarkEnd w:id="1908"/>
      <w:r w:rsidRPr="009342F9">
        <w:rPr>
          <w:rFonts w:ascii="Arial" w:eastAsia="Times New Roman" w:hAnsi="Arial" w:cs="Arial"/>
          <w:color w:val="000000"/>
          <w:lang w:eastAsia="es-CO"/>
        </w:rPr>
        <w:t>Artículo 2.3.3.1.3.9. Subrogado</w:t>
      </w:r>
      <w:r w:rsidR="000443A9">
        <w:rPr>
          <w:rFonts w:ascii="Arial" w:eastAsia="Times New Roman" w:hAnsi="Arial" w:cs="Arial"/>
          <w:color w:val="000000"/>
          <w:lang w:eastAsia="es-CO"/>
        </w:rPr>
        <w:t>.</w:t>
      </w:r>
    </w:p>
    <w:p w14:paraId="0FB980E2" w14:textId="77777777" w:rsidR="000443A9" w:rsidRPr="009342F9" w:rsidRDefault="000443A9" w:rsidP="000443A9">
      <w:pPr>
        <w:spacing w:after="0" w:line="240" w:lineRule="auto"/>
        <w:jc w:val="both"/>
        <w:rPr>
          <w:rFonts w:ascii="Arial" w:eastAsia="Times New Roman" w:hAnsi="Arial" w:cs="Arial"/>
          <w:b/>
          <w:bCs/>
          <w:color w:val="000000"/>
          <w:lang w:eastAsia="es-CO"/>
        </w:rPr>
      </w:pPr>
    </w:p>
    <w:p w14:paraId="298F150F" w14:textId="77777777" w:rsidR="00FC79C1" w:rsidRPr="009342F9" w:rsidRDefault="00FC79C1" w:rsidP="004E2147">
      <w:pPr>
        <w:spacing w:after="0" w:line="240" w:lineRule="auto"/>
        <w:jc w:val="center"/>
        <w:rPr>
          <w:rFonts w:ascii="Arial" w:eastAsia="Times New Roman" w:hAnsi="Arial" w:cs="Arial"/>
          <w:b/>
          <w:bCs/>
          <w:color w:val="000000"/>
          <w:lang w:eastAsia="es-CO"/>
        </w:rPr>
      </w:pPr>
      <w:bookmarkStart w:id="1910" w:name="ver_30075881"/>
      <w:bookmarkEnd w:id="1909"/>
      <w:bookmarkEnd w:id="1910"/>
      <w:r w:rsidRPr="009342F9">
        <w:rPr>
          <w:rFonts w:ascii="Arial" w:eastAsia="Times New Roman" w:hAnsi="Arial" w:cs="Arial"/>
          <w:b/>
          <w:bCs/>
          <w:color w:val="000000"/>
          <w:lang w:eastAsia="es-CO"/>
        </w:rPr>
        <w:t>SECCIÓN 4</w:t>
      </w:r>
    </w:p>
    <w:p w14:paraId="7127A1A2" w14:textId="77777777" w:rsidR="00FC79C1" w:rsidRPr="009342F9" w:rsidRDefault="00FC79C1" w:rsidP="004E2147">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REQUISITOS PARA LA PARTICIPACIÓN DE LAS ENTIDADES TERRITORIALES Y LAS AUTORIDADES AMBIENTALES EN LOS PLANES DEPARTAMENTALES PARA EL MANEJO EMPRESARIAL DE LOS SERVICIOS DE AGUA Y SANEAMIENTO (PDA)</w:t>
      </w:r>
    </w:p>
    <w:p w14:paraId="1870C51B"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911" w:name="ver_30197868"/>
      <w:bookmarkEnd w:id="1911"/>
    </w:p>
    <w:p w14:paraId="39465D0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Artículo 2.3.3.1.4.1. Requisitos para la participación en los Planes Departamentales para el Manejo Empresarial de los Servicios de Agua y Saneamiento (PDA). Para participar de los Planes Departamentales para el Manejo Empresarial de los Servicios de Agua y Saneamiento (PDA), que se señalan a continuación, los diferentes participantes deberán cumplir los siguientes requisitos:  </w:t>
      </w:r>
    </w:p>
    <w:p w14:paraId="5B6B7C3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588CC9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Los departamentos. Los departamentos deberán suscribir un convenio con el Ministerio de Vivienda, Ciudad y Territorio a través del cual se comprometen a:  </w:t>
      </w:r>
    </w:p>
    <w:p w14:paraId="2C1E177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9783E0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1.1. Adoptar los lineamientos, principios y objetivos sectoriales de los Planes Departamentales para el Manejo Empresarial de los Servicios de Agua y Saneamiento (PDA).  </w:t>
      </w:r>
    </w:p>
    <w:p w14:paraId="34F052A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2A0C9A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1.2. Implementar el instrumento para el manejo de recursos y aportar recursos para contribuir al cierre financiero en el marco de los Planes Departamentales para el Manejo Empresarial de los Servicios de Agua y Saneamiento (PDA).  </w:t>
      </w:r>
    </w:p>
    <w:p w14:paraId="6D641F5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51273F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1.3. Tomar las medidas que se requieran para facilitar la implementación y garantizar la ejecución de los Planes Departamentales para el Manejo Empresarial de los Servicios de Agua y Saneamiento (PDA) y realizar el seguimiento al gestor, cuando este sea una empresa de servicios públicos.  </w:t>
      </w:r>
    </w:p>
    <w:p w14:paraId="1FF7C02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E93171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1.4. Efectuar las gestiones que resulten pertinentes, ante las autoridades municipales y fuerzas vivas del mismo, para su participación en los Planes Departamentales para el Manejo Empresarial de los Servicios de Agua y Saneamiento (PDA).  </w:t>
      </w:r>
    </w:p>
    <w:p w14:paraId="6BEAC54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89ECD2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Los municipios y distritos. Para que un municipio o distrito participe en los Planes Departamentales para el Manejo Empresarial de los Servicios de Agua y Saneamiento (PDA) debe cumplir con los siguientes requisitos:  </w:t>
      </w:r>
    </w:p>
    <w:p w14:paraId="6F30DFA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0FFFF8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2.1. Celebrar un convenio interadministrativo de cooperación con el gestor y el departamento, mediante el cual se compromete a:  </w:t>
      </w:r>
    </w:p>
    <w:p w14:paraId="37F9AD7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07F76A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 Adoptar los lineamientos, principios y objetivos sectoriales de los Planes Departamentales para el Manejo Empresarial de los Servicios de Agua y Saneamiento (PDA) en concordancia con lo establecido en el Plan Nacional de Desarrollo y el presente capítulo.  </w:t>
      </w:r>
    </w:p>
    <w:p w14:paraId="34F7E41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4F751F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b) Implementar el instrumento para el manejo de recursos.  </w:t>
      </w:r>
    </w:p>
    <w:p w14:paraId="3F10CB8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25E061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 Aportar recursos para contribuir al cierre financiero en el marco de los Planes Departamentales para el Manejo Empresarial de los Servicios de Agua y Saneamiento (PDA).  </w:t>
      </w:r>
    </w:p>
    <w:p w14:paraId="6C1BF63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7C2A59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d) Implementar el esquema para el aseguramiento de la prestación de los servicios que se defina en desarrollo </w:t>
      </w:r>
      <w:proofErr w:type="gramStart"/>
      <w:r w:rsidRPr="009342F9">
        <w:rPr>
          <w:rFonts w:ascii="Arial" w:eastAsia="Times New Roman" w:hAnsi="Arial" w:cs="Arial"/>
          <w:color w:val="000000"/>
          <w:lang w:eastAsia="es-CO"/>
        </w:rPr>
        <w:t>del mismo</w:t>
      </w:r>
      <w:proofErr w:type="gramEnd"/>
      <w:r w:rsidRPr="009342F9">
        <w:rPr>
          <w:rFonts w:ascii="Arial" w:eastAsia="Times New Roman" w:hAnsi="Arial" w:cs="Arial"/>
          <w:color w:val="000000"/>
          <w:lang w:eastAsia="es-CO"/>
        </w:rPr>
        <w:t>.  </w:t>
      </w:r>
    </w:p>
    <w:p w14:paraId="515715A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4E771C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 Tomar las decisiones que resulten necesarias en relación con la infraestructura y los bienes afectos a la prestación de los servicios de agua potable y saneamiento básico de su propiedad.  </w:t>
      </w:r>
    </w:p>
    <w:p w14:paraId="0E05AB2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2.2. Autorizar el giro directo de los recursos comprometidos en virtud de este artículo al respectivo instrumento para el manejo de los recursos.  </w:t>
      </w:r>
    </w:p>
    <w:p w14:paraId="0A83BD4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B020D6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El Comité Directivo determinará si para efectos de su participación en los Planes Departamentales para el Manejo Empresarial de los Servicios de Agua y Saneamiento (PDA) el </w:t>
      </w:r>
      <w:r w:rsidRPr="009342F9">
        <w:rPr>
          <w:rFonts w:ascii="Arial" w:eastAsia="Times New Roman" w:hAnsi="Arial" w:cs="Arial"/>
          <w:color w:val="000000"/>
          <w:lang w:eastAsia="es-CO"/>
        </w:rPr>
        <w:lastRenderedPageBreak/>
        <w:t>municipio o distrito puede prescindir de los requisitos previstos en los literales b y c del numeral 2.1 y el numeral 2.2. de este artículo, de acuerdo con lo previsto en el Manual Operativo del que trata el artículo 2.3.3.1.5.2 del presente capítulo. En estos casos, previo a la firma del convenio, el Comité Directivo aprobará la vinculación del municipio.  </w:t>
      </w:r>
    </w:p>
    <w:p w14:paraId="18C9583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F497B7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3. Las autoridades ambientales. Las autoridades ambientales con jurisdicción en los municipios y distritos ubicados en el territorio del respectivo </w:t>
      </w:r>
      <w:proofErr w:type="gramStart"/>
      <w:r w:rsidRPr="009342F9">
        <w:rPr>
          <w:rFonts w:ascii="Arial" w:eastAsia="Times New Roman" w:hAnsi="Arial" w:cs="Arial"/>
          <w:color w:val="000000"/>
          <w:lang w:eastAsia="es-CO"/>
        </w:rPr>
        <w:t>departamento,</w:t>
      </w:r>
      <w:proofErr w:type="gramEnd"/>
      <w:r w:rsidRPr="009342F9">
        <w:rPr>
          <w:rFonts w:ascii="Arial" w:eastAsia="Times New Roman" w:hAnsi="Arial" w:cs="Arial"/>
          <w:color w:val="000000"/>
          <w:lang w:eastAsia="es-CO"/>
        </w:rPr>
        <w:t xml:space="preserve"> podrán participar en los Planes Departamentales para el Manejo Empresarial de los Servicios de Agua y Saneamiento (PDA). Para ello deberán suscribir un convenio con el departamento respectivo, precisando las actividades que se comprometen a desarrollar, los recursos que destinarán para cumplir con los compromisos adquiridos, así como los demás aspectos necesarios para asegurar una adecuada articulación de la autoridad ambiental con el Plan Departamental y sus estructuras operativas.  </w:t>
      </w:r>
    </w:p>
    <w:p w14:paraId="41123D0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3BC036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Las autoridades ambientales que hayan suscrito con los respectivos departamentos el Convenio Marco de Vinculación a los Planes Departamentales para el Manejo Empresarial de los Servicios de Agua y Saneamiento (PDA), se entenderán participantes de los Planes Departamentales, durante el tiempo que el convenio permanezca vigente.  </w:t>
      </w:r>
    </w:p>
    <w:p w14:paraId="0EDB08F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3F3CC7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Parágrafo 1°. Se entenderán participantes de los Planes Departamentales para el Manejo Empresarial de los Servicios de Agua y Saneamiento (PDA) los departamentos que suscribieron el convenio de cooperación técnica; asimismo se entenderán participantes de los PDA los municipios y distritos que a la </w:t>
      </w:r>
      <w:proofErr w:type="gramStart"/>
      <w:r w:rsidRPr="009342F9">
        <w:rPr>
          <w:rFonts w:ascii="Arial" w:eastAsia="Times New Roman" w:hAnsi="Arial" w:cs="Arial"/>
          <w:color w:val="000000"/>
          <w:lang w:eastAsia="es-CO"/>
        </w:rPr>
        <w:t>entrada en vigencia</w:t>
      </w:r>
      <w:proofErr w:type="gramEnd"/>
      <w:r w:rsidRPr="009342F9">
        <w:rPr>
          <w:rFonts w:ascii="Arial" w:eastAsia="Times New Roman" w:hAnsi="Arial" w:cs="Arial"/>
          <w:color w:val="000000"/>
          <w:lang w:eastAsia="es-CO"/>
        </w:rPr>
        <w:t xml:space="preserve"> del presente decreto suscribieron el Convenio de Cooperación y Apoyo Financiero con el departamento y el Gestor.  </w:t>
      </w:r>
    </w:p>
    <w:p w14:paraId="3AF7B7D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C53847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2°. Podrán participar, las personas jurídicas de derecho público, privado o mixto, que aporten recursos financieros o técnicos o humanos, previa aprobación del Comité Directivo. </w:t>
      </w:r>
    </w:p>
    <w:p w14:paraId="6B1D208F"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912" w:name="ver_30197869"/>
      <w:bookmarkStart w:id="1913" w:name="ver_30075883"/>
      <w:bookmarkEnd w:id="1912"/>
    </w:p>
    <w:p w14:paraId="577701DD" w14:textId="3E739361"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2.3.3.1.4.10. Subrogado</w:t>
      </w:r>
      <w:r w:rsidR="000443A9">
        <w:rPr>
          <w:rFonts w:ascii="Arial" w:eastAsia="Times New Roman" w:hAnsi="Arial" w:cs="Arial"/>
          <w:color w:val="000000"/>
          <w:lang w:eastAsia="es-CO"/>
        </w:rPr>
        <w:t>.</w:t>
      </w:r>
    </w:p>
    <w:p w14:paraId="6F98ADD2"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914" w:name="ver_30197870"/>
      <w:bookmarkStart w:id="1915" w:name="ver_30075885"/>
      <w:bookmarkEnd w:id="1913"/>
      <w:bookmarkEnd w:id="1914"/>
    </w:p>
    <w:p w14:paraId="4F5143A1" w14:textId="5AD73979"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2.3.3.1.4.11. Subrogado</w:t>
      </w:r>
      <w:r w:rsidR="000443A9">
        <w:rPr>
          <w:rFonts w:ascii="Arial" w:eastAsia="Times New Roman" w:hAnsi="Arial" w:cs="Arial"/>
          <w:color w:val="000000"/>
          <w:lang w:eastAsia="es-CO"/>
        </w:rPr>
        <w:t>.</w:t>
      </w:r>
    </w:p>
    <w:p w14:paraId="7D0917A1"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916" w:name="ver_30197871"/>
      <w:bookmarkStart w:id="1917" w:name="ver_30075886"/>
      <w:bookmarkEnd w:id="1915"/>
      <w:bookmarkEnd w:id="1916"/>
    </w:p>
    <w:p w14:paraId="60DC66EF" w14:textId="4B866E89"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2.3.3.1.4.12. Subrogado</w:t>
      </w:r>
      <w:r w:rsidR="000443A9">
        <w:rPr>
          <w:rFonts w:ascii="Arial" w:eastAsia="Times New Roman" w:hAnsi="Arial" w:cs="Arial"/>
          <w:color w:val="000000"/>
          <w:lang w:eastAsia="es-CO"/>
        </w:rPr>
        <w:t>.</w:t>
      </w:r>
    </w:p>
    <w:p w14:paraId="369983FE"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918" w:name="ver_30197872"/>
      <w:bookmarkStart w:id="1919" w:name="ver_30075888"/>
      <w:bookmarkEnd w:id="1917"/>
      <w:bookmarkEnd w:id="1918"/>
    </w:p>
    <w:p w14:paraId="3A6984C9" w14:textId="626D754F"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2.3.3.1.4.13. Subrogado</w:t>
      </w:r>
      <w:r w:rsidR="000443A9">
        <w:rPr>
          <w:rFonts w:ascii="Arial" w:eastAsia="Times New Roman" w:hAnsi="Arial" w:cs="Arial"/>
          <w:color w:val="000000"/>
          <w:lang w:eastAsia="es-CO"/>
        </w:rPr>
        <w:t>.</w:t>
      </w:r>
    </w:p>
    <w:p w14:paraId="42AF6B0D"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920" w:name="ver_30197873"/>
      <w:bookmarkStart w:id="1921" w:name="ver_30075890"/>
      <w:bookmarkEnd w:id="1919"/>
      <w:bookmarkEnd w:id="1920"/>
    </w:p>
    <w:p w14:paraId="5EAA9C20" w14:textId="33577840"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2.3.3.1.4.14. Subrogado</w:t>
      </w:r>
      <w:r w:rsidR="000443A9">
        <w:rPr>
          <w:rFonts w:ascii="Arial" w:eastAsia="Times New Roman" w:hAnsi="Arial" w:cs="Arial"/>
          <w:color w:val="000000"/>
          <w:lang w:eastAsia="es-CO"/>
        </w:rPr>
        <w:t>.</w:t>
      </w:r>
    </w:p>
    <w:p w14:paraId="6D00297D"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922" w:name="ver_30197874"/>
      <w:bookmarkStart w:id="1923" w:name="ver_30075892"/>
      <w:bookmarkEnd w:id="1921"/>
      <w:bookmarkEnd w:id="1922"/>
    </w:p>
    <w:p w14:paraId="3A448A0F" w14:textId="4D262A41"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2.3.3.1.4.15. Subrogado</w:t>
      </w:r>
      <w:r w:rsidR="000443A9">
        <w:rPr>
          <w:rFonts w:ascii="Arial" w:eastAsia="Times New Roman" w:hAnsi="Arial" w:cs="Arial"/>
          <w:color w:val="000000"/>
          <w:lang w:eastAsia="es-CO"/>
        </w:rPr>
        <w:t>.</w:t>
      </w:r>
    </w:p>
    <w:p w14:paraId="0622A9E8"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924" w:name="ver_30075893"/>
      <w:bookmarkEnd w:id="1923"/>
      <w:bookmarkEnd w:id="1924"/>
    </w:p>
    <w:p w14:paraId="7ADCE931" w14:textId="3541119F"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2.3.3.1.4.16. Subrogado</w:t>
      </w:r>
      <w:r w:rsidR="000443A9">
        <w:rPr>
          <w:rFonts w:ascii="Arial" w:eastAsia="Times New Roman" w:hAnsi="Arial" w:cs="Arial"/>
          <w:color w:val="000000"/>
          <w:lang w:eastAsia="es-CO"/>
        </w:rPr>
        <w:t>.</w:t>
      </w:r>
    </w:p>
    <w:p w14:paraId="07EAFAA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1023E56" w14:textId="77777777" w:rsidR="00FC79C1" w:rsidRPr="009342F9" w:rsidRDefault="00FC79C1" w:rsidP="004E2147">
      <w:pPr>
        <w:spacing w:after="0" w:line="240" w:lineRule="auto"/>
        <w:jc w:val="center"/>
        <w:rPr>
          <w:rFonts w:ascii="Arial" w:eastAsia="Times New Roman" w:hAnsi="Arial" w:cs="Arial"/>
          <w:b/>
          <w:bCs/>
          <w:color w:val="000000"/>
          <w:lang w:eastAsia="es-CO"/>
        </w:rPr>
      </w:pPr>
      <w:bookmarkStart w:id="1925" w:name="ver_30075897"/>
      <w:bookmarkEnd w:id="1925"/>
      <w:r w:rsidRPr="009342F9">
        <w:rPr>
          <w:rFonts w:ascii="Arial" w:eastAsia="Times New Roman" w:hAnsi="Arial" w:cs="Arial"/>
          <w:b/>
          <w:bCs/>
          <w:color w:val="000000"/>
          <w:lang w:eastAsia="es-CO"/>
        </w:rPr>
        <w:t>SECCIÓN 5</w:t>
      </w:r>
    </w:p>
    <w:p w14:paraId="0E1E2F27" w14:textId="77777777" w:rsidR="00FC79C1" w:rsidRPr="009342F9" w:rsidRDefault="00FC79C1" w:rsidP="004E2147">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INSTRUMENTOS DE PLANEACIÓN</w:t>
      </w:r>
    </w:p>
    <w:p w14:paraId="3703B0B4"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926" w:name="ver_30197881"/>
      <w:bookmarkEnd w:id="1926"/>
    </w:p>
    <w:p w14:paraId="239EB273" w14:textId="15B2B44B" w:rsidR="00FC79C1" w:rsidRPr="009342F9" w:rsidRDefault="00FC79C1" w:rsidP="00FC79C1">
      <w:pPr>
        <w:spacing w:after="0" w:line="240" w:lineRule="auto"/>
        <w:jc w:val="both"/>
        <w:rPr>
          <w:rFonts w:ascii="Arial" w:eastAsia="Times New Roman" w:hAnsi="Arial" w:cs="Arial"/>
          <w:color w:val="000000"/>
          <w:lang w:eastAsia="es-CO"/>
        </w:rPr>
      </w:pPr>
      <w:bookmarkStart w:id="1927" w:name="_Hlk47878806"/>
      <w:r w:rsidRPr="009342F9">
        <w:rPr>
          <w:rFonts w:ascii="Arial" w:eastAsia="Times New Roman" w:hAnsi="Arial" w:cs="Arial"/>
          <w:color w:val="000000"/>
          <w:lang w:eastAsia="es-CO"/>
        </w:rPr>
        <w:t>Artículo 2.3.3.1.5.1</w:t>
      </w:r>
      <w:bookmarkEnd w:id="1927"/>
      <w:r w:rsidRPr="009342F9">
        <w:rPr>
          <w:rFonts w:ascii="Arial" w:eastAsia="Times New Roman" w:hAnsi="Arial" w:cs="Arial"/>
          <w:color w:val="000000"/>
          <w:lang w:eastAsia="es-CO"/>
        </w:rPr>
        <w:t>. Instrumentos de Planeación de los Planes Departamentales para el Manejo Empresarial de los Servicios de Agua y Saneamiento (PDA). Cada Plan Departamental para el Manejo Empresarial de los Servicios de Agua y Saneamiento deberá contar con los instrumentos de planeación establecidos en la presente sección, los cuales deben ser elaborados por el Gestor y aprobados por el Comité Directivo. </w:t>
      </w:r>
    </w:p>
    <w:p w14:paraId="1A309D14" w14:textId="77777777" w:rsidR="00FC79C1" w:rsidRPr="009342F9" w:rsidRDefault="00FC79C1" w:rsidP="00FC79C1">
      <w:pPr>
        <w:spacing w:after="0" w:line="240" w:lineRule="auto"/>
        <w:jc w:val="both"/>
        <w:rPr>
          <w:rFonts w:ascii="Arial" w:eastAsia="Times New Roman" w:hAnsi="Arial" w:cs="Arial"/>
          <w:color w:val="000000"/>
          <w:lang w:eastAsia="es-CO"/>
        </w:rPr>
      </w:pPr>
    </w:p>
    <w:p w14:paraId="55A1FC36"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928" w:name="ver_30197884"/>
      <w:bookmarkEnd w:id="1928"/>
      <w:r w:rsidRPr="009342F9">
        <w:rPr>
          <w:rFonts w:ascii="Arial" w:eastAsia="Times New Roman" w:hAnsi="Arial" w:cs="Arial"/>
          <w:color w:val="000000"/>
          <w:lang w:eastAsia="es-CO"/>
        </w:rPr>
        <w:lastRenderedPageBreak/>
        <w:t>Artículo 2.3.3.1.5.2. Manual Operativo. Es el documento en el cual se definen los procedimientos bajo los cuales se desarrollará el Plan Departamental para el Manejo Empresarial de los Servicios de Agua y Saneamiento, que contendrá como mínimo:  </w:t>
      </w:r>
    </w:p>
    <w:p w14:paraId="42557B9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472E66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Componentes del Plan Departamental para el Manejo Empresarial de los Servicios de Agua y Saneamiento.  </w:t>
      </w:r>
    </w:p>
    <w:p w14:paraId="26FE177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CD741D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Estructura operativa.  </w:t>
      </w:r>
    </w:p>
    <w:p w14:paraId="6904C5F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72C7DC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Fuentes de financiación.  </w:t>
      </w:r>
    </w:p>
    <w:p w14:paraId="00E3548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C2F83D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Criterios de distribución de los recursos.  </w:t>
      </w:r>
    </w:p>
    <w:p w14:paraId="35E2523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678A4F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 Lineamientos del Plan de Acción Municipal, o el documento de planeación municipal sectorial que reglamente el Gobierno nacional. El Plan de Acción Municipal será el documento de Planeación sectorial con el que cuentan los municipios.  </w:t>
      </w:r>
    </w:p>
    <w:p w14:paraId="1D5C801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0AA408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6. Ejecución, seguimiento y control del Plan Departamental para el Manejo Empresarial de los Servicios de Agua y Saneamiento.  </w:t>
      </w:r>
    </w:p>
    <w:p w14:paraId="1E7A5CE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74AC5F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7. Requisitos para que el o los prestadores, el o los municipios o distritos se encarguen de la contratación de las obras.  </w:t>
      </w:r>
    </w:p>
    <w:p w14:paraId="6A985A1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1C635D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8. Procedimiento para el registro presupuestal, contable y financiero de los recursos y de los proyectos.  </w:t>
      </w:r>
    </w:p>
    <w:p w14:paraId="5C0B9BF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46B5B7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9. Sistemas para el monitoreo, control y seguimiento del Plan Departamental para el Manejo Empresarial de los Servicios de Agua y Saneamiento.  </w:t>
      </w:r>
    </w:p>
    <w:p w14:paraId="65A11DC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0FF450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10. Esquemas de cofinanciación para municipios o distritos con características especiales.  </w:t>
      </w:r>
    </w:p>
    <w:p w14:paraId="0C09496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B51150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11. Implementación de instancias de rendición de cuentas a la comunidad sobre los avances del Plan Departamental para el Manejo Empresarial de los Servicios de Agua y Saneamiento en general y realización de audiencias públicas sobre el avance de proyectos específicos.  </w:t>
      </w:r>
    </w:p>
    <w:p w14:paraId="50A0CB5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3A5B6F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12. Mecanismos para la vinculación a los Planes Departamentales para el Manejo Empresarial de los Servicios de Agua y Saneamiento (PDA) de las personas jurídicas de derecho público, privado o mixto mediante el aporte de recursos financieros o técnicos o humanos, previa aprobación del Comité Directivo.  </w:t>
      </w:r>
    </w:p>
    <w:p w14:paraId="47695DA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03A986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13. Regulación de los periodos y esquemas de rotación del (los) representante(s) de los alcaldes con asiento en el Comité Directivo del Plan Departamental para el Manejo Empresarial de los Servicios de Agua y Saneamiento y mecanismos para acreditar la elección del (los) representante(s).  </w:t>
      </w:r>
    </w:p>
    <w:p w14:paraId="52F64F6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E504ED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14. Trámite de modificación del Manual Operativo.  </w:t>
      </w:r>
    </w:p>
    <w:p w14:paraId="79EEACE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46C2FB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15. Trámites, condiciones y términos en que se entregarán a los municipios beneficiarios la infraestructura construida en desarrollo del Plan Departamental para el Manejo Empresarial de los Servicios de Agua y Saneamiento en concordancia con las estipulaciones establecidas en el esquema para el manejo de los recursos.  </w:t>
      </w:r>
    </w:p>
    <w:p w14:paraId="556EC3C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w:t>
      </w:r>
    </w:p>
    <w:p w14:paraId="1558F299" w14:textId="1E9A0504" w:rsidR="00FC79C1" w:rsidRPr="009342F9" w:rsidRDefault="00FC79C1" w:rsidP="00F647A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16. Trámite para la entrega de los bienes y servicios afectos a la prestación que garantice el funcionamiento y operación de </w:t>
      </w:r>
      <w:proofErr w:type="gramStart"/>
      <w:r w:rsidRPr="009342F9">
        <w:rPr>
          <w:rFonts w:ascii="Arial" w:eastAsia="Times New Roman" w:hAnsi="Arial" w:cs="Arial"/>
          <w:color w:val="000000"/>
          <w:lang w:eastAsia="es-CO"/>
        </w:rPr>
        <w:t>los mismos</w:t>
      </w:r>
      <w:proofErr w:type="gramEnd"/>
      <w:r w:rsidRPr="009342F9">
        <w:rPr>
          <w:rFonts w:ascii="Arial" w:eastAsia="Times New Roman" w:hAnsi="Arial" w:cs="Arial"/>
          <w:color w:val="000000"/>
          <w:lang w:eastAsia="es-CO"/>
        </w:rPr>
        <w:t>. Para el Manual Operativo corresponderá al Gobernador adoptarlo mediante decreto, así como las modificaciones respectivas. </w:t>
      </w:r>
    </w:p>
    <w:p w14:paraId="15BF21FA" w14:textId="60873E26" w:rsidR="00F647A1" w:rsidRPr="009342F9" w:rsidRDefault="00F647A1" w:rsidP="00F647A1">
      <w:pPr>
        <w:spacing w:after="0" w:line="240" w:lineRule="auto"/>
        <w:jc w:val="both"/>
        <w:rPr>
          <w:rFonts w:ascii="Arial" w:eastAsia="Times New Roman" w:hAnsi="Arial" w:cs="Arial"/>
          <w:color w:val="000000"/>
          <w:lang w:eastAsia="es-CO"/>
        </w:rPr>
      </w:pPr>
    </w:p>
    <w:p w14:paraId="178DAC33" w14:textId="1B7DD163" w:rsidR="00F647A1" w:rsidRPr="009342F9" w:rsidRDefault="00F647A1" w:rsidP="00F647A1">
      <w:pPr>
        <w:tabs>
          <w:tab w:val="left" w:pos="632"/>
        </w:tabs>
        <w:spacing w:after="0" w:line="264" w:lineRule="auto"/>
        <w:ind w:right="313"/>
        <w:rPr>
          <w:rFonts w:ascii="Arial" w:hAnsi="Arial" w:cs="Arial"/>
          <w:sz w:val="20"/>
          <w:szCs w:val="20"/>
        </w:rPr>
      </w:pPr>
      <w:r w:rsidRPr="009342F9">
        <w:rPr>
          <w:rFonts w:ascii="Arial" w:hAnsi="Arial" w:cs="Arial"/>
          <w:sz w:val="20"/>
          <w:szCs w:val="20"/>
        </w:rPr>
        <w:t xml:space="preserve">(Ver conceptos: </w:t>
      </w:r>
      <w:hyperlink r:id="rId37" w:history="1">
        <w:r w:rsidRPr="009342F9">
          <w:rPr>
            <w:rStyle w:val="Hipervnculo"/>
            <w:rFonts w:ascii="Arial" w:hAnsi="Arial" w:cs="Arial"/>
            <w:sz w:val="20"/>
            <w:szCs w:val="20"/>
          </w:rPr>
          <w:t>C −190 del 16/04/2020</w:t>
        </w:r>
      </w:hyperlink>
      <w:r w:rsidRPr="009342F9">
        <w:rPr>
          <w:rFonts w:ascii="Arial" w:hAnsi="Arial" w:cs="Arial"/>
          <w:sz w:val="20"/>
          <w:szCs w:val="20"/>
        </w:rPr>
        <w:t>)</w:t>
      </w:r>
    </w:p>
    <w:p w14:paraId="025D0422" w14:textId="77777777" w:rsidR="00FC79C1" w:rsidRPr="009342F9" w:rsidRDefault="00FC79C1" w:rsidP="00F647A1">
      <w:pPr>
        <w:spacing w:after="0" w:line="240" w:lineRule="auto"/>
        <w:jc w:val="both"/>
        <w:rPr>
          <w:rFonts w:ascii="Arial" w:eastAsia="Times New Roman" w:hAnsi="Arial" w:cs="Arial"/>
          <w:color w:val="000000"/>
          <w:lang w:eastAsia="es-CO"/>
        </w:rPr>
      </w:pPr>
      <w:bookmarkStart w:id="1929" w:name="ver_30197885"/>
      <w:bookmarkEnd w:id="1929"/>
    </w:p>
    <w:p w14:paraId="457434AA" w14:textId="77777777" w:rsidR="00FC79C1" w:rsidRPr="009342F9" w:rsidRDefault="00FC79C1" w:rsidP="00F647A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2.3.3.1.5.3. Plan Estratégico de Inversiones (PEI). Es el documento en el cual, con base en las necesidades identificadas, se definen las metas de operación y servicio durante la ejecución del Plan Departamental para el Manejo Empresarial de los Servicios de Agua y Saneamiento, y la capacidad de inversión para cada uno de sus componentes. Este deberá ser actualizado o modificado cada año, de conformidad con la verificación periódica que se haga del avance del respectivo Plan Departamental para el Manejo Empresarial de los Servicios de Agua y Saneamiento. El Plan Estratégico de Inversiones se elaborará con base en los planes de acción municipal o el documento que reglamente el Gobierno nacional.  </w:t>
      </w:r>
    </w:p>
    <w:p w14:paraId="16152CF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Este plan contendrá como mínimo:  </w:t>
      </w:r>
    </w:p>
    <w:p w14:paraId="456AA39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713E4D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Diagnóstico técnico base del estado de prestación de los servicios públicos de acueducto, alcantarillado y aseo.  </w:t>
      </w:r>
    </w:p>
    <w:p w14:paraId="413E593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FF1F97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Línea base de los indicadores de cobertura, calidad y continuidad para los servicios públicos de acueducto, alcantarillado y aseo en la zona urbana y rural.  </w:t>
      </w:r>
    </w:p>
    <w:p w14:paraId="50FBF33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CAE6C8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Metas, fuentes de financiación y uso de recursos comprometidos por participantes, servicio público y componentes.  </w:t>
      </w:r>
    </w:p>
    <w:p w14:paraId="7A86784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3C1BBD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Componentes del Plan Departamental para el Manejo Empresarial de los Servicios de Agua y Saneamiento: (i) aseguramiento de la prestación de los servicios, (ii) infraestructura, (iii) ambiental y (</w:t>
      </w:r>
      <w:proofErr w:type="spellStart"/>
      <w:r w:rsidRPr="009342F9">
        <w:rPr>
          <w:rFonts w:ascii="Arial" w:eastAsia="Times New Roman" w:hAnsi="Arial" w:cs="Arial"/>
          <w:color w:val="000000"/>
          <w:lang w:eastAsia="es-CO"/>
        </w:rPr>
        <w:t>iv</w:t>
      </w:r>
      <w:proofErr w:type="spellEnd"/>
      <w:r w:rsidRPr="009342F9">
        <w:rPr>
          <w:rFonts w:ascii="Arial" w:eastAsia="Times New Roman" w:hAnsi="Arial" w:cs="Arial"/>
          <w:color w:val="000000"/>
          <w:lang w:eastAsia="es-CO"/>
        </w:rPr>
        <w:t>) gestión del riesgo.  </w:t>
      </w:r>
    </w:p>
    <w:p w14:paraId="0A4F5AC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159746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 Planes de Acción Municipales, que serán incluidos como anexos del Plan.  </w:t>
      </w:r>
    </w:p>
    <w:p w14:paraId="7FD4836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6C16E9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6. Capítulo anual que incluirá los siguientes aspectos:  </w:t>
      </w:r>
    </w:p>
    <w:p w14:paraId="15BC79F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AA09E4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6.1. Cierre financiero para cada una de las inversiones a ejecutar.  </w:t>
      </w:r>
    </w:p>
    <w:p w14:paraId="7EE5BD1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E93584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6.2. Metas, proyectos e indicadores anuales en concordancia con la ejecución del año correspondiente.  </w:t>
      </w:r>
    </w:p>
    <w:p w14:paraId="05AF1FB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A60B3F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6.3. Porcentaje al que corresponde el pago del Gestor con respecto al valor de los recursos disponibles en el capítulo anual.  </w:t>
      </w:r>
    </w:p>
    <w:p w14:paraId="5AE476E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9B1440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6.4. Cronograma de ejecución por cada uno de los componentes.  </w:t>
      </w:r>
    </w:p>
    <w:p w14:paraId="708C3D9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F23199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6.5. Detalle por componente de las actividades necesarias para el cumplimiento de las metas anuales del Plan Departamental para el Manejo Empresarial de los Servicios de Agua y Saneamiento.  </w:t>
      </w:r>
    </w:p>
    <w:p w14:paraId="109A03B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F8C292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6.6. La totalidad de las inversiones del sector de Agua Potable y Saneamiento Básico (APSB) que se estén realizando en el departamento y se encuentren financiadas con recursos que no hagan parte del Plan Departamental, las cuales serán reportadas por los municipios y </w:t>
      </w:r>
      <w:r w:rsidRPr="009342F9">
        <w:rPr>
          <w:rFonts w:ascii="Arial" w:eastAsia="Times New Roman" w:hAnsi="Arial" w:cs="Arial"/>
          <w:color w:val="000000"/>
          <w:lang w:eastAsia="es-CO"/>
        </w:rPr>
        <w:lastRenderedPageBreak/>
        <w:t>departamentos durante la concertación de los instrumentos de planeación a que hace referencia el numeral 5 del artículo 2.3.3.1.2.3. del presente capítulo.  </w:t>
      </w:r>
    </w:p>
    <w:p w14:paraId="3F13186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A9B140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Todos los proyectos de infraestructura deberán contemplar la etapa de puesta en marcha, mínimo de seis (6) meses con el propósito de garantizar su sostenibilidad.  </w:t>
      </w:r>
    </w:p>
    <w:p w14:paraId="0A5C6C1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6ABB1D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 vigencia del Plan Estratégico de Inversiones (PEI) será la misma del periodo de gobierno de las entidades territoriales y del capítulo anual será hasta el 31 de diciembre del año de aprobación.  </w:t>
      </w:r>
    </w:p>
    <w:p w14:paraId="53D2EFE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E4B615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El gestor deberá certificar los gastos de consultoría, presentando el alcance y presupuesto de </w:t>
      </w:r>
      <w:proofErr w:type="gramStart"/>
      <w:r w:rsidRPr="009342F9">
        <w:rPr>
          <w:rFonts w:ascii="Arial" w:eastAsia="Times New Roman" w:hAnsi="Arial" w:cs="Arial"/>
          <w:color w:val="000000"/>
          <w:lang w:eastAsia="es-CO"/>
        </w:rPr>
        <w:t>los mismos</w:t>
      </w:r>
      <w:proofErr w:type="gramEnd"/>
      <w:r w:rsidRPr="009342F9">
        <w:rPr>
          <w:rFonts w:ascii="Arial" w:eastAsia="Times New Roman" w:hAnsi="Arial" w:cs="Arial"/>
          <w:color w:val="000000"/>
          <w:lang w:eastAsia="es-CO"/>
        </w:rPr>
        <w:t>, para lo cual deberá revisar las fuentes y usos de acuerdo con la normatividad vigente.  </w:t>
      </w:r>
    </w:p>
    <w:p w14:paraId="0CE2255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ABE5EA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Parágrafo 1°. Los Planes Generales Estratégicos de Inversiones deberán ser objeto de actualización durante los seis (6) meses siguientes de la </w:t>
      </w:r>
      <w:proofErr w:type="gramStart"/>
      <w:r w:rsidRPr="009342F9">
        <w:rPr>
          <w:rFonts w:ascii="Arial" w:eastAsia="Times New Roman" w:hAnsi="Arial" w:cs="Arial"/>
          <w:color w:val="000000"/>
          <w:lang w:eastAsia="es-CO"/>
        </w:rPr>
        <w:t>entrada en vigencia</w:t>
      </w:r>
      <w:proofErr w:type="gramEnd"/>
      <w:r w:rsidRPr="009342F9">
        <w:rPr>
          <w:rFonts w:ascii="Arial" w:eastAsia="Times New Roman" w:hAnsi="Arial" w:cs="Arial"/>
          <w:color w:val="000000"/>
          <w:lang w:eastAsia="es-CO"/>
        </w:rPr>
        <w:t xml:space="preserve"> de este capítulo.  </w:t>
      </w:r>
    </w:p>
    <w:p w14:paraId="5443134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C474B02" w14:textId="69AE7E8C"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Parágrafo 2°. En el Plan Estratégico de Inversiones (PEI) y su capítulo anual, el departamento deberá certificar los costos del Gestor, indicando el porcentaje de </w:t>
      </w:r>
      <w:proofErr w:type="gramStart"/>
      <w:r w:rsidRPr="009342F9">
        <w:rPr>
          <w:rFonts w:ascii="Arial" w:eastAsia="Times New Roman" w:hAnsi="Arial" w:cs="Arial"/>
          <w:color w:val="000000"/>
          <w:lang w:eastAsia="es-CO"/>
        </w:rPr>
        <w:t>los mismos</w:t>
      </w:r>
      <w:proofErr w:type="gramEnd"/>
      <w:r w:rsidRPr="009342F9">
        <w:rPr>
          <w:rFonts w:ascii="Arial" w:eastAsia="Times New Roman" w:hAnsi="Arial" w:cs="Arial"/>
          <w:color w:val="000000"/>
          <w:lang w:eastAsia="es-CO"/>
        </w:rPr>
        <w:t>, con relación al valor total del capítulo anual del Plan Estratégico de Inversiones (PEI). Este porcentaje no podrá superar el 5%.  </w:t>
      </w:r>
    </w:p>
    <w:p w14:paraId="6639C35D" w14:textId="77777777" w:rsidR="004E2147" w:rsidRPr="009342F9" w:rsidRDefault="004E2147" w:rsidP="00FC79C1">
      <w:pPr>
        <w:spacing w:after="0" w:line="240" w:lineRule="auto"/>
        <w:jc w:val="both"/>
        <w:rPr>
          <w:rFonts w:ascii="Arial" w:eastAsia="Times New Roman" w:hAnsi="Arial" w:cs="Arial"/>
          <w:color w:val="000000"/>
          <w:lang w:eastAsia="es-CO"/>
        </w:rPr>
      </w:pPr>
    </w:p>
    <w:p w14:paraId="461558C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caso de que los costos del gestor superen este porcentaje, el Gobernador deberá sustentar dichos costos ante el Comité Directivo y este determinará su aprobación. Asimismo, el departamento deberá certificar la ejecución de los costos del gestor correspondientes a la vigencia anterior. </w:t>
      </w:r>
    </w:p>
    <w:p w14:paraId="3A7AECC3"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930" w:name="ver_30197886"/>
      <w:bookmarkEnd w:id="1930"/>
    </w:p>
    <w:p w14:paraId="18D9B4F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2.3.3.1.5.4. Plan de Aseguramiento de la Prestación. Es el documento que contiene el conjunto de acciones operativas, técnicas, administrativas, comerciales, financieras a implementar por los diferentes actores municipales y regionales con competencia en la prestación de los servicios públicos de acueducto, alcantarillado y aseo que permitan fortalecer las capacidades de los municipios o empresas prestadoras y garantizar, en el mediano y largo plazo, la sostenibilidad de las inversiones y de la prestación de los servicios.  </w:t>
      </w:r>
    </w:p>
    <w:p w14:paraId="7300C73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FE868F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El Plan de Aseguramiento de la Prestación podrá incluir un componente de asistencia técnica operativa y actividades relacionadas con los planes de eficiencia energética, programas de gestión de pérdidas, de calidad del agua, fortalecimiento comunitario para zonas rurales así como actividades para el apoyo a la formulación de los planes de gestión de las personas prestadoras de los servicios de acueducto, alcantarillado o aseo que deseen implementar los esquemas diferenciales para la prestación de los servicios de acueducto, alcantarillado y aseo.  </w:t>
      </w:r>
    </w:p>
    <w:p w14:paraId="1210BF9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7933D0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Este documento deberá contener entre otros, los objetivos generales, el alcance, las metas e indicadores que se pretenden alcanzar con la ejecución del plan en cada municipio o distrito, así como las actividades, productos, presupuesto y cronograma requeridos, de conformidad con los criterios que defina el Ministerio de Vivienda, Ciudad y Territorio.  </w:t>
      </w:r>
    </w:p>
    <w:p w14:paraId="569822D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57D2C8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El Plan de Aseguramiento de la Prestación deberá definirse en tres fases, a saber:  </w:t>
      </w:r>
    </w:p>
    <w:p w14:paraId="4E2321F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4DC086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1. Fase 1: Diagnóstico y prefactibilidad. Con base en un análisis de la situación actual se elaborará un diagnóstico desde el punto de vista institucional, legal, financiero, comercial, social, administrativo y técnico-operativo de la prestación de los servicios públicos de acueducto, alcantarillado y aseo en cada municipio o distrito, de tal manera que se pueda determinar la línea </w:t>
      </w:r>
      <w:r w:rsidRPr="009342F9">
        <w:rPr>
          <w:rFonts w:ascii="Arial" w:eastAsia="Times New Roman" w:hAnsi="Arial" w:cs="Arial"/>
          <w:color w:val="000000"/>
          <w:lang w:eastAsia="es-CO"/>
        </w:rPr>
        <w:lastRenderedPageBreak/>
        <w:t>base de los indicadores de la prestación, así como, los riesgos financieros y operacionales del prestador de los servicios, con arreglo a los indicadores y a la metodología de identificación y valoración de riesgos sectoriales, conforme a la normativa vigente.  </w:t>
      </w:r>
    </w:p>
    <w:p w14:paraId="783A5BC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1E0131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Con base en el diagnóstico se definirá la viabilidad del prestador y se determinarán las acciones a seguir para garantizar el aseguramiento de la prestación de los servicios, enmarcadas en alguna de las siguientes estrategias: a) fortalecimiento institucional, b) transformación empresarial (incluye vinculación de operadores o creación de empresas) o c) revisión de contratos de operación, estrategia que deberá ser concertada con la entidad territorial.  </w:t>
      </w:r>
    </w:p>
    <w:p w14:paraId="3C49814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AF1102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Fase 2: Definición de la estrategia a seguir para el aseguramiento de la prestación del servicio. A partir del resultado de la Fase 1, se deberán formular las actividades, productos, cronograma y presupuesto a seguir en cada municipio o distrito, según la estrategia seleccionada, las cuales deberán estar alineadas con las metas establecidas en el Plan Estratégico de Inversiones (PEI) y con la mitigación de los riesgos financieros y operacionales del prestador de los servicios públicos.  </w:t>
      </w:r>
    </w:p>
    <w:p w14:paraId="3D058B1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8B528C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Fase 3: Puesta en marcha de la estrategia establecida en la Fase 2. Ejecución y seguimiento de las actividades y productos propuestos en la Fase 2 y verificación de su cumplimiento de conformidad con el cronograma definido y el presupuesto asignado.  </w:t>
      </w:r>
    </w:p>
    <w:p w14:paraId="78E9273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3923E2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1°. Se deberá considerar como uno de los criterios de priorización para la elaboración de los planes de aseguramiento, aquellos municipios o distritos, en los que se cuente con obras de infraestructura terminadas, en proceso de contratación o en ejecución, así como aquellos que sean prestadores directos.  </w:t>
      </w:r>
    </w:p>
    <w:p w14:paraId="7EA34867" w14:textId="5108B88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91D970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2°. El Ministerio de Vivienda, Ciudad y Territorio definirá mediante acto administrativo los requisitos de presentación de los Planes de Aseguramiento de la Prestación.  </w:t>
      </w:r>
    </w:p>
    <w:p w14:paraId="5F37818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F718C7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3°. Los municipios deberán contar con un acta de concertación en la cual se obligarán a (i) ejecutar el Plan de Aseguramiento de la Prestación aprobado por el Comité Directivo, en caso de que dicho Plan no se encuentre en ejecución, y (ii) recibir a satisfacción las obras desarrolladas en la jurisdicción de cada uno de ellos.  </w:t>
      </w:r>
    </w:p>
    <w:p w14:paraId="722651F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323A5D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4°. Los departamentos a través de los Planes Departamentales para el Manejo Empresarial de los Servicios de Agua y Saneamiento (PDA) podrán apoyar financiera, técnica y administrativamente los procesos de entrega a terceros de la prestación de los servicios de acueducto, alcantarillado y aseo, así como la implementación efectiva de esquemas asociativos regionales de prestación de los servicios públicos de agua potable y saneamiento básico.  </w:t>
      </w:r>
    </w:p>
    <w:p w14:paraId="499DB74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28C923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Parágrafo Transitorio. Los Planes de Aseguramiento de la Prestación deberán ser objeto de actualización durante los seis (6) meses siguientes de la </w:t>
      </w:r>
      <w:proofErr w:type="gramStart"/>
      <w:r w:rsidRPr="009342F9">
        <w:rPr>
          <w:rFonts w:ascii="Arial" w:eastAsia="Times New Roman" w:hAnsi="Arial" w:cs="Arial"/>
          <w:color w:val="000000"/>
          <w:lang w:eastAsia="es-CO"/>
        </w:rPr>
        <w:t>entrada en vigencia</w:t>
      </w:r>
      <w:proofErr w:type="gramEnd"/>
      <w:r w:rsidRPr="009342F9">
        <w:rPr>
          <w:rFonts w:ascii="Arial" w:eastAsia="Times New Roman" w:hAnsi="Arial" w:cs="Arial"/>
          <w:color w:val="000000"/>
          <w:lang w:eastAsia="es-CO"/>
        </w:rPr>
        <w:t xml:space="preserve"> de este capítulo.  </w:t>
      </w:r>
    </w:p>
    <w:p w14:paraId="25D1C15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AF1ED8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Los Planes de Aseguramiento de la Prestación no requerirán de la actualización de que trata este parágrafo, si a la </w:t>
      </w:r>
      <w:proofErr w:type="gramStart"/>
      <w:r w:rsidRPr="009342F9">
        <w:rPr>
          <w:rFonts w:ascii="Arial" w:eastAsia="Times New Roman" w:hAnsi="Arial" w:cs="Arial"/>
          <w:color w:val="000000"/>
          <w:lang w:eastAsia="es-CO"/>
        </w:rPr>
        <w:t>entrada en vigencia</w:t>
      </w:r>
      <w:proofErr w:type="gramEnd"/>
      <w:r w:rsidRPr="009342F9">
        <w:rPr>
          <w:rFonts w:ascii="Arial" w:eastAsia="Times New Roman" w:hAnsi="Arial" w:cs="Arial"/>
          <w:color w:val="000000"/>
          <w:lang w:eastAsia="es-CO"/>
        </w:rPr>
        <w:t xml:space="preserve"> del presente capítulo se encuentran en ejecución fases contractuales para el desarrollo de los mismos. </w:t>
      </w:r>
    </w:p>
    <w:p w14:paraId="0684B5C0"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931" w:name="ver_30197888"/>
      <w:bookmarkEnd w:id="1931"/>
    </w:p>
    <w:p w14:paraId="2C3D46D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2.3.3.1.5.5. Plan Ambiental. Es un instrumento que define el componente ambiental de los Planes Departamentales para el Manejo Empresarial de los Servicios de Agua y Saneamiento (PDA), y tiene por objeto, considerar en la planeación y ejecución de los proyectos de prestación </w:t>
      </w:r>
      <w:r w:rsidRPr="009342F9">
        <w:rPr>
          <w:rFonts w:ascii="Arial" w:eastAsia="Times New Roman" w:hAnsi="Arial" w:cs="Arial"/>
          <w:color w:val="000000"/>
          <w:lang w:eastAsia="es-CO"/>
        </w:rPr>
        <w:lastRenderedPageBreak/>
        <w:t>de los servicios públicos de acueducto, alcantarillado y aseo, los requerimientos ambientales asociados a dichos proyectos, para garantizar su sostenibilidad.  </w:t>
      </w:r>
    </w:p>
    <w:p w14:paraId="45D27F0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75F940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La planeación y ejecución de los proyectos de prestación de estos servicios públicos deberá hacerse considerando la oferta y demanda de recursos naturales renovables disponibles para la prestación de </w:t>
      </w:r>
      <w:proofErr w:type="gramStart"/>
      <w:r w:rsidRPr="009342F9">
        <w:rPr>
          <w:rFonts w:ascii="Arial" w:eastAsia="Times New Roman" w:hAnsi="Arial" w:cs="Arial"/>
          <w:color w:val="000000"/>
          <w:lang w:eastAsia="es-CO"/>
        </w:rPr>
        <w:t>los mismos</w:t>
      </w:r>
      <w:proofErr w:type="gramEnd"/>
      <w:r w:rsidRPr="009342F9">
        <w:rPr>
          <w:rFonts w:ascii="Arial" w:eastAsia="Times New Roman" w:hAnsi="Arial" w:cs="Arial"/>
          <w:color w:val="000000"/>
          <w:lang w:eastAsia="es-CO"/>
        </w:rPr>
        <w:t>.  </w:t>
      </w:r>
    </w:p>
    <w:p w14:paraId="68BF50C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E8B840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El Plan Ambiental deberá contener como mínimo:  </w:t>
      </w:r>
    </w:p>
    <w:p w14:paraId="19555CF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ADCF1D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Marco de la Planificación Ambiental, el cual deberá contemplar como mínimo una caracterización ambiental asociada a los Planes Departamentales para el Manejo Empresarial de los Servicios de Agua y Saneamiento (PDA); requerimientos ambientales para los proyectos de acueducto, alcantarillado y aseo previstos en los Planes Departamentales; criterios para la priorización de proyectos de saneamiento, los cuales deben ser articulados a los instrumentos de planificación de cada autoridad ambiental; y criterios para la priorización de proyectos de conservación.  </w:t>
      </w:r>
    </w:p>
    <w:p w14:paraId="0937554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ACE20F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Marco Económico y Financiero del Componente Ambiental, deberá tener previstas las fuentes de financiación de ley asociadas a este componente de los entes territoriales, autoridades ambientales cuando estas sean participantes de los Planes Departamentales para el Manejo Empresarial de los Servicios de Agua y Saneamiento (PDA); empresas de servicios públicos, exenciones tributarias; recursos de cooperación internacional; mecanismos de crédito y financiación, y recursos de banca multilateral, entre otros.  </w:t>
      </w:r>
    </w:p>
    <w:p w14:paraId="40D262D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227A3A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Concertación de Obras e Inversiones entre el departamento, el Gestor y las Autoridades Ambientales cuando estas sean participantes de los Planes Departamentales para el Manejo Empresarial de los Servicios de Agua y Saneamiento (PDA) con base en el diagnóstico del sector; priorización de proyectos y las inversiones disponibles.  </w:t>
      </w:r>
    </w:p>
    <w:p w14:paraId="25BE490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004B26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Aprobado el Plan Ambiental por parte del Comité Directivo, el Ministerio de Vivienda, Ciudad y Territorio realizará reuniones de seguimiento con el Gestor, con una periodicidad no mayor a seis (6) meses, con el fin de realizar seguimiento al mismo. </w:t>
      </w:r>
    </w:p>
    <w:p w14:paraId="6A86E4BC"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932" w:name="ver_30197889"/>
      <w:bookmarkEnd w:id="1932"/>
    </w:p>
    <w:p w14:paraId="5401F18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2.3.3.1.5.6. Plan de Gestión Social. Es el documento que contiene el conjunto de programas y proyectos a través de los cuales los diferentes actores municipales, distritales y regionales con competencia en la prestación de los servicios públicos de acueducto, alcantarillado y aseo desarrollan los procesos de gestión social frente a la prestación de </w:t>
      </w:r>
      <w:proofErr w:type="gramStart"/>
      <w:r w:rsidRPr="009342F9">
        <w:rPr>
          <w:rFonts w:ascii="Arial" w:eastAsia="Times New Roman" w:hAnsi="Arial" w:cs="Arial"/>
          <w:color w:val="000000"/>
          <w:lang w:eastAsia="es-CO"/>
        </w:rPr>
        <w:t>los mismos</w:t>
      </w:r>
      <w:proofErr w:type="gramEnd"/>
      <w:r w:rsidRPr="009342F9">
        <w:rPr>
          <w:rFonts w:ascii="Arial" w:eastAsia="Times New Roman" w:hAnsi="Arial" w:cs="Arial"/>
          <w:color w:val="000000"/>
          <w:lang w:eastAsia="es-CO"/>
        </w:rPr>
        <w:t>, formulados con base en el diagnóstico de la situación actual que se realiza en el Plan Aseguramiento de la Prestación.  </w:t>
      </w:r>
    </w:p>
    <w:p w14:paraId="699B1A0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E42B73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Este documento deberá contener, entre otros, los objetivos generales, el alcance, las metas e indicadores que se pretenden alcanzar con su ejecución en cada municipio o distrito, así como las actividades, productos, presupuesto y cronograma requeridos, de conformidad con los criterios que defina el Ministerio de Vivienda, Ciudad y Territorio.  </w:t>
      </w:r>
    </w:p>
    <w:p w14:paraId="607C958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681F56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El Plan de Gestión Social deberá contar como mínimo con tres líneas de trabajo, así:  </w:t>
      </w:r>
    </w:p>
    <w:p w14:paraId="62B0263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AB6F5D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Participación Ciudadana. Se orienta a dar a conocer los diferentes mecanismos y espacios de participación con los que cuenta la comunidad frente a la prestación de los servicios, para lograr un mayor empoderamiento, sentido de pertenencia y sostenibilidad de las obras de acueducto y saneamiento básico.  </w:t>
      </w:r>
    </w:p>
    <w:p w14:paraId="78029F4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w:t>
      </w:r>
    </w:p>
    <w:p w14:paraId="17A58D5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Comunicación. Busca divulgar, informar y socializar a la comunidad los proyectos de agua potable y saneamiento básico a ejecutar en el municipio o distrito, con el fin de facilitar la transparencia y el control social.  </w:t>
      </w:r>
    </w:p>
    <w:p w14:paraId="452CD42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3D455F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Capacitación. Dirigida a fortalecer las capacidades y competencias locales, institucionales y comunitarias para el sostenimiento de los proyectos.  </w:t>
      </w:r>
    </w:p>
    <w:p w14:paraId="63F3484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7290B0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Adicionalmente, el Plan de Gestión Social debe formularse en coordinación con las actividades desarrolladas en los procesos de aseguramiento de la prestación, y debe incluir el acompañamiento social a programas especiales, entre otros; agua y saneamiento en casa –conexiones intradomiciliarias–; y proyectos de abastecimiento de agua en zona rural en el marco de alianzas estratégicas entre el Ministerio de Vivienda, Ciudad y Territorio y organismos de cooperación. </w:t>
      </w:r>
    </w:p>
    <w:p w14:paraId="4638EA1B"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933" w:name="ver_30197890"/>
      <w:bookmarkEnd w:id="1933"/>
    </w:p>
    <w:p w14:paraId="1079F83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2.3.3.1.5.7. Plan de Gestión del Riesgo Sectorial. Es el instrumento que establece las directrices que promueven la generación del conocimiento sobre el nivel de riesgo al que se encuentran expuestos los sistemas de prestación de los servicios públicos de acueducto, alcantarillado y aseo, con el fin de identificar y reducir los riesgos de desabastecimiento de agua para consumo humano e interrupción de los mismos y reducir los impactos de los desastres sobre la prestación de los servicios públicos domiciliarios y la comunidad, así como la capacidad institucional y fortalecimiento de las estrategias para el manejo de desastres, logrando de esta manera propiciar condiciones de continuidad, cobertura y calidad en la prestación de los servicios públicos domiciliarios, ante la presencia o materialización de cualquier evento contingente.  </w:t>
      </w:r>
    </w:p>
    <w:p w14:paraId="3233E06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B34660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 planeación y ejecución de los proyectos de prestación de estos servicios públicos deberá hacerse considerando la valoración del nivel de riesgo para la prestación de los mismos, en especial el marco de la planificación de la gestión del riesgo, considerando los aspectos de conocimiento y reducción del riesgo en aquellos sistemas con áreas de influencia de los Planes Departamentales para el Manejo Empresarial de los Servicios de Agua y Saneamiento (PDA), criterios para la identificación y priorización de proyectos con enfoque a la reducción del riesgo.  </w:t>
      </w:r>
    </w:p>
    <w:p w14:paraId="743BAEA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0A823C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El Plan de Gestión del Riesgo Sectorial deberá contener como mínimo el siguiente desarrollo:  </w:t>
      </w:r>
    </w:p>
    <w:p w14:paraId="354EBD9F" w14:textId="77777777" w:rsidR="004E2147" w:rsidRPr="009342F9" w:rsidRDefault="004E2147" w:rsidP="00FC79C1">
      <w:pPr>
        <w:spacing w:after="0" w:line="240" w:lineRule="auto"/>
        <w:jc w:val="both"/>
        <w:rPr>
          <w:rFonts w:ascii="Arial" w:eastAsia="Times New Roman" w:hAnsi="Arial" w:cs="Arial"/>
          <w:color w:val="000000"/>
          <w:lang w:eastAsia="es-CO"/>
        </w:rPr>
      </w:pPr>
    </w:p>
    <w:p w14:paraId="3D711402" w14:textId="569BE28A"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Conocimiento del Riesgo. Consiste en conocer las condiciones particulares de la región en estudio, a partir de la información existente levantada o construida por diferentes actores presentes en la zona, teniendo en cuenta lo siguiente:  </w:t>
      </w:r>
    </w:p>
    <w:p w14:paraId="3619699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7F4B00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1.1. Levantamiento histórico de emergencias - Eventos Base de datos Unidad Nacional para la Gestión del Riesgo de Desastres (UNGRD).  </w:t>
      </w:r>
    </w:p>
    <w:p w14:paraId="5111E52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69085C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1.2. Reportes de contingencias asociadas a proyectos con licenciamiento ambiental otorgado por la Autoridad Ambiental competente.  </w:t>
      </w:r>
    </w:p>
    <w:p w14:paraId="6169B64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F82B37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1.3. Regionalización de la información - Eventos.  </w:t>
      </w:r>
    </w:p>
    <w:p w14:paraId="442B7E6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39CE24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1.4. Evaluación de información secundaria - Amenazas.  </w:t>
      </w:r>
    </w:p>
    <w:p w14:paraId="44A2763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79F134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1.5. Revisión de los Planes de Emergencia y Contingencia.  </w:t>
      </w:r>
    </w:p>
    <w:p w14:paraId="1CB41E3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4F88C2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2. Reducción del riesgo sectorial. Se requiere identificar los ejercicios en reducción del riesgo sectorial existentes en el departamento, es decir, las obras y acciones proyectadas o ejecutadas que conlleven a la disminución de los escenarios de riesgo, a través de la intervención de la amenaza o la vulnerabilidad.  </w:t>
      </w:r>
    </w:p>
    <w:p w14:paraId="0E26BD3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F36C90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Manejo del Desastre. El Gestor del Plan Departamental para el Manejo Empresarial de los Servicios de Agua y Saneamiento podrá plantear las acciones que como soporte técnico de gestión del riesgo sectorial departamental realizará para la atención de desastres, lo cual se convertirá en el protocolo de actuación en la materialización de un evento contingente que pueda afectar el sector. Las actuaciones del Gestor en el proceso de manejo de desastres y emergencias se realizarán solo y exclusivamente, en el marco del principio de subsidiariedad y previa declaratoria de situación de desastre o calamidad pública, prevista en la Ley 1523 de 2012 o la norma que la modifique, complemente o sustituya.  </w:t>
      </w:r>
    </w:p>
    <w:p w14:paraId="73CA81F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AE8763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 base del proceso será la consolidación del inventario de capacidades técnicas, administrativas y financieras del sector de agua potable y saneamiento básico para el departamento y, a partir de esto, la definición de un protocolo.  </w:t>
      </w:r>
    </w:p>
    <w:p w14:paraId="030CBAB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A64771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4. Inversiones. Con la evaluación de los numerales 1, 2 y 3 de este artículo, se tendrá el escenario por municipio o distrito y por prestador de las condiciones de riesgo de la prestación de los servicios públicos dentro del departamento, con lo cual se podrán soportar las actividades de fortalecimiento por involucrar en el Plan Departamental para el Manejo Empresarial de los Servicios de Agua y Saneamiento y la priorización de </w:t>
      </w:r>
      <w:proofErr w:type="gramStart"/>
      <w:r w:rsidRPr="009342F9">
        <w:rPr>
          <w:rFonts w:ascii="Arial" w:eastAsia="Times New Roman" w:hAnsi="Arial" w:cs="Arial"/>
          <w:color w:val="000000"/>
          <w:lang w:eastAsia="es-CO"/>
        </w:rPr>
        <w:t>las mismas</w:t>
      </w:r>
      <w:proofErr w:type="gramEnd"/>
      <w:r w:rsidRPr="009342F9">
        <w:rPr>
          <w:rFonts w:ascii="Arial" w:eastAsia="Times New Roman" w:hAnsi="Arial" w:cs="Arial"/>
          <w:color w:val="000000"/>
          <w:lang w:eastAsia="es-CO"/>
        </w:rPr>
        <w:t>.  </w:t>
      </w:r>
    </w:p>
    <w:p w14:paraId="1B39A16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CF2849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1°. El Ministerio de Vivienda, Ciudad y Territorio definirá los requisitos de presentación del Plan de Gestión del Riesgo Sectorial.  </w:t>
      </w:r>
    </w:p>
    <w:p w14:paraId="4ED4DB2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6E892F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2°. Dentro del cierre financiero en el marco de los Planes Departamentales para el Manejo Empresarial de los Servicios de Agua y Saneamiento (PDA), se deben garantizar los recursos necesarios para la ejecución integral de lo establecido en los Instrumentos de Planeación de que trata la presente sección. </w:t>
      </w:r>
    </w:p>
    <w:p w14:paraId="4044CE77"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934" w:name="ver_30197880"/>
      <w:bookmarkStart w:id="1935" w:name="ver_30075898"/>
      <w:bookmarkEnd w:id="1934"/>
    </w:p>
    <w:p w14:paraId="2AB18D03" w14:textId="2E6C7632"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2.3.3.1.5.17. Subrogado</w:t>
      </w:r>
      <w:r w:rsidR="000443A9">
        <w:rPr>
          <w:rFonts w:ascii="Arial" w:eastAsia="Times New Roman" w:hAnsi="Arial" w:cs="Arial"/>
          <w:color w:val="000000"/>
          <w:lang w:eastAsia="es-CO"/>
        </w:rPr>
        <w:t>.</w:t>
      </w:r>
    </w:p>
    <w:p w14:paraId="787B8780" w14:textId="77777777" w:rsidR="00FC79C1" w:rsidRPr="009342F9" w:rsidRDefault="00FC79C1" w:rsidP="00FC79C1">
      <w:pPr>
        <w:spacing w:after="0" w:line="240" w:lineRule="auto"/>
        <w:jc w:val="both"/>
        <w:rPr>
          <w:rFonts w:ascii="Arial" w:eastAsia="Times New Roman" w:hAnsi="Arial" w:cs="Arial"/>
          <w:color w:val="000000"/>
          <w:lang w:eastAsia="es-CO"/>
        </w:rPr>
      </w:pPr>
    </w:p>
    <w:p w14:paraId="2E477CA5" w14:textId="77777777" w:rsidR="00FC79C1" w:rsidRPr="009342F9" w:rsidRDefault="00FC79C1" w:rsidP="004E2147">
      <w:pPr>
        <w:spacing w:after="0" w:line="240" w:lineRule="auto"/>
        <w:jc w:val="center"/>
        <w:rPr>
          <w:rFonts w:ascii="Arial" w:eastAsia="Times New Roman" w:hAnsi="Arial" w:cs="Arial"/>
          <w:b/>
          <w:bCs/>
          <w:color w:val="000000"/>
          <w:lang w:eastAsia="es-CO"/>
        </w:rPr>
      </w:pPr>
      <w:bookmarkStart w:id="1936" w:name="ver_30075899"/>
      <w:bookmarkEnd w:id="1935"/>
      <w:bookmarkEnd w:id="1936"/>
      <w:r w:rsidRPr="009342F9">
        <w:rPr>
          <w:rFonts w:ascii="Arial" w:eastAsia="Times New Roman" w:hAnsi="Arial" w:cs="Arial"/>
          <w:b/>
          <w:bCs/>
          <w:color w:val="000000"/>
          <w:lang w:eastAsia="es-CO"/>
        </w:rPr>
        <w:t>SECCIÓN 6</w:t>
      </w:r>
    </w:p>
    <w:p w14:paraId="07858795" w14:textId="77777777" w:rsidR="00FC79C1" w:rsidRPr="009342F9" w:rsidRDefault="00FC79C1" w:rsidP="004E2147">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MEDICIÓN DE DESEMPEÑO Y SEGUIMIENTO DE LOS PLANES DEPARTAMENTALES PARA EL MANEJO EMPRESARIAL DE LOS SERVICIOS DE AGUA Y SANEAMIENTO (PDA)</w:t>
      </w:r>
    </w:p>
    <w:p w14:paraId="28AF229B"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937" w:name="ver_30197893"/>
      <w:bookmarkEnd w:id="1937"/>
    </w:p>
    <w:p w14:paraId="61CF4A5E" w14:textId="28CD4F69"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2.3.3.1.6.1. Medición capacidad institucional y de resultados de los Planes Departamentales para el Manejo Empresarial de los Servicios de Agua y Saneamiento (PDA).  </w:t>
      </w:r>
    </w:p>
    <w:p w14:paraId="676C3008" w14:textId="77777777" w:rsidR="004E2147" w:rsidRPr="009342F9" w:rsidRDefault="004E2147" w:rsidP="00FC79C1">
      <w:pPr>
        <w:spacing w:after="0" w:line="240" w:lineRule="auto"/>
        <w:jc w:val="both"/>
        <w:rPr>
          <w:rFonts w:ascii="Arial" w:eastAsia="Times New Roman" w:hAnsi="Arial" w:cs="Arial"/>
          <w:color w:val="000000"/>
          <w:lang w:eastAsia="es-CO"/>
        </w:rPr>
      </w:pPr>
    </w:p>
    <w:p w14:paraId="6864E73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 capacidad institucional y de resultados de los Gestores de los Planes Departamentales para el Manejo Empresarial de los Servicios de Agua y Saneamiento (PDA) será medida mediante el índice que para el efecto defina el Departamento Nacional de Planeación (DNP), el cual será construido a partir de la información del orden nacional para el sector de agua potable y saneamiento básico y la que para el efecto reporten los Gestores.  </w:t>
      </w:r>
    </w:p>
    <w:p w14:paraId="020793F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7C3E97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El resultado de esta medición permitirá realizar la clasificación de los Gestores de los Planes Departamentales para el Manejo Empresarial de los Servicios de Agua y Saneamiento (PDA) en el Nivel Alto, Medio o Bajo, para lo cual el Departamento Nacional de Planeación (DNP) </w:t>
      </w:r>
      <w:r w:rsidRPr="009342F9">
        <w:rPr>
          <w:rFonts w:ascii="Arial" w:eastAsia="Times New Roman" w:hAnsi="Arial" w:cs="Arial"/>
          <w:color w:val="000000"/>
          <w:lang w:eastAsia="es-CO"/>
        </w:rPr>
        <w:lastRenderedPageBreak/>
        <w:t>determinará, mediante acto administrativo, los términos para realizar la medición, plazos y medios para el reporte de la información por parte de los Gestores.  </w:t>
      </w:r>
    </w:p>
    <w:p w14:paraId="31E003F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A05498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Con base en lo anterior, el Departamento Nacional de Planeación (DNP) publicará de manera anual un informe que contenga la medición de la capacidad institucional y de los resultados obtenidos por los diferentes Planes Departamentales para el Manejo Empresarial de los Servicios de Agua y Saneamiento (PDA), así como las respectivas recomendaciones de política sectorial. </w:t>
      </w:r>
    </w:p>
    <w:p w14:paraId="1FB95864"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938" w:name="ver_30197891"/>
      <w:bookmarkStart w:id="1939" w:name="ver_30075998"/>
      <w:bookmarkEnd w:id="1938"/>
    </w:p>
    <w:p w14:paraId="2480BC56" w14:textId="61BAA805"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2.3.3.1.6.18. Subrogado</w:t>
      </w:r>
      <w:r w:rsidR="000443A9">
        <w:rPr>
          <w:rFonts w:ascii="Arial" w:eastAsia="Times New Roman" w:hAnsi="Arial" w:cs="Arial"/>
          <w:color w:val="000000"/>
          <w:lang w:eastAsia="es-CO"/>
        </w:rPr>
        <w:t>.</w:t>
      </w:r>
    </w:p>
    <w:p w14:paraId="6B709CF8"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940" w:name="ver_30197892"/>
      <w:bookmarkStart w:id="1941" w:name="ver_30075999"/>
      <w:bookmarkEnd w:id="1939"/>
      <w:bookmarkEnd w:id="1940"/>
    </w:p>
    <w:p w14:paraId="5A42C5F6" w14:textId="0693D85E"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2.3.3.1.6.19. Subrogado</w:t>
      </w:r>
      <w:r w:rsidR="000443A9">
        <w:rPr>
          <w:rFonts w:ascii="Arial" w:eastAsia="Times New Roman" w:hAnsi="Arial" w:cs="Arial"/>
          <w:color w:val="000000"/>
          <w:lang w:eastAsia="es-CO"/>
        </w:rPr>
        <w:t>.</w:t>
      </w:r>
    </w:p>
    <w:p w14:paraId="22F2C083" w14:textId="77777777" w:rsidR="00FC79C1" w:rsidRPr="009342F9" w:rsidRDefault="00FC79C1" w:rsidP="00FC79C1">
      <w:pPr>
        <w:spacing w:after="0" w:line="240" w:lineRule="auto"/>
        <w:jc w:val="both"/>
        <w:rPr>
          <w:rFonts w:ascii="Arial" w:eastAsia="Times New Roman" w:hAnsi="Arial" w:cs="Arial"/>
          <w:color w:val="000000"/>
          <w:lang w:eastAsia="es-CO"/>
        </w:rPr>
      </w:pPr>
    </w:p>
    <w:p w14:paraId="55D01E22" w14:textId="77777777" w:rsidR="00FC79C1" w:rsidRPr="009342F9" w:rsidRDefault="00FC79C1" w:rsidP="004E2147">
      <w:pPr>
        <w:spacing w:after="0" w:line="240" w:lineRule="auto"/>
        <w:jc w:val="center"/>
        <w:rPr>
          <w:rFonts w:ascii="Arial" w:eastAsia="Times New Roman" w:hAnsi="Arial" w:cs="Arial"/>
          <w:b/>
          <w:bCs/>
          <w:color w:val="000000"/>
          <w:lang w:eastAsia="es-CO"/>
        </w:rPr>
      </w:pPr>
      <w:bookmarkStart w:id="1942" w:name="ver_30076000"/>
      <w:bookmarkEnd w:id="1941"/>
      <w:bookmarkEnd w:id="1942"/>
      <w:r w:rsidRPr="009342F9">
        <w:rPr>
          <w:rFonts w:ascii="Arial" w:eastAsia="Times New Roman" w:hAnsi="Arial" w:cs="Arial"/>
          <w:b/>
          <w:bCs/>
          <w:color w:val="000000"/>
          <w:lang w:eastAsia="es-CO"/>
        </w:rPr>
        <w:t>SECCIÓN 7</w:t>
      </w:r>
    </w:p>
    <w:p w14:paraId="2C20CF33" w14:textId="77777777" w:rsidR="00FC79C1" w:rsidRPr="009342F9" w:rsidRDefault="00FC79C1" w:rsidP="004E2147">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CONTRATACIÓN</w:t>
      </w:r>
    </w:p>
    <w:p w14:paraId="01B9B0FF"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943" w:name="ver_30197898"/>
      <w:bookmarkEnd w:id="1943"/>
    </w:p>
    <w:p w14:paraId="4BC7D577"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944" w:name="_Hlk47878869"/>
      <w:r w:rsidRPr="009342F9">
        <w:rPr>
          <w:rFonts w:ascii="Arial" w:eastAsia="Times New Roman" w:hAnsi="Arial" w:cs="Arial"/>
          <w:color w:val="000000"/>
          <w:lang w:eastAsia="es-CO"/>
        </w:rPr>
        <w:t>Artículo 2.3.3.1.7.1. </w:t>
      </w:r>
      <w:bookmarkEnd w:id="1944"/>
      <w:r w:rsidRPr="009342F9">
        <w:rPr>
          <w:rFonts w:ascii="Arial" w:eastAsia="Times New Roman" w:hAnsi="Arial" w:cs="Arial"/>
          <w:color w:val="000000"/>
          <w:lang w:eastAsia="es-CO"/>
        </w:rPr>
        <w:t>Proceso de Contratación. Los procesos de contratación que se realicen con cargo a los recursos aportados por los participantes en el marco de los Planes Departamentales para el Manejo Empresarial de los Servicios de Agua y Saneamiento (PDA) serán adelantados en principio por parte del Gestor del Plan Departamental.  </w:t>
      </w:r>
    </w:p>
    <w:p w14:paraId="4C55243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95BA86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El Comité Directivo aprobará los eventos en los que los municipios o distritos y el(los) prestador(es) de los servicios públicos domiciliarios de acueducto, alcantarillado o aseo que preste(n) en el municipio o grupo de municipios beneficiarios del proyecto podrán adelantar el respectivo proceso de contratación, de acuerdo con lo establecido en el Manual Operativo. Lo anterior, observando lo previsto en las disposiciones del Estatuto de Contratación Estatal, el contrato de fiducia mercantil y/o las normas que resulten aplicables, particularmente para los operadores de los servicios.  </w:t>
      </w:r>
    </w:p>
    <w:p w14:paraId="4C5931E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4DBDF0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Las autoridades ambientales podrán adelantar procesos de contratación, en el marco de los Planes Departamentales para el Manejo Empresarial de los Servicios de Agua y Saneamiento (PDA), cuando aporten recursos para el respectivo proyecto, cuando se trate de proyectos en el ámbito de sus competencias, previa aprobación del Comité Directivo.  </w:t>
      </w:r>
    </w:p>
    <w:p w14:paraId="520707C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2C20BA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No </w:t>
      </w:r>
      <w:proofErr w:type="gramStart"/>
      <w:r w:rsidRPr="009342F9">
        <w:rPr>
          <w:rFonts w:ascii="Arial" w:eastAsia="Times New Roman" w:hAnsi="Arial" w:cs="Arial"/>
          <w:color w:val="000000"/>
          <w:lang w:eastAsia="es-CO"/>
        </w:rPr>
        <w:t>obstante</w:t>
      </w:r>
      <w:proofErr w:type="gramEnd"/>
      <w:r w:rsidRPr="009342F9">
        <w:rPr>
          <w:rFonts w:ascii="Arial" w:eastAsia="Times New Roman" w:hAnsi="Arial" w:cs="Arial"/>
          <w:color w:val="000000"/>
          <w:lang w:eastAsia="es-CO"/>
        </w:rPr>
        <w:t xml:space="preserve"> lo anterior, en el desarrollo de los procesos de contratación se tendrá en cuenta lo siguiente:  </w:t>
      </w:r>
    </w:p>
    <w:p w14:paraId="1946B00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7DC082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1. Si transcurridos veinte (20) días hábiles desde la fecha en que se aprobó el inicio de contratación del proyecto el Gestor no ha dado inicio al trámite precontractual correspondiente para la contratación </w:t>
      </w:r>
      <w:proofErr w:type="gramStart"/>
      <w:r w:rsidRPr="009342F9">
        <w:rPr>
          <w:rFonts w:ascii="Arial" w:eastAsia="Times New Roman" w:hAnsi="Arial" w:cs="Arial"/>
          <w:color w:val="000000"/>
          <w:lang w:eastAsia="es-CO"/>
        </w:rPr>
        <w:t>del mismo</w:t>
      </w:r>
      <w:proofErr w:type="gramEnd"/>
      <w:r w:rsidRPr="009342F9">
        <w:rPr>
          <w:rFonts w:ascii="Arial" w:eastAsia="Times New Roman" w:hAnsi="Arial" w:cs="Arial"/>
          <w:color w:val="000000"/>
          <w:lang w:eastAsia="es-CO"/>
        </w:rPr>
        <w:t>, este podrá ser contratado por el municipio o distrito beneficiario del proyecto, para lo cual deberá notificar por escrito al Gestor y al departamento su intención de dar inicio al proceso.  </w:t>
      </w:r>
    </w:p>
    <w:p w14:paraId="5F30E96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276E13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2. Si el municipio o distrito autorizado para realizar el trámite de contratación del proyecto no iniciare con los trámites precontractuales del mismo en un plazo de veinte (20) días hábiles, corresponderá al Gestor asumir la contratación del respectivo proyecto, para lo cual realizará la notificación respectiva, indicando al municipio o distrito que debe abstenerse de </w:t>
      </w:r>
      <w:proofErr w:type="gramStart"/>
      <w:r w:rsidRPr="009342F9">
        <w:rPr>
          <w:rFonts w:ascii="Arial" w:eastAsia="Times New Roman" w:hAnsi="Arial" w:cs="Arial"/>
          <w:color w:val="000000"/>
          <w:lang w:eastAsia="es-CO"/>
        </w:rPr>
        <w:t>dar inicio a</w:t>
      </w:r>
      <w:proofErr w:type="gramEnd"/>
      <w:r w:rsidRPr="009342F9">
        <w:rPr>
          <w:rFonts w:ascii="Arial" w:eastAsia="Times New Roman" w:hAnsi="Arial" w:cs="Arial"/>
          <w:color w:val="000000"/>
          <w:lang w:eastAsia="es-CO"/>
        </w:rPr>
        <w:t xml:space="preserve"> los trámites precontractuales o contractuales.  </w:t>
      </w:r>
    </w:p>
    <w:p w14:paraId="55AB022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C7E5FB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Las actuaciones de quienes participen en los Planes Departamentales para el Manejo Empresarial de los Servicios de Agua y Saneamiento (PDA) se desarrollarán con arreglo a los </w:t>
      </w:r>
      <w:r w:rsidRPr="009342F9">
        <w:rPr>
          <w:rFonts w:ascii="Arial" w:eastAsia="Times New Roman" w:hAnsi="Arial" w:cs="Arial"/>
          <w:color w:val="000000"/>
          <w:lang w:eastAsia="es-CO"/>
        </w:rPr>
        <w:lastRenderedPageBreak/>
        <w:t>principios de transparencia, economía y responsabilidad, y de conformidad con los postulados que rigen la función administrativa.  </w:t>
      </w:r>
    </w:p>
    <w:p w14:paraId="372AEF9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536FE6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todo caso, el Gestor deberá brindar apoyo y realizar seguimiento a los procesos de contratación adelantados por los municipios o distritos y los prestadores de los municipios.  </w:t>
      </w:r>
    </w:p>
    <w:p w14:paraId="29C9866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33551D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Parágrafo 1°. Para todos los efectos, se entenderá que la autorización del inicio de contratación se surte con el oficio de </w:t>
      </w:r>
      <w:proofErr w:type="spellStart"/>
      <w:r w:rsidRPr="009342F9">
        <w:rPr>
          <w:rFonts w:ascii="Arial" w:eastAsia="Times New Roman" w:hAnsi="Arial" w:cs="Arial"/>
          <w:color w:val="000000"/>
          <w:lang w:eastAsia="es-CO"/>
        </w:rPr>
        <w:t>viabilización</w:t>
      </w:r>
      <w:proofErr w:type="spellEnd"/>
      <w:r w:rsidRPr="009342F9">
        <w:rPr>
          <w:rFonts w:ascii="Arial" w:eastAsia="Times New Roman" w:hAnsi="Arial" w:cs="Arial"/>
          <w:color w:val="000000"/>
          <w:lang w:eastAsia="es-CO"/>
        </w:rPr>
        <w:t xml:space="preserve"> del respectivo mecanismo de </w:t>
      </w:r>
      <w:proofErr w:type="spellStart"/>
      <w:r w:rsidRPr="009342F9">
        <w:rPr>
          <w:rFonts w:ascii="Arial" w:eastAsia="Times New Roman" w:hAnsi="Arial" w:cs="Arial"/>
          <w:color w:val="000000"/>
          <w:lang w:eastAsia="es-CO"/>
        </w:rPr>
        <w:t>viabilización</w:t>
      </w:r>
      <w:proofErr w:type="spellEnd"/>
      <w:r w:rsidRPr="009342F9">
        <w:rPr>
          <w:rFonts w:ascii="Arial" w:eastAsia="Times New Roman" w:hAnsi="Arial" w:cs="Arial"/>
          <w:color w:val="000000"/>
          <w:lang w:eastAsia="es-CO"/>
        </w:rPr>
        <w:t xml:space="preserve"> de proyectos cuando aplique, y se ceñirá a las disposiciones que sobre el particular se establezcan en el Manual Operativo. Asimismo, se entenderá que se ha dado inicio al proceso precontractual, una vez se pone a disposición de los posibles oferentes el proyecto de pliegos a través del portal de contratación pública y se ha dado publicidad por los medios previstos en el respectivo manual de contratación del (los) prestador(es).  </w:t>
      </w:r>
    </w:p>
    <w:p w14:paraId="1F908E3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7AC1B1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2°. Cuando existan vinculaciones contractuales con o el (los) prestador(es) de los servicios públicos domiciliarios de acueducto, alcantarillado o aseo que los preste(n) en el municipio o distrito o grupo de municipios beneficiarios del proyecto, se realizarán los ajustes en metas e indicadores al contrato suscrito con el prestador.  </w:t>
      </w:r>
    </w:p>
    <w:p w14:paraId="7098E02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3DD2AD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Las obras y bienes recibidos por los municipios y distritos deberán ser entregados al prestador, conforme lo señala el numeral 87.9 del artículo 87 de la Ley 142 de 1994 o la norma que la modifique, complemente o sustituya.  </w:t>
      </w:r>
    </w:p>
    <w:p w14:paraId="46C143C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F515884" w14:textId="52F3CAD6" w:rsidR="00FC79C1" w:rsidRPr="009342F9" w:rsidRDefault="00FC79C1" w:rsidP="00F647A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3°. Podrán celebrarse contratos con cargo a los recursos del Plan Departamental para el Manejo Empresarial de los Servicios de Agua y Saneamiento (PDA), siempre y cuando los mismos se encuentren disponibles, es decir que no se encuentren amparando ningún contrato o proceso de selección, circunstancia que será acreditada previamente a la celebración del contrato o iniciación del proceso de selección a través del Certificado de Disponibilidad de Recursos expedido por la entidad financiera encargada de la administración del instrumento para el manejo de los recursos. </w:t>
      </w:r>
    </w:p>
    <w:p w14:paraId="6DB946FC" w14:textId="77E52A2E" w:rsidR="00F647A1" w:rsidRPr="009342F9" w:rsidRDefault="00F647A1" w:rsidP="00F647A1">
      <w:pPr>
        <w:spacing w:after="0" w:line="240" w:lineRule="auto"/>
        <w:jc w:val="both"/>
        <w:rPr>
          <w:rFonts w:ascii="Arial" w:eastAsia="Times New Roman" w:hAnsi="Arial" w:cs="Arial"/>
          <w:color w:val="000000"/>
          <w:lang w:eastAsia="es-CO"/>
        </w:rPr>
      </w:pPr>
    </w:p>
    <w:p w14:paraId="28E03E7A" w14:textId="33ECE9D2" w:rsidR="00F647A1" w:rsidRPr="009342F9" w:rsidRDefault="00F647A1" w:rsidP="00F647A1">
      <w:pPr>
        <w:pStyle w:val="Textoindependiente"/>
        <w:spacing w:line="264" w:lineRule="auto"/>
        <w:ind w:right="309"/>
        <w:jc w:val="both"/>
        <w:rPr>
          <w:sz w:val="20"/>
          <w:szCs w:val="20"/>
        </w:rPr>
      </w:pPr>
      <w:r w:rsidRPr="009342F9">
        <w:rPr>
          <w:w w:val="105"/>
        </w:rPr>
        <w:t>(</w:t>
      </w:r>
      <w:r w:rsidRPr="009342F9">
        <w:rPr>
          <w:w w:val="105"/>
          <w:sz w:val="20"/>
          <w:szCs w:val="20"/>
        </w:rPr>
        <w:t xml:space="preserve">Ver conceptos: </w:t>
      </w:r>
      <w:hyperlink r:id="rId38" w:history="1">
        <w:r w:rsidRPr="009342F9">
          <w:rPr>
            <w:rStyle w:val="Hipervnculo"/>
            <w:w w:val="105"/>
            <w:sz w:val="20"/>
            <w:szCs w:val="20"/>
          </w:rPr>
          <w:t>C−190 del 16/04/2020</w:t>
        </w:r>
      </w:hyperlink>
      <w:r w:rsidRPr="009342F9">
        <w:rPr>
          <w:w w:val="105"/>
          <w:sz w:val="20"/>
          <w:szCs w:val="20"/>
        </w:rPr>
        <w:t>)</w:t>
      </w:r>
    </w:p>
    <w:p w14:paraId="6EBDC77F" w14:textId="77777777" w:rsidR="00FC79C1" w:rsidRPr="009342F9" w:rsidRDefault="00FC79C1" w:rsidP="00F647A1">
      <w:pPr>
        <w:spacing w:after="0" w:line="240" w:lineRule="auto"/>
        <w:jc w:val="both"/>
        <w:rPr>
          <w:rFonts w:ascii="Arial" w:eastAsia="Times New Roman" w:hAnsi="Arial" w:cs="Arial"/>
          <w:color w:val="000000"/>
          <w:lang w:eastAsia="es-CO"/>
        </w:rPr>
      </w:pPr>
    </w:p>
    <w:p w14:paraId="30793A04" w14:textId="7E886246" w:rsidR="00FC79C1" w:rsidRPr="009342F9" w:rsidRDefault="00FC79C1" w:rsidP="00F647A1">
      <w:pPr>
        <w:spacing w:after="0" w:line="240" w:lineRule="auto"/>
        <w:jc w:val="both"/>
        <w:rPr>
          <w:rFonts w:ascii="Arial" w:eastAsia="Times New Roman" w:hAnsi="Arial" w:cs="Arial"/>
          <w:color w:val="000000"/>
          <w:lang w:eastAsia="es-CO"/>
        </w:rPr>
      </w:pPr>
      <w:bookmarkStart w:id="1945" w:name="ver_30197894"/>
      <w:bookmarkStart w:id="1946" w:name="ver_30076001"/>
      <w:bookmarkEnd w:id="1945"/>
      <w:r w:rsidRPr="009342F9">
        <w:rPr>
          <w:rFonts w:ascii="Arial" w:eastAsia="Times New Roman" w:hAnsi="Arial" w:cs="Arial"/>
          <w:color w:val="000000"/>
          <w:lang w:eastAsia="es-CO"/>
        </w:rPr>
        <w:t>Artículo 2.3.3.1.7.20. Subrogado</w:t>
      </w:r>
      <w:r w:rsidR="000443A9">
        <w:rPr>
          <w:rFonts w:ascii="Arial" w:eastAsia="Times New Roman" w:hAnsi="Arial" w:cs="Arial"/>
          <w:color w:val="000000"/>
          <w:lang w:eastAsia="es-CO"/>
        </w:rPr>
        <w:t>.</w:t>
      </w:r>
    </w:p>
    <w:p w14:paraId="633F7A4D"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947" w:name="ver_30197895"/>
      <w:bookmarkStart w:id="1948" w:name="ver_30076002"/>
      <w:bookmarkEnd w:id="1946"/>
      <w:bookmarkEnd w:id="1947"/>
    </w:p>
    <w:p w14:paraId="1543BE35" w14:textId="54FF22A2"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2.3.3.1.7.21.</w:t>
      </w:r>
      <w:r w:rsidR="000443A9">
        <w:rPr>
          <w:rFonts w:ascii="Arial" w:eastAsia="Times New Roman" w:hAnsi="Arial" w:cs="Arial"/>
          <w:color w:val="000000"/>
          <w:lang w:eastAsia="es-CO"/>
        </w:rPr>
        <w:t xml:space="preserve"> </w:t>
      </w:r>
      <w:r w:rsidRPr="009342F9">
        <w:rPr>
          <w:rFonts w:ascii="Arial" w:eastAsia="Times New Roman" w:hAnsi="Arial" w:cs="Arial"/>
          <w:color w:val="000000"/>
          <w:lang w:eastAsia="es-CO"/>
        </w:rPr>
        <w:t>Subrogado</w:t>
      </w:r>
      <w:r w:rsidR="000443A9">
        <w:rPr>
          <w:rFonts w:ascii="Arial" w:eastAsia="Times New Roman" w:hAnsi="Arial" w:cs="Arial"/>
          <w:color w:val="000000"/>
          <w:lang w:eastAsia="es-CO"/>
        </w:rPr>
        <w:t>.</w:t>
      </w:r>
    </w:p>
    <w:p w14:paraId="56AD4C16"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949" w:name="ver_30197896"/>
      <w:bookmarkStart w:id="1950" w:name="ver_30076003"/>
      <w:bookmarkEnd w:id="1948"/>
      <w:bookmarkEnd w:id="1949"/>
    </w:p>
    <w:p w14:paraId="514CDADB" w14:textId="1DA5CAFA"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2.3.3.1.7.22. Subrogado</w:t>
      </w:r>
      <w:r w:rsidR="000443A9">
        <w:rPr>
          <w:rFonts w:ascii="Arial" w:eastAsia="Times New Roman" w:hAnsi="Arial" w:cs="Arial"/>
          <w:color w:val="000000"/>
          <w:lang w:eastAsia="es-CO"/>
        </w:rPr>
        <w:t>.</w:t>
      </w:r>
    </w:p>
    <w:p w14:paraId="48FADDC3"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951" w:name="ver_30197897"/>
      <w:bookmarkStart w:id="1952" w:name="ver_30110826"/>
      <w:bookmarkStart w:id="1953" w:name="ver_30110827"/>
      <w:bookmarkEnd w:id="1950"/>
      <w:bookmarkEnd w:id="1951"/>
    </w:p>
    <w:p w14:paraId="5B1A6D49" w14:textId="5AE07AD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2.3.3.1.7.23.</w:t>
      </w:r>
      <w:r w:rsidR="000443A9">
        <w:rPr>
          <w:rFonts w:ascii="Arial" w:eastAsia="Times New Roman" w:hAnsi="Arial" w:cs="Arial"/>
          <w:color w:val="000000"/>
          <w:lang w:eastAsia="es-CO"/>
        </w:rPr>
        <w:t xml:space="preserve"> </w:t>
      </w:r>
      <w:r w:rsidRPr="009342F9">
        <w:rPr>
          <w:rFonts w:ascii="Arial" w:eastAsia="Times New Roman" w:hAnsi="Arial" w:cs="Arial"/>
          <w:color w:val="000000"/>
          <w:lang w:eastAsia="es-CO"/>
        </w:rPr>
        <w:t>Subrogado</w:t>
      </w:r>
      <w:r w:rsidR="000443A9">
        <w:rPr>
          <w:rFonts w:ascii="Arial" w:eastAsia="Times New Roman" w:hAnsi="Arial" w:cs="Arial"/>
          <w:color w:val="000000"/>
          <w:lang w:eastAsia="es-CO"/>
        </w:rPr>
        <w:t>.</w:t>
      </w:r>
    </w:p>
    <w:p w14:paraId="4E21DD77" w14:textId="77777777" w:rsidR="00FC79C1" w:rsidRPr="009342F9" w:rsidRDefault="00FC79C1" w:rsidP="00FC79C1">
      <w:pPr>
        <w:spacing w:after="0" w:line="240" w:lineRule="auto"/>
        <w:jc w:val="both"/>
        <w:rPr>
          <w:rFonts w:ascii="Arial" w:eastAsia="Times New Roman" w:hAnsi="Arial" w:cs="Arial"/>
          <w:color w:val="000000"/>
          <w:lang w:eastAsia="es-CO"/>
        </w:rPr>
      </w:pPr>
    </w:p>
    <w:p w14:paraId="043A0842" w14:textId="77777777" w:rsidR="00FC79C1" w:rsidRPr="009342F9" w:rsidRDefault="00FC79C1" w:rsidP="004E2147">
      <w:pPr>
        <w:spacing w:after="0" w:line="240" w:lineRule="auto"/>
        <w:jc w:val="center"/>
        <w:rPr>
          <w:rFonts w:ascii="Arial" w:eastAsia="Times New Roman" w:hAnsi="Arial" w:cs="Arial"/>
          <w:b/>
          <w:bCs/>
          <w:color w:val="000000"/>
          <w:lang w:eastAsia="es-CO"/>
        </w:rPr>
      </w:pPr>
      <w:bookmarkStart w:id="1954" w:name="ver_30197899"/>
      <w:bookmarkEnd w:id="1952"/>
      <w:bookmarkEnd w:id="1953"/>
      <w:bookmarkEnd w:id="1954"/>
      <w:r w:rsidRPr="009342F9">
        <w:rPr>
          <w:rFonts w:ascii="Arial" w:eastAsia="Times New Roman" w:hAnsi="Arial" w:cs="Arial"/>
          <w:b/>
          <w:bCs/>
          <w:color w:val="000000"/>
          <w:lang w:eastAsia="es-CO"/>
        </w:rPr>
        <w:t>SECCIÓN 8</w:t>
      </w:r>
    </w:p>
    <w:p w14:paraId="415B8047" w14:textId="77777777" w:rsidR="00FC79C1" w:rsidRPr="009342F9" w:rsidRDefault="00FC79C1" w:rsidP="004E2147">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FINANCIAMIENTO DE LOS PLANES DEPARTAMENTALES PARA EL MANEJO EMPRESARIAL DE LOS SERVICIOS DE AGUA Y SANEAMIENTO (PDA)</w:t>
      </w:r>
    </w:p>
    <w:p w14:paraId="6E54F563"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955" w:name="ver_30197900"/>
      <w:bookmarkEnd w:id="1955"/>
    </w:p>
    <w:p w14:paraId="4C56CFC0"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956" w:name="_Hlk47878932"/>
      <w:r w:rsidRPr="009342F9">
        <w:rPr>
          <w:rFonts w:ascii="Arial" w:eastAsia="Times New Roman" w:hAnsi="Arial" w:cs="Arial"/>
          <w:color w:val="000000"/>
          <w:lang w:eastAsia="es-CO"/>
        </w:rPr>
        <w:t>Artículo 2.3.3.1.8.1</w:t>
      </w:r>
      <w:bookmarkEnd w:id="1956"/>
      <w:r w:rsidRPr="009342F9">
        <w:rPr>
          <w:rFonts w:ascii="Arial" w:eastAsia="Times New Roman" w:hAnsi="Arial" w:cs="Arial"/>
          <w:color w:val="000000"/>
          <w:lang w:eastAsia="es-CO"/>
        </w:rPr>
        <w:t>. Recursos de los Planes Departamentales para el Manejo Empresarial de los Servicios de Agua y Saneamiento (PDA). Los recursos disponibles para la formulación e implementación de los Planes Departamentales para el Manejo Empresarial de los Servicios de Agua y Saneamiento (PDA) podrán provenir, entre otras fuentes, de las siguientes:  </w:t>
      </w:r>
    </w:p>
    <w:p w14:paraId="396CCB1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DB8497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Recursos del Presupuesto General de la Nación.  </w:t>
      </w:r>
    </w:p>
    <w:p w14:paraId="41E7035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w:t>
      </w:r>
    </w:p>
    <w:p w14:paraId="5678FC4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Recursos del Sistema General de Participaciones.  </w:t>
      </w:r>
    </w:p>
    <w:p w14:paraId="7A72DC1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371AC2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Recursos del Sistema General de Regalías.  </w:t>
      </w:r>
    </w:p>
    <w:p w14:paraId="5AE639B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D40403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Recursos de las Autoridades Ambientales.  </w:t>
      </w:r>
    </w:p>
    <w:p w14:paraId="34ECAD6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6C4914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 Recursos propios o de libre destinación de las entidades territoriales o de cualquier otro participante de los Planes Departamentales para el Manejo Empresarial de los Servicios de Agua y Saneamiento (PDA).  </w:t>
      </w:r>
    </w:p>
    <w:p w14:paraId="6E05E9E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3EACA5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6. Recursos de inversión de los prestadores que quieran ejecutar a través de los Planes Departamentales para el Manejo Empresarial de los Servicios de Agua y Saneamiento (PDA).  </w:t>
      </w:r>
    </w:p>
    <w:p w14:paraId="11611E7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5DB3B6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7. Recursos del sector privado que se incorporen a la estructuración y ejecución de proyectos en el marco de asociaciones público-privadas.  </w:t>
      </w:r>
    </w:p>
    <w:p w14:paraId="5683061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B8E274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8. Recursos de cooperación internacional.  </w:t>
      </w:r>
    </w:p>
    <w:p w14:paraId="1785B71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FCDE78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9. Cualquier otra fuente de recursos que pueda o deba aportarse al desarrollo de los Planes Departamentales para el Manejo Empresarial de los Servicios de Agua y Saneamiento (PDA).  </w:t>
      </w:r>
    </w:p>
    <w:p w14:paraId="193962F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9968E0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Los bienes o derechos aportados a las empresas de servicios públicos con recursos para inversión en el marco de los Planes Departamentales para el Manejo Empresarial de los Servicios de Agua y Saneamiento (PDA) podrán dar aplicación a lo previsto en el artículo 87.9 de la Ley 142 de 1994 o la norma que la modifique, complemente o sustituya y la normativa que les sea aplicable.  </w:t>
      </w:r>
    </w:p>
    <w:p w14:paraId="2FD446E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DB14FB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1°. Los recursos de las entidades territoriales destinados a financiar los Planes Departamentales para el Manejo Empresarial de los Servicios de Agua y Saneamiento (PDA) se podrán comprometer a tal finalidad mediante la cesión temporal de la respectiva renta al patrimonio autónomo constituido o que se constituya como instrumento para el manejo de los recursos de los Planes Departamentales para el Manejo Empresarial de los Servicios de Agua y Saneamiento (PDA), previa autorización impartida por el respectivo Concejo Municipal o Asamblea Departamental, por el tiempo que se determine en los convenios de vinculación.  </w:t>
      </w:r>
    </w:p>
    <w:p w14:paraId="164B9E4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E040D9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2°. Las inversiones del sector de Agua Potable y Saneamiento Básico realizadas por parte de las entidades territoriales con recursos propios podrán ser incluidas en el Plan Estratégico de Inversiones (PEI) de cada Plan Departamental para el Manejo Empresarial de los Servicios de Agua y Saneamiento.  </w:t>
      </w:r>
    </w:p>
    <w:p w14:paraId="2C8A471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FD683F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3°. Los municipios podrán girar recursos al instrumento para el manejo de los recursos para proyectos específicos. Estos recursos podrán no formar parte de los recursos aportados en los convenios tripartitos de vinculación al instrumento para manejo de los recursos, para lo cual deberán adelantarse los trámites que resulten pertinentes.  </w:t>
      </w:r>
    </w:p>
    <w:p w14:paraId="73926F0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3BB4660" w14:textId="37B61295"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4°. Las asignaciones del Presupuesto General de la Nación se llevarán a cabo, de conformidad con el Estatuto Orgánico de Presupuesto. </w:t>
      </w:r>
    </w:p>
    <w:p w14:paraId="5EF3A815" w14:textId="4484122F" w:rsidR="00F647A1" w:rsidRPr="009342F9" w:rsidRDefault="00F647A1" w:rsidP="00FC79C1">
      <w:pPr>
        <w:spacing w:after="0" w:line="240" w:lineRule="auto"/>
        <w:jc w:val="both"/>
        <w:rPr>
          <w:rFonts w:ascii="Arial" w:eastAsia="Times New Roman" w:hAnsi="Arial" w:cs="Arial"/>
          <w:color w:val="000000"/>
          <w:lang w:eastAsia="es-CO"/>
        </w:rPr>
      </w:pPr>
    </w:p>
    <w:p w14:paraId="4DF7FD6F" w14:textId="14840844" w:rsidR="00F647A1" w:rsidRPr="009342F9" w:rsidRDefault="00F647A1" w:rsidP="00F647A1">
      <w:pPr>
        <w:pStyle w:val="Textoindependiente"/>
        <w:spacing w:line="264" w:lineRule="auto"/>
        <w:ind w:right="311"/>
        <w:rPr>
          <w:sz w:val="20"/>
          <w:szCs w:val="20"/>
        </w:rPr>
      </w:pPr>
      <w:r w:rsidRPr="009342F9">
        <w:rPr>
          <w:w w:val="105"/>
          <w:sz w:val="20"/>
          <w:szCs w:val="20"/>
        </w:rPr>
        <w:t xml:space="preserve">(Ver conceptos: </w:t>
      </w:r>
      <w:hyperlink r:id="rId39" w:history="1">
        <w:r w:rsidRPr="009342F9">
          <w:rPr>
            <w:rStyle w:val="Hipervnculo"/>
            <w:w w:val="105"/>
            <w:sz w:val="20"/>
            <w:szCs w:val="20"/>
          </w:rPr>
          <w:t>C−190 del 16/04/2020</w:t>
        </w:r>
      </w:hyperlink>
      <w:r w:rsidRPr="009342F9">
        <w:rPr>
          <w:w w:val="105"/>
          <w:sz w:val="20"/>
          <w:szCs w:val="20"/>
        </w:rPr>
        <w:t>)</w:t>
      </w:r>
    </w:p>
    <w:p w14:paraId="07DE0C57"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957" w:name="ver_30197901"/>
      <w:bookmarkEnd w:id="1957"/>
    </w:p>
    <w:p w14:paraId="6C8C1C9A"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958" w:name="_Hlk47879040"/>
      <w:r w:rsidRPr="009342F9">
        <w:rPr>
          <w:rFonts w:ascii="Arial" w:eastAsia="Times New Roman" w:hAnsi="Arial" w:cs="Arial"/>
          <w:color w:val="000000"/>
          <w:lang w:eastAsia="es-CO"/>
        </w:rPr>
        <w:lastRenderedPageBreak/>
        <w:t>Artículo 2.3.3.1.8.2. </w:t>
      </w:r>
      <w:bookmarkEnd w:id="1958"/>
      <w:r w:rsidRPr="009342F9">
        <w:rPr>
          <w:rFonts w:ascii="Arial" w:eastAsia="Times New Roman" w:hAnsi="Arial" w:cs="Arial"/>
          <w:color w:val="000000"/>
          <w:lang w:eastAsia="es-CO"/>
        </w:rPr>
        <w:t>Instrumento para el manejo de los recursos. Es el mecanismo para el desarrollo e implementación de la estrategia de financiación de cada Plan Departamental para el Manejo Empresarial de los Servicios de Agua y Saneamiento. Los departamentos, distritos y municipios o gestores podrán celebrar negocios fiduciarios, incluyendo contratos de fiducia mercantil, para la administración y ejecución de los recursos destinados a la formulación e implementación de los Planes Departamentales para el Manejo Empresarial de los Servicios de Agua y Saneamiento (PDA), o adherirse a contratos previamente celebrados con dicha finalidad, de conformidad con lo previsto en el artículo 12 de la Ley 1176 de 2007 y el parágrafo 3° del artículo 21 de la Ley 1450 de 2011 o las normas que las modifiquen, complementen o sustituyan.  </w:t>
      </w:r>
    </w:p>
    <w:p w14:paraId="5632263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CF1304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El instrumento para el manejo de los recursos que se constituya tendrá como objetivos, entre otros:  </w:t>
      </w:r>
    </w:p>
    <w:p w14:paraId="2BD6BA6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7BA301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Ser el mecanismo financiero para la administración de los recursos de los Planes Departamentales para el Manejo Empresarial de los Servicios de Agua y Saneamiento (PDA), y de pago de las obligaciones que se adquieran para su formulación y ejecución.  </w:t>
      </w:r>
    </w:p>
    <w:p w14:paraId="6CD3324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D3BA9EC" w14:textId="6B270AA0" w:rsidR="00FC79C1" w:rsidRPr="009342F9" w:rsidRDefault="00FC79C1" w:rsidP="00F647A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Apoyar la implementación del Plan Financiero. </w:t>
      </w:r>
    </w:p>
    <w:p w14:paraId="53CF9309" w14:textId="19516964" w:rsidR="00F647A1" w:rsidRPr="009342F9" w:rsidRDefault="00F647A1" w:rsidP="00F647A1">
      <w:pPr>
        <w:spacing w:after="0" w:line="240" w:lineRule="auto"/>
        <w:jc w:val="both"/>
        <w:rPr>
          <w:rFonts w:ascii="Arial" w:eastAsia="Times New Roman" w:hAnsi="Arial" w:cs="Arial"/>
          <w:color w:val="000000"/>
          <w:lang w:eastAsia="es-CO"/>
        </w:rPr>
      </w:pPr>
    </w:p>
    <w:p w14:paraId="15382309" w14:textId="101FEF98" w:rsidR="00F647A1" w:rsidRPr="009342F9" w:rsidRDefault="00F647A1" w:rsidP="00F647A1">
      <w:pPr>
        <w:widowControl w:val="0"/>
        <w:tabs>
          <w:tab w:val="left" w:pos="504"/>
        </w:tabs>
        <w:autoSpaceDE w:val="0"/>
        <w:autoSpaceDN w:val="0"/>
        <w:spacing w:after="0" w:line="240" w:lineRule="auto"/>
        <w:rPr>
          <w:rFonts w:ascii="Arial" w:hAnsi="Arial" w:cs="Arial"/>
          <w:sz w:val="20"/>
          <w:szCs w:val="20"/>
        </w:rPr>
      </w:pPr>
      <w:r w:rsidRPr="009342F9">
        <w:rPr>
          <w:rFonts w:ascii="Arial" w:hAnsi="Arial" w:cs="Arial"/>
          <w:sz w:val="20"/>
          <w:szCs w:val="20"/>
        </w:rPr>
        <w:t xml:space="preserve">(Ver conceptos: </w:t>
      </w:r>
      <w:hyperlink r:id="rId40" w:history="1">
        <w:r w:rsidRPr="009342F9">
          <w:rPr>
            <w:rStyle w:val="Hipervnculo"/>
            <w:rFonts w:ascii="Arial" w:hAnsi="Arial" w:cs="Arial"/>
            <w:sz w:val="20"/>
            <w:szCs w:val="20"/>
          </w:rPr>
          <w:t>C – 190 del 16/04/2020</w:t>
        </w:r>
      </w:hyperlink>
      <w:r w:rsidRPr="009342F9">
        <w:rPr>
          <w:rFonts w:ascii="Arial" w:hAnsi="Arial" w:cs="Arial"/>
          <w:sz w:val="20"/>
          <w:szCs w:val="20"/>
        </w:rPr>
        <w:t>)</w:t>
      </w:r>
    </w:p>
    <w:p w14:paraId="3CC58D09" w14:textId="77777777" w:rsidR="00FC79C1" w:rsidRPr="009342F9" w:rsidRDefault="00FC79C1" w:rsidP="00F647A1">
      <w:pPr>
        <w:spacing w:after="0" w:line="240" w:lineRule="auto"/>
        <w:jc w:val="both"/>
        <w:rPr>
          <w:rFonts w:ascii="Arial" w:eastAsia="Times New Roman" w:hAnsi="Arial" w:cs="Arial"/>
          <w:color w:val="000000"/>
          <w:lang w:eastAsia="es-CO"/>
        </w:rPr>
      </w:pPr>
      <w:bookmarkStart w:id="1959" w:name="ver_30197902"/>
      <w:bookmarkEnd w:id="1959"/>
    </w:p>
    <w:p w14:paraId="01C05A81" w14:textId="77777777" w:rsidR="00FC79C1" w:rsidRPr="009342F9" w:rsidRDefault="00FC79C1" w:rsidP="00F647A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2.3.3.1.8.3. Estrategia de Financiación. En cada Plan Departamental para el Manejo Empresarial de los Servicios de Agua y Saneamiento, el Gestor deberá proyectar un plan financiero que incluya el análisis de la capacidad de endeudamiento por entidad territorial, el cual requiere ser concertado con los participantes del Plan Departamental. Los Gestores deberán brindar asistencia técnica a los participantes de los Planes Departamentales para el Manejo Empresarial de los Servicios de Agua y Saneamiento (PDA) para la implementación del plan financiero. </w:t>
      </w:r>
    </w:p>
    <w:p w14:paraId="4B5CBE3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FFAE68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El plan financiero podrá tener las siguientes fuentes: </w:t>
      </w:r>
    </w:p>
    <w:p w14:paraId="176BAF8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9389A2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Recursos comprometidos por cada uno de los participantes a los Planes Departamentales para el Manejo Empresarial de los Servicios de Agua y Saneamiento (PDA) a los que se refiere la Sección 4, a través del instrumento para el manejo de los recursos. </w:t>
      </w:r>
    </w:p>
    <w:p w14:paraId="2B7E2C5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27820E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Otras rentas de los participantes de los Planes Departamentales para el Manejo Empresarial de los Servicios de Agua y Saneamiento (PDA) que estos se encuentren en capacidad de destinar a financiar los Planes Departamentales. </w:t>
      </w:r>
    </w:p>
    <w:p w14:paraId="7594390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25DABD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Recursos de operaciones de crédito público celebradas por los participantes de los Planes Departamentales para el Manejo Empresarial de los Servicios de Agua y Saneamiento (PDA). </w:t>
      </w:r>
    </w:p>
    <w:p w14:paraId="482FF014" w14:textId="721A0462" w:rsidR="00F647A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77AC12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Recursos de operaciones de crédito público celebradas por los Gestores, en nombre propio, cuya garantía y fuente de pago sean los recursos de cada Plan Departamental para el Manejo Empresarial de los Servicios de Agua y Saneamiento que se administren en el instrumento para el manejo de los recursos, una vez se surtan los trámites que resulten necesarios para tal fin. Los recursos de cada Plan Departamental para el Manejo Empresarial de los Servicios de Agua y Saneamiento solo podrán servir de garantía y fuente de pago de los créditos que adquiera el Gestor del respectivo departamento, para lo cual se podrán constituir patrimonios autónomos derivados. </w:t>
      </w:r>
    </w:p>
    <w:p w14:paraId="3B505FD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5789165" w14:textId="5C328738"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Para efectos de formular el plan financiero, deberá tener en cuenta las opciones de financiación que se encuentren en el mercado, considerando la normativa vigente en materia presupuestal. </w:t>
      </w:r>
    </w:p>
    <w:p w14:paraId="38C2F5F2"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960" w:name="ver_30197903"/>
      <w:bookmarkEnd w:id="1960"/>
    </w:p>
    <w:p w14:paraId="2A62101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2.3.3.1.8.4. Apoyos de la Nación al Sector de Agua y Saneamiento Básico. Para efectos de lo previsto en la Ley 1450 de 2011, en especial, en el artículo 21 vigente acorde con lo preceptuado en la Ley 1955 de 2019 o la norma que la modifique, sustituya o adicione, y en el presente capítulo, los recursos de cofinanciación, aportes de inversión regional y apoyo de la Nación al sector de agua potable y saneamiento básico, son los apoyos financieros constituidos por las apropiaciones que se incluyan anualmente en el Presupuesto General de la Nación (PGN) a favor de las entidades territoriales, destinados a ejecutarse en el marco de los Planes Departamentales, al igual que la asistencia técnica o los apoyos en especie entregados.  </w:t>
      </w:r>
    </w:p>
    <w:p w14:paraId="0F0F3D2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6A91CD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Sin perjuicio de lo anterior, podrán implementarse otros programas del Gobierno nacional que tengan vinculados recursos de cooperación y apoyo que recibe la Nación de organismos internacionales y recursos del Presupuesto General de la Nación (PGN), con el fin de cofinanciar programas del sector de agua potable y saneamiento básico, los cuales podrán ejecutarse fuera del Plan Departamental, y dentro del marco de lo previsto en el Estatuto Orgánico del Presupuesto General de la Nación. </w:t>
      </w:r>
    </w:p>
    <w:p w14:paraId="22AAF005"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961" w:name="ver_30197904"/>
      <w:bookmarkEnd w:id="1961"/>
    </w:p>
    <w:p w14:paraId="12C6BAF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2.3.3.1.8.5. Bolsas de Apoyo Financiero a los PDA. En el marco de los PDA, las entidades territoriales podrán acceder a los apoyos a que se refiere el artículo anterior, a través de bolsas de apoyo financiero.  </w:t>
      </w:r>
    </w:p>
    <w:p w14:paraId="6CFF9D0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538D73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desarrollo de lo dispuesto en los artículos 21 y 130 de la Ley 1450 de 2011, se cuenta con tres bolsas de apoyo financiero a las entidades territoriales en el marco de la política de los PDA para el sector de agua potable y saneamiento básico, a saber:  </w:t>
      </w:r>
    </w:p>
    <w:p w14:paraId="10A5043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59F846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Bolsa “Concurso Territorial”: Es aquella a la que se destinan recursos de apoyo financiero de la Nación que serán asignados por el Ministerio de Vivienda, Ciudad y Territorio a proyectos que podrán presentar los municipios o distritos de aquellos departamentos debidamente vinculados al PDA.  </w:t>
      </w:r>
    </w:p>
    <w:p w14:paraId="73A735C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0C66B9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Bolsa “Inversiones PDA”: Es aquella a la que se destinan los recursos de apoyo financiero de la Nación al Programa, de acuerdo con los cupos indicativos señalados en el artículo 2.3.3.3.1 del presente decreto o la norma que lo modifique, complemente o sustituya.  </w:t>
      </w:r>
    </w:p>
    <w:p w14:paraId="071A02C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BE9696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Bolsa “Proyectos Estratégicos”: Es aquella a la que se destinan recursos de apoyo financiero de la Nación que serán asignados a los municipios y departamentos por el Ministerio de Vivienda, Ciudad y Territorio a aquellos proyectos que se enmarquen en las políticas estratégicas del Ministerio de Vivienda, Ciudad y Territorio definidas en la Ley 1450 de 2011 y en la Ley 1955 de 2019 o la norma que la modifique, complemente o sustituya.  </w:t>
      </w:r>
    </w:p>
    <w:p w14:paraId="147E725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1F50AC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El Ministerio de Vivienda, Ciudad y Territorio determinará los criterios para la selección de los proyectos por financiar con recursos provenientes de las bolsas Concurso Territorial y Proyectos Estratégicos. </w:t>
      </w:r>
    </w:p>
    <w:p w14:paraId="4A1FFA5D"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962" w:name="ver_30197905"/>
      <w:bookmarkEnd w:id="1962"/>
    </w:p>
    <w:p w14:paraId="47D4A88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2.3.3.1.8.6. Asignación de Apoyos Financieros de la Nación a los Planes Departamentales para el Manejo Empresarial de los Servicios de Agua y Saneamiento (PDA). Los recursos de apoyo financiero que se llegaren a incorporar anualmente en el Presupuesto General de la Nación (PGN) para apoyar la formulación y ejecución de los Planes Departamentales para </w:t>
      </w:r>
      <w:r w:rsidRPr="009342F9">
        <w:rPr>
          <w:rFonts w:ascii="Arial" w:eastAsia="Times New Roman" w:hAnsi="Arial" w:cs="Arial"/>
          <w:color w:val="000000"/>
          <w:lang w:eastAsia="es-CO"/>
        </w:rPr>
        <w:lastRenderedPageBreak/>
        <w:t>el Manejo Empresarial de los Servicios de Agua y Saneamiento (PDA) serán asignados por el Ministerio de Vivienda, Ciudad y Territorio a las entidades territoriales, mediante resolución.  </w:t>
      </w:r>
    </w:p>
    <w:p w14:paraId="4451848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65702B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Expedida la Resolución y el Registro Presupuestal correspondiente, los recursos se entenderán comprometidos presupuestalmente a favor de cada entidad territorial beneficiaria.  </w:t>
      </w:r>
    </w:p>
    <w:p w14:paraId="530F289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7956FC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1°. La resolución de asignación de recursos establecerá las condiciones que deben cumplir las entidades territoriales para el desembolso de los recursos asignados, así como las causales por las que no recibirán los mismos.  </w:t>
      </w:r>
    </w:p>
    <w:p w14:paraId="0AEE7C0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A19556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2°. Los recursos de apoyo financiero para el desarrollo de Proyectos Estratégicos podrán ejecutarse mediante apoyo financiero a los entes territoriales a través de una Gerencia Integral que para tal efecto contratará la Nación, evento en el cual se definirá en el marco del contrato el mecanismo para hacer efectivo el apoyo financiero. </w:t>
      </w:r>
    </w:p>
    <w:p w14:paraId="1CE2B393"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963" w:name="ver_30197906"/>
      <w:bookmarkEnd w:id="1963"/>
    </w:p>
    <w:p w14:paraId="400FCC8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2.3.3.1.8.7. Requisitos para hacer exigible el pago de los apoyos financieros de la Nación a los Planes Departamentales para el Manejo Empresarial de los Servicios de Agua y Saneamiento (PDA). Será requisito para hacer exigible el pago, la celebración de un convenio de uso de recursos entre el Ministerio de Vivienda, Ciudad y Territorio y la respectiva entidad territorial beneficiaria que contendrá, como mínimo, lo siguiente:  </w:t>
      </w:r>
    </w:p>
    <w:p w14:paraId="3925D40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B44A00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Términos y condiciones en que se invertirán los apoyos financieros otorgados por la Nación.  </w:t>
      </w:r>
    </w:p>
    <w:p w14:paraId="12BB49C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60A94F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Instrumento para el manejo de los recursos.  </w:t>
      </w:r>
    </w:p>
    <w:p w14:paraId="4F008AC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2D830E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Compromisos periódicos de avance que garanticen el cumplimiento del desarrollo del Plan Departamental para el Manejo Empresarial de los Servicios de Agua y Saneamiento en los términos acordados.  </w:t>
      </w:r>
    </w:p>
    <w:p w14:paraId="1ADA0F5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A8BB0F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El Ministerio de Vivienda, Ciudad y Territorio podrá señalar los documentos e información requerida que deberán suministrar las entidades territoriales para hacer exigible el pago de los recursos de apoyo financiero de la Nación.  </w:t>
      </w:r>
    </w:p>
    <w:p w14:paraId="1C1088D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15F424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Cumplidos los requisitos a que se refiere el inciso anterior, los recursos podrán ser girados directamente al instrumento para el manejo de los recursos respectivo. </w:t>
      </w:r>
    </w:p>
    <w:p w14:paraId="39DE6B9A"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964" w:name="ver_30197907"/>
      <w:bookmarkEnd w:id="1964"/>
    </w:p>
    <w:p w14:paraId="24D2B3E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2.3.3.1.8.8. Articulación con el Sistema General de Regalías. Los proyectos de inversión debidamente estructurados y formulados que se pretendan financiar o cofinanciar con recursos del Sistema General de Regalías y respecto de los cuales el Representante Legal de la entidad territorial haya manifestado expresamente su deseo de inclusión dentro del Plan Departamental para el Manejo Empresarial de los Servicios de Agua y Saneamiento (PDA), seguirán las reglas generales para los proyectos de inversión contempladas en la Ley 1530 de 2012, sus reglamentos y las normas que los modifiquen, adicionen o sustituyan.  </w:t>
      </w:r>
    </w:p>
    <w:p w14:paraId="424CB7A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42D67F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Dichos proyectos, una vez aprobados por el correspondiente Órgano Colegiado de Administración y Decisión (OCAD), podrán registrarse en los instrumentos de planeación del respectivo Plan Departamental señalados en el presente capítulo en los eventos que los mismos cuenten con recursos de contrapartida de la Nación o del Plan Departamental, o que tengan concepto favorable del Gestor sobre el aporte de dichos proyectos a las metas de cobertura, calidad y continuidad.  </w:t>
      </w:r>
    </w:p>
    <w:p w14:paraId="2CFB403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DDB0F4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Parágrafo. Conforme al artículo 144 de la Ley 1530 de 2012 o la norma que la modifique, sustituya o adicione, los Planes Departamentales para el Manejo Empresarial de los Servicios de Agua y Saneamiento (PDA) que hayan sido financiados con recursos de regalías antes del 31 de diciembre de 2011, continuarán rigiéndose por las disposiciones vigentes al momento de compromiso de los recursos”. </w:t>
      </w:r>
    </w:p>
    <w:p w14:paraId="6A282924" w14:textId="77777777" w:rsidR="004E2147" w:rsidRPr="009342F9" w:rsidRDefault="004E2147" w:rsidP="00FC79C1">
      <w:pPr>
        <w:spacing w:after="0" w:line="240" w:lineRule="auto"/>
        <w:jc w:val="both"/>
        <w:rPr>
          <w:rFonts w:ascii="Arial" w:eastAsia="Times New Roman" w:hAnsi="Arial" w:cs="Arial"/>
          <w:color w:val="000000"/>
          <w:lang w:eastAsia="es-CO"/>
        </w:rPr>
      </w:pPr>
      <w:bookmarkStart w:id="1965" w:name="ver_30076006"/>
      <w:bookmarkEnd w:id="1965"/>
    </w:p>
    <w:p w14:paraId="2998BE6D" w14:textId="3C7B8849" w:rsidR="00FC79C1" w:rsidRPr="009342F9" w:rsidRDefault="00FC79C1" w:rsidP="004E2147">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CAPÍTULO 2</w:t>
      </w:r>
    </w:p>
    <w:p w14:paraId="63CE21F4" w14:textId="77777777" w:rsidR="00FC79C1" w:rsidRDefault="00FC79C1" w:rsidP="004E2147">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MECANISMO DEPARTAMENTAL DE EVALUACIÓN Y VIABILIZACIÓN DE PROYECTOS DEL SECTOR DE AGUA POTABLE Y SANEAMIENTO BÁSICO</w:t>
      </w:r>
    </w:p>
    <w:p w14:paraId="32FA14C8" w14:textId="77777777" w:rsidR="00F739F4" w:rsidRPr="009342F9" w:rsidRDefault="00F739F4" w:rsidP="004E2147">
      <w:pPr>
        <w:spacing w:after="0" w:line="240" w:lineRule="auto"/>
        <w:jc w:val="center"/>
        <w:rPr>
          <w:rFonts w:ascii="Arial" w:eastAsia="Times New Roman" w:hAnsi="Arial" w:cs="Arial"/>
          <w:b/>
          <w:bCs/>
          <w:color w:val="000000"/>
          <w:lang w:eastAsia="es-CO"/>
        </w:rPr>
      </w:pPr>
    </w:p>
    <w:p w14:paraId="75F97CFB" w14:textId="77777777" w:rsidR="00FC79C1" w:rsidRPr="009342F9" w:rsidRDefault="00FC79C1" w:rsidP="004E2147">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SECCIÓN 1</w:t>
      </w:r>
    </w:p>
    <w:p w14:paraId="7F3CA63C" w14:textId="77777777" w:rsidR="00FC79C1" w:rsidRPr="009342F9" w:rsidRDefault="00FC79C1" w:rsidP="004E2147">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PARTE GENERAL</w:t>
      </w:r>
    </w:p>
    <w:p w14:paraId="54C25224"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966" w:name="ver_30076007"/>
      <w:bookmarkEnd w:id="1966"/>
    </w:p>
    <w:p w14:paraId="3DD6232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2.3.3.2.1.1 Objeto. Por medio del presente capítulo se establece el Mecanismo Departamental para la evaluación y </w:t>
      </w:r>
      <w:proofErr w:type="spellStart"/>
      <w:r w:rsidRPr="009342F9">
        <w:rPr>
          <w:rFonts w:ascii="Arial" w:eastAsia="Times New Roman" w:hAnsi="Arial" w:cs="Arial"/>
          <w:color w:val="000000"/>
          <w:lang w:eastAsia="es-CO"/>
        </w:rPr>
        <w:t>viabilización</w:t>
      </w:r>
      <w:proofErr w:type="spellEnd"/>
      <w:r w:rsidRPr="009342F9">
        <w:rPr>
          <w:rFonts w:ascii="Arial" w:eastAsia="Times New Roman" w:hAnsi="Arial" w:cs="Arial"/>
          <w:color w:val="000000"/>
          <w:lang w:eastAsia="es-CO"/>
        </w:rPr>
        <w:t xml:space="preserve"> de proyectos del sector de agua potable y saneamiento básico a financiar con recursos que no provienen de la Nación, y se determinan los requisitos y procedimientos para la presentación, </w:t>
      </w:r>
      <w:proofErr w:type="spellStart"/>
      <w:r w:rsidRPr="009342F9">
        <w:rPr>
          <w:rFonts w:ascii="Arial" w:eastAsia="Times New Roman" w:hAnsi="Arial" w:cs="Arial"/>
          <w:color w:val="000000"/>
          <w:lang w:eastAsia="es-CO"/>
        </w:rPr>
        <w:t>viabilización</w:t>
      </w:r>
      <w:proofErr w:type="spellEnd"/>
      <w:r w:rsidRPr="009342F9">
        <w:rPr>
          <w:rFonts w:ascii="Arial" w:eastAsia="Times New Roman" w:hAnsi="Arial" w:cs="Arial"/>
          <w:color w:val="000000"/>
          <w:lang w:eastAsia="es-CO"/>
        </w:rPr>
        <w:t xml:space="preserve"> y aprobación de proyectos. </w:t>
      </w:r>
    </w:p>
    <w:p w14:paraId="2259A729" w14:textId="48275C8D"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967" w:name="ver_30076008"/>
      <w:bookmarkEnd w:id="1967"/>
    </w:p>
    <w:p w14:paraId="646E96B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2.3.3.2.1.2. Mecanismo departamental de </w:t>
      </w:r>
      <w:proofErr w:type="spellStart"/>
      <w:r w:rsidRPr="009342F9">
        <w:rPr>
          <w:rFonts w:ascii="Arial" w:eastAsia="Times New Roman" w:hAnsi="Arial" w:cs="Arial"/>
          <w:color w:val="000000"/>
          <w:lang w:eastAsia="es-CO"/>
        </w:rPr>
        <w:t>viabilización</w:t>
      </w:r>
      <w:proofErr w:type="spellEnd"/>
      <w:r w:rsidRPr="009342F9">
        <w:rPr>
          <w:rFonts w:ascii="Arial" w:eastAsia="Times New Roman" w:hAnsi="Arial" w:cs="Arial"/>
          <w:color w:val="000000"/>
          <w:lang w:eastAsia="es-CO"/>
        </w:rPr>
        <w:t xml:space="preserve"> de proyectos. A través del Mecanismo Departamental de </w:t>
      </w:r>
      <w:proofErr w:type="spellStart"/>
      <w:r w:rsidRPr="009342F9">
        <w:rPr>
          <w:rFonts w:ascii="Arial" w:eastAsia="Times New Roman" w:hAnsi="Arial" w:cs="Arial"/>
          <w:color w:val="000000"/>
          <w:lang w:eastAsia="es-CO"/>
        </w:rPr>
        <w:t>Viabilización</w:t>
      </w:r>
      <w:proofErr w:type="spellEnd"/>
      <w:r w:rsidRPr="009342F9">
        <w:rPr>
          <w:rFonts w:ascii="Arial" w:eastAsia="Times New Roman" w:hAnsi="Arial" w:cs="Arial"/>
          <w:color w:val="000000"/>
          <w:lang w:eastAsia="es-CO"/>
        </w:rPr>
        <w:t xml:space="preserve"> de Proyectos se evaluarán y viabilizarán aquellos proyectos del sector de agua potable y saneamiento básico que han sido priorizados en el marco de los Planes Departamentales de Agua y de los demás programas regionales para el manejo de agua potable y saneamiento básico de que trata el Artículo primero del presente capítulo y cuya financiación no incorpore recursos provenientes de la Nación. </w:t>
      </w:r>
    </w:p>
    <w:p w14:paraId="312DD8C6" w14:textId="5787D870"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968" w:name="ver_30076009"/>
      <w:bookmarkEnd w:id="1968"/>
    </w:p>
    <w:p w14:paraId="46E1E0E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2.3.3.2.1.3. Comité técnico de proyectos. El Mecanismo Departamental de </w:t>
      </w:r>
      <w:proofErr w:type="spellStart"/>
      <w:r w:rsidRPr="009342F9">
        <w:rPr>
          <w:rFonts w:ascii="Arial" w:eastAsia="Times New Roman" w:hAnsi="Arial" w:cs="Arial"/>
          <w:color w:val="000000"/>
          <w:lang w:eastAsia="es-CO"/>
        </w:rPr>
        <w:t>Viabilización</w:t>
      </w:r>
      <w:proofErr w:type="spellEnd"/>
      <w:r w:rsidRPr="009342F9">
        <w:rPr>
          <w:rFonts w:ascii="Arial" w:eastAsia="Times New Roman" w:hAnsi="Arial" w:cs="Arial"/>
          <w:color w:val="000000"/>
          <w:lang w:eastAsia="es-CO"/>
        </w:rPr>
        <w:t xml:space="preserve"> de Proyectos contará con un Comité Técnico Departamental de Proyectos, como instancia asesora en el proceso de </w:t>
      </w:r>
      <w:proofErr w:type="spellStart"/>
      <w:r w:rsidRPr="009342F9">
        <w:rPr>
          <w:rFonts w:ascii="Arial" w:eastAsia="Times New Roman" w:hAnsi="Arial" w:cs="Arial"/>
          <w:color w:val="000000"/>
          <w:lang w:eastAsia="es-CO"/>
        </w:rPr>
        <w:t>viabilización</w:t>
      </w:r>
      <w:proofErr w:type="spellEnd"/>
      <w:r w:rsidRPr="009342F9">
        <w:rPr>
          <w:rFonts w:ascii="Arial" w:eastAsia="Times New Roman" w:hAnsi="Arial" w:cs="Arial"/>
          <w:color w:val="000000"/>
          <w:lang w:eastAsia="es-CO"/>
        </w:rPr>
        <w:t xml:space="preserve"> y aprobación de los proyectos de agua potable y saneamiento básico a financiar exclusivamente con recursos que no provienen de la Nación, previstos en los instrumentos de planeación de los Planes Departamentales de Agua, así como aquellos que se ejecuten en el marco de Programas regionales para el manejo de agua potable y saneamiento básico, que estará adscrito a la Oficina de Planeación, Secretaría de Planeación, al Departamento Administrativo de Planeación o a la instancia a nivel departamental que haga sus veces. </w:t>
      </w:r>
    </w:p>
    <w:p w14:paraId="627E920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CB4FDA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El Comité Técnico Departamental de Proyectos podrá ser creado y adoptado por Decreto Departamental y deberá estar integrado como mínimo por los siguientes miembros, sin perjuicio de la participación de los miembros permanentes del Banco de Proyectos del Departamento. </w:t>
      </w:r>
    </w:p>
    <w:p w14:paraId="36737A6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72ADA7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Un Delegado del Gobernador. </w:t>
      </w:r>
    </w:p>
    <w:p w14:paraId="120BF16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F38E50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2. El </w:t>
      </w:r>
      <w:proofErr w:type="gramStart"/>
      <w:r w:rsidRPr="009342F9">
        <w:rPr>
          <w:rFonts w:ascii="Arial" w:eastAsia="Times New Roman" w:hAnsi="Arial" w:cs="Arial"/>
          <w:color w:val="000000"/>
          <w:lang w:eastAsia="es-CO"/>
        </w:rPr>
        <w:t>Jefe</w:t>
      </w:r>
      <w:proofErr w:type="gramEnd"/>
      <w:r w:rsidRPr="009342F9">
        <w:rPr>
          <w:rFonts w:ascii="Arial" w:eastAsia="Times New Roman" w:hAnsi="Arial" w:cs="Arial"/>
          <w:color w:val="000000"/>
          <w:lang w:eastAsia="es-CO"/>
        </w:rPr>
        <w:t xml:space="preserve"> de la Oficina de Planeación, el Secretario de Planeación Departamental, el Director del Departamento Administrativo de Planeación o quien haga sus veces, o su delegado quien deberá ser un funcionario del nivel directivo. </w:t>
      </w:r>
    </w:p>
    <w:p w14:paraId="74B6BA2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110FD3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3. El </w:t>
      </w:r>
      <w:proofErr w:type="gramStart"/>
      <w:r w:rsidRPr="009342F9">
        <w:rPr>
          <w:rFonts w:ascii="Arial" w:eastAsia="Times New Roman" w:hAnsi="Arial" w:cs="Arial"/>
          <w:color w:val="000000"/>
          <w:lang w:eastAsia="es-CO"/>
        </w:rPr>
        <w:t>Secretario</w:t>
      </w:r>
      <w:proofErr w:type="gramEnd"/>
      <w:r w:rsidRPr="009342F9">
        <w:rPr>
          <w:rFonts w:ascii="Arial" w:eastAsia="Times New Roman" w:hAnsi="Arial" w:cs="Arial"/>
          <w:color w:val="000000"/>
          <w:lang w:eastAsia="es-CO"/>
        </w:rPr>
        <w:t xml:space="preserve"> de la Dependencia competente en materia de agua y saneamiento; en aquellos departamentos en que dicho cargo no exista podrá ser reemplazado por el Secretario de. Infraestructura o quien haga sus veces, o su delegado quien deberá ser un funcionario del nivel directivo. </w:t>
      </w:r>
    </w:p>
    <w:p w14:paraId="23CF92C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D3ECE0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4. El Gestor del PAP - PDA, quien tendrá </w:t>
      </w:r>
      <w:proofErr w:type="gramStart"/>
      <w:r w:rsidRPr="009342F9">
        <w:rPr>
          <w:rFonts w:ascii="Arial" w:eastAsia="Times New Roman" w:hAnsi="Arial" w:cs="Arial"/>
          <w:color w:val="000000"/>
          <w:lang w:eastAsia="es-CO"/>
        </w:rPr>
        <w:t>voz</w:t>
      </w:r>
      <w:proofErr w:type="gramEnd"/>
      <w:r w:rsidRPr="009342F9">
        <w:rPr>
          <w:rFonts w:ascii="Arial" w:eastAsia="Times New Roman" w:hAnsi="Arial" w:cs="Arial"/>
          <w:color w:val="000000"/>
          <w:lang w:eastAsia="es-CO"/>
        </w:rPr>
        <w:t xml:space="preserve"> pero no voto. </w:t>
      </w:r>
    </w:p>
    <w:p w14:paraId="1D72FEC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w:t>
      </w:r>
    </w:p>
    <w:p w14:paraId="5FA49AC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 El Secretario de Medio Ambiente o quien haga sus veces, cuando se trate de la evaluación de proyectos del componente ambiental del PAP- PDA, o su delegado quien deberá ser un funcionario del nivel directivo. </w:t>
      </w:r>
    </w:p>
    <w:p w14:paraId="48D22AD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1C1770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6. Un Alcalde que forme parte del Comité Directivo del PAP- PDA o su delegado. </w:t>
      </w:r>
    </w:p>
    <w:p w14:paraId="360139D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814BA3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7. El Coordinador del Banco de Proyectos o quien haga sus veces. </w:t>
      </w:r>
    </w:p>
    <w:p w14:paraId="7E38599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2D1197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 Secretaría Técnica del Comité será ejercida por el Gestor. </w:t>
      </w:r>
    </w:p>
    <w:p w14:paraId="3ACAEBE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5C9F36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En los eventos en que las actividades encomendadas al Gestor del PAP -PDA sean desarrolladas por una secretaria de las enunciadas como miembro permanente del Comité, la participación en aprobación de proyectos se desarrollará únicamente en su calidad de Gestor y en consecuencia se podrá delegar por el Gobernador un </w:t>
      </w:r>
      <w:proofErr w:type="gramStart"/>
      <w:r w:rsidRPr="009342F9">
        <w:rPr>
          <w:rFonts w:ascii="Arial" w:eastAsia="Times New Roman" w:hAnsi="Arial" w:cs="Arial"/>
          <w:color w:val="000000"/>
          <w:lang w:eastAsia="es-CO"/>
        </w:rPr>
        <w:t>Secretario</w:t>
      </w:r>
      <w:proofErr w:type="gramEnd"/>
      <w:r w:rsidRPr="009342F9">
        <w:rPr>
          <w:rFonts w:ascii="Arial" w:eastAsia="Times New Roman" w:hAnsi="Arial" w:cs="Arial"/>
          <w:color w:val="000000"/>
          <w:lang w:eastAsia="es-CO"/>
        </w:rPr>
        <w:t xml:space="preserve"> ad hoc. </w:t>
      </w:r>
    </w:p>
    <w:p w14:paraId="7F8BD6D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2BDCBD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El Comité Técnico podrá invitar a las sesiones a funcionarios de la Gobernación expertos en agua y saneamiento o representantes de la academia, que considere pertinentes, para escuchar sus opiniones o conceptos sobre temas específicos. </w:t>
      </w:r>
    </w:p>
    <w:p w14:paraId="36412FB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DCFBBE4" w14:textId="77777777" w:rsidR="00FC79C1" w:rsidRPr="009342F9" w:rsidRDefault="00FC79C1" w:rsidP="00FC79C1">
      <w:pPr>
        <w:spacing w:after="0" w:line="240" w:lineRule="auto"/>
        <w:jc w:val="both"/>
        <w:rPr>
          <w:rFonts w:ascii="Arial" w:eastAsia="Times New Roman" w:hAnsi="Arial" w:cs="Arial"/>
          <w:color w:val="000000"/>
          <w:lang w:eastAsia="es-CO"/>
        </w:rPr>
      </w:pPr>
      <w:proofErr w:type="gramStart"/>
      <w:r w:rsidRPr="009342F9">
        <w:rPr>
          <w:rFonts w:ascii="Arial" w:eastAsia="Times New Roman" w:hAnsi="Arial" w:cs="Arial"/>
          <w:color w:val="000000"/>
          <w:lang w:eastAsia="es-CO"/>
        </w:rPr>
        <w:t>Igualmente</w:t>
      </w:r>
      <w:proofErr w:type="gramEnd"/>
      <w:r w:rsidRPr="009342F9">
        <w:rPr>
          <w:rFonts w:ascii="Arial" w:eastAsia="Times New Roman" w:hAnsi="Arial" w:cs="Arial"/>
          <w:color w:val="000000"/>
          <w:lang w:eastAsia="es-CO"/>
        </w:rPr>
        <w:t xml:space="preserve"> el Comité Técnico podrá solicitar al Gestor el acompañamiento técnico por parte de expertos, acorde con la especialidad del tema. </w:t>
      </w:r>
    </w:p>
    <w:p w14:paraId="7651B00F" w14:textId="46D9E51D"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969" w:name="ver_30076010"/>
      <w:bookmarkEnd w:id="1969"/>
    </w:p>
    <w:p w14:paraId="36DC184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2.3.3.2.1.4. Quórum </w:t>
      </w:r>
      <w:proofErr w:type="spellStart"/>
      <w:r w:rsidRPr="009342F9">
        <w:rPr>
          <w:rFonts w:ascii="Arial" w:eastAsia="Times New Roman" w:hAnsi="Arial" w:cs="Arial"/>
          <w:color w:val="000000"/>
          <w:lang w:eastAsia="es-CO"/>
        </w:rPr>
        <w:t>deliberatorio</w:t>
      </w:r>
      <w:proofErr w:type="spellEnd"/>
      <w:r w:rsidRPr="009342F9">
        <w:rPr>
          <w:rFonts w:ascii="Arial" w:eastAsia="Times New Roman" w:hAnsi="Arial" w:cs="Arial"/>
          <w:color w:val="000000"/>
          <w:lang w:eastAsia="es-CO"/>
        </w:rPr>
        <w:t xml:space="preserve"> y decisorio. Solo serán válidas las sesiones del Comité Técnico de Proyectos donde se cuente por lo menos con las tres cuartas partes de los miembros permanentes. En cualquier </w:t>
      </w:r>
      <w:proofErr w:type="gramStart"/>
      <w:r w:rsidRPr="009342F9">
        <w:rPr>
          <w:rFonts w:ascii="Arial" w:eastAsia="Times New Roman" w:hAnsi="Arial" w:cs="Arial"/>
          <w:color w:val="000000"/>
          <w:lang w:eastAsia="es-CO"/>
        </w:rPr>
        <w:t>caso</w:t>
      </w:r>
      <w:proofErr w:type="gramEnd"/>
      <w:r w:rsidRPr="009342F9">
        <w:rPr>
          <w:rFonts w:ascii="Arial" w:eastAsia="Times New Roman" w:hAnsi="Arial" w:cs="Arial"/>
          <w:color w:val="000000"/>
          <w:lang w:eastAsia="es-CO"/>
        </w:rPr>
        <w:t xml:space="preserve"> para la toma de decisiones se aplicará la regla de mayoría simple. </w:t>
      </w:r>
    </w:p>
    <w:p w14:paraId="719E4C7D" w14:textId="689026D0"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970" w:name="ver_30076011"/>
      <w:bookmarkEnd w:id="1970"/>
    </w:p>
    <w:p w14:paraId="60E93C1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2.3.3.2.1.5. Funciones del comité técnico de proyectos. El Comité Técnico de Proyectos tendrá las siguientes funciones: </w:t>
      </w:r>
    </w:p>
    <w:p w14:paraId="6EB4032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AEA724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1. Emitir concepto al Gobernador recomendando la viabilidad o no de los proyectos que se sometan a su consideración. El concepto emitido sobre </w:t>
      </w:r>
      <w:proofErr w:type="gramStart"/>
      <w:r w:rsidRPr="009342F9">
        <w:rPr>
          <w:rFonts w:ascii="Arial" w:eastAsia="Times New Roman" w:hAnsi="Arial" w:cs="Arial"/>
          <w:color w:val="000000"/>
          <w:lang w:eastAsia="es-CO"/>
        </w:rPr>
        <w:t>éste</w:t>
      </w:r>
      <w:proofErr w:type="gramEnd"/>
      <w:r w:rsidRPr="009342F9">
        <w:rPr>
          <w:rFonts w:ascii="Arial" w:eastAsia="Times New Roman" w:hAnsi="Arial" w:cs="Arial"/>
          <w:color w:val="000000"/>
          <w:lang w:eastAsia="es-CO"/>
        </w:rPr>
        <w:t xml:space="preserve"> particular deberá estar sustentado técnicamente. </w:t>
      </w:r>
    </w:p>
    <w:p w14:paraId="5F2E9F6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AA6003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Aprobar modificaciones o reformulaciones de proyectos previamente aprobados. </w:t>
      </w:r>
    </w:p>
    <w:p w14:paraId="6D62467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E364E4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Definir su propio reglamento, que deberá incluir un procedimiento para elegir presidente en cada sesión y para dirimir casos de empate en la votación en el evento de que los mismos se presenten. </w:t>
      </w:r>
    </w:p>
    <w:p w14:paraId="08A4920B" w14:textId="5110A1D2"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971" w:name="ver_30076012"/>
      <w:bookmarkEnd w:id="1971"/>
    </w:p>
    <w:p w14:paraId="2C836BB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2.3.3.2.1.6. </w:t>
      </w:r>
      <w:proofErr w:type="gramStart"/>
      <w:r w:rsidRPr="009342F9">
        <w:rPr>
          <w:rFonts w:ascii="Arial" w:eastAsia="Times New Roman" w:hAnsi="Arial" w:cs="Arial"/>
          <w:color w:val="000000"/>
          <w:lang w:eastAsia="es-CO"/>
        </w:rPr>
        <w:t>Proyectos A Presentar</w:t>
      </w:r>
      <w:proofErr w:type="gramEnd"/>
      <w:r w:rsidRPr="009342F9">
        <w:rPr>
          <w:rFonts w:ascii="Arial" w:eastAsia="Times New Roman" w:hAnsi="Arial" w:cs="Arial"/>
          <w:color w:val="000000"/>
          <w:lang w:eastAsia="es-CO"/>
        </w:rPr>
        <w:t xml:space="preserve"> Al Comité Técnico Para Su </w:t>
      </w:r>
      <w:proofErr w:type="spellStart"/>
      <w:r w:rsidRPr="009342F9">
        <w:rPr>
          <w:rFonts w:ascii="Arial" w:eastAsia="Times New Roman" w:hAnsi="Arial" w:cs="Arial"/>
          <w:color w:val="000000"/>
          <w:lang w:eastAsia="es-CO"/>
        </w:rPr>
        <w:t>Viabilización</w:t>
      </w:r>
      <w:proofErr w:type="spellEnd"/>
      <w:r w:rsidRPr="009342F9">
        <w:rPr>
          <w:rFonts w:ascii="Arial" w:eastAsia="Times New Roman" w:hAnsi="Arial" w:cs="Arial"/>
          <w:color w:val="000000"/>
          <w:lang w:eastAsia="es-CO"/>
        </w:rPr>
        <w:t xml:space="preserve">. A través del Mecanismo de </w:t>
      </w:r>
      <w:proofErr w:type="spellStart"/>
      <w:r w:rsidRPr="009342F9">
        <w:rPr>
          <w:rFonts w:ascii="Arial" w:eastAsia="Times New Roman" w:hAnsi="Arial" w:cs="Arial"/>
          <w:color w:val="000000"/>
          <w:lang w:eastAsia="es-CO"/>
        </w:rPr>
        <w:t>Viabilización</w:t>
      </w:r>
      <w:proofErr w:type="spellEnd"/>
      <w:r w:rsidRPr="009342F9">
        <w:rPr>
          <w:rFonts w:ascii="Arial" w:eastAsia="Times New Roman" w:hAnsi="Arial" w:cs="Arial"/>
          <w:color w:val="000000"/>
          <w:lang w:eastAsia="es-CO"/>
        </w:rPr>
        <w:t xml:space="preserve"> Departamental, se presentarán para su </w:t>
      </w:r>
      <w:proofErr w:type="spellStart"/>
      <w:r w:rsidRPr="009342F9">
        <w:rPr>
          <w:rFonts w:ascii="Arial" w:eastAsia="Times New Roman" w:hAnsi="Arial" w:cs="Arial"/>
          <w:color w:val="000000"/>
          <w:lang w:eastAsia="es-CO"/>
        </w:rPr>
        <w:t>viabilización</w:t>
      </w:r>
      <w:proofErr w:type="spellEnd"/>
      <w:r w:rsidRPr="009342F9">
        <w:rPr>
          <w:rFonts w:ascii="Arial" w:eastAsia="Times New Roman" w:hAnsi="Arial" w:cs="Arial"/>
          <w:color w:val="000000"/>
          <w:lang w:eastAsia="es-CO"/>
        </w:rPr>
        <w:t xml:space="preserve"> y </w:t>
      </w:r>
      <w:proofErr w:type="gramStart"/>
      <w:r w:rsidRPr="009342F9">
        <w:rPr>
          <w:rFonts w:ascii="Arial" w:eastAsia="Times New Roman" w:hAnsi="Arial" w:cs="Arial"/>
          <w:color w:val="000000"/>
          <w:lang w:eastAsia="es-CO"/>
        </w:rPr>
        <w:t>de acuerdo a</w:t>
      </w:r>
      <w:proofErr w:type="gramEnd"/>
      <w:r w:rsidRPr="009342F9">
        <w:rPr>
          <w:rFonts w:ascii="Arial" w:eastAsia="Times New Roman" w:hAnsi="Arial" w:cs="Arial"/>
          <w:color w:val="000000"/>
          <w:lang w:eastAsia="es-CO"/>
        </w:rPr>
        <w:t xml:space="preserve"> los usos que para cada fuente de recursos establezcan la ley, decretos, Resoluciones o Acuerdos, los proyectos orientados a: </w:t>
      </w:r>
    </w:p>
    <w:p w14:paraId="48C81C6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FF67BD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6.1. Construcción, ampliación, rehabilitación de sistemas de acueducto, alcantarillado sanitario y pluvial, y aseo. </w:t>
      </w:r>
    </w:p>
    <w:p w14:paraId="6DFA2B4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15ABE1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6.2. Construcción, ampliación y rehabilitación de sistemas de disposición final, tratamiento y/o aprovechamiento de residuos sólidos y tratamiento de lixiviados. En aquellos casos en que se </w:t>
      </w:r>
      <w:r w:rsidRPr="009342F9">
        <w:rPr>
          <w:rFonts w:ascii="Arial" w:eastAsia="Times New Roman" w:hAnsi="Arial" w:cs="Arial"/>
          <w:color w:val="000000"/>
          <w:lang w:eastAsia="es-CO"/>
        </w:rPr>
        <w:lastRenderedPageBreak/>
        <w:t>contemple el aprovechamiento de residuos sólidos, el proyecto deberá contar con el estudio de mercado que determine su viabilidad financiera. </w:t>
      </w:r>
    </w:p>
    <w:p w14:paraId="013AA7D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2447FE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6.3. Conservación de microcuencas que abastecen el sistema de acueducto, protección de fuentes y reforestación de dichas fuentes y aguas subterráneas. </w:t>
      </w:r>
    </w:p>
    <w:p w14:paraId="58EC64C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FE284F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6.4. Gestión de riesgos de los diferentes componentes de los sistemas de acueducto alcantarillado y aseo. </w:t>
      </w:r>
    </w:p>
    <w:p w14:paraId="30133EA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D56BD7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6.5. Proyectos de </w:t>
      </w:r>
      <w:proofErr w:type="spellStart"/>
      <w:r w:rsidRPr="009342F9">
        <w:rPr>
          <w:rFonts w:ascii="Arial" w:eastAsia="Times New Roman" w:hAnsi="Arial" w:cs="Arial"/>
          <w:color w:val="000000"/>
          <w:lang w:eastAsia="es-CO"/>
        </w:rPr>
        <w:t>preinversión</w:t>
      </w:r>
      <w:proofErr w:type="spellEnd"/>
      <w:r w:rsidRPr="009342F9">
        <w:rPr>
          <w:rFonts w:ascii="Arial" w:eastAsia="Times New Roman" w:hAnsi="Arial" w:cs="Arial"/>
          <w:color w:val="000000"/>
          <w:lang w:eastAsia="es-CO"/>
        </w:rPr>
        <w:t xml:space="preserve"> e inversión en infraestructuras de agua y saneamiento, así como de rehabilitación, reconstrucción, prevención y/o mitigación de riesgos de los sistemas de acueducto, alcantarillado y/o aseo, que se vean afectados por cualquier situación de desastre. </w:t>
      </w:r>
    </w:p>
    <w:p w14:paraId="33AF7EA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E9AD9C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6.6. Equipos requeridos para la operación de los sistemas de acueducto alcantarillado y aseo, incluyendo sistemas alternativos de generación eléctrica. </w:t>
      </w:r>
    </w:p>
    <w:p w14:paraId="45A0C27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350304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6.7. </w:t>
      </w:r>
      <w:proofErr w:type="spellStart"/>
      <w:r w:rsidRPr="009342F9">
        <w:rPr>
          <w:rFonts w:ascii="Arial" w:eastAsia="Times New Roman" w:hAnsi="Arial" w:cs="Arial"/>
          <w:color w:val="000000"/>
          <w:lang w:eastAsia="es-CO"/>
        </w:rPr>
        <w:t>Preinversión</w:t>
      </w:r>
      <w:proofErr w:type="spellEnd"/>
      <w:r w:rsidRPr="009342F9">
        <w:rPr>
          <w:rFonts w:ascii="Arial" w:eastAsia="Times New Roman" w:hAnsi="Arial" w:cs="Arial"/>
          <w:color w:val="000000"/>
          <w:lang w:eastAsia="es-CO"/>
        </w:rPr>
        <w:t xml:space="preserve"> en Planes Maestros de acueducto y alcantarillado, estudios, diseños e interventoría cuyo alcance deberá contemplar los aspectos técnico, administrativo, financiero y ambiental de los mismos. </w:t>
      </w:r>
    </w:p>
    <w:p w14:paraId="765A169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920D10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De conformidad con el capítulo I del presente título, el Comité Directivo del PAP – PDA determinará los casos específicos en los cuales los proyectos requieren solamente la aprobación por parte del Comité Directivo, a través de las respectivas Actas. </w:t>
      </w:r>
    </w:p>
    <w:p w14:paraId="45F9CB1F" w14:textId="1273F5E0"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972" w:name="ver_30076013"/>
      <w:bookmarkEnd w:id="1972"/>
    </w:p>
    <w:p w14:paraId="1AF2442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2.3.3.2.1.7. Actividades o componentes no susceptibles de financiación. Con recursos del Sistema General de Participaciones no se podrán financiar las actividades o componentes que no se encuentren enmarcados en las actividades definidas en los artículos 10 y 11 de la Ley 1176 de 2007 o aquella que la modifique, sustituya o derogue. </w:t>
      </w:r>
    </w:p>
    <w:p w14:paraId="118E026F" w14:textId="06E0891D" w:rsidR="00FC79C1" w:rsidRPr="009342F9" w:rsidRDefault="00FC79C1" w:rsidP="00E476D9">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0002289" w14:textId="77777777" w:rsidR="00FC79C1" w:rsidRPr="009342F9" w:rsidRDefault="00FC79C1" w:rsidP="004E2147">
      <w:pPr>
        <w:spacing w:after="0" w:line="240" w:lineRule="auto"/>
        <w:jc w:val="center"/>
        <w:rPr>
          <w:rFonts w:ascii="Arial" w:eastAsia="Times New Roman" w:hAnsi="Arial" w:cs="Arial"/>
          <w:b/>
          <w:bCs/>
          <w:color w:val="000000"/>
          <w:lang w:eastAsia="es-CO"/>
        </w:rPr>
      </w:pPr>
      <w:bookmarkStart w:id="1973" w:name="ver_30076014"/>
      <w:bookmarkEnd w:id="1973"/>
      <w:r w:rsidRPr="009342F9">
        <w:rPr>
          <w:rFonts w:ascii="Arial" w:eastAsia="Times New Roman" w:hAnsi="Arial" w:cs="Arial"/>
          <w:b/>
          <w:bCs/>
          <w:color w:val="000000"/>
          <w:lang w:eastAsia="es-CO"/>
        </w:rPr>
        <w:t>SECCIÓN 2</w:t>
      </w:r>
    </w:p>
    <w:p w14:paraId="70399CCF" w14:textId="77777777" w:rsidR="00FC79C1" w:rsidRPr="009342F9" w:rsidRDefault="00FC79C1" w:rsidP="004E2147">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PRESENTACIÓN DE PROYECTOS</w:t>
      </w:r>
    </w:p>
    <w:p w14:paraId="6D41B67F"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974" w:name="ver_30076015"/>
      <w:bookmarkEnd w:id="1974"/>
    </w:p>
    <w:p w14:paraId="0D03056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2.3.3.2.2.8. Presentación de proyectos. Para efectos del presente capítulo, podrán presentar proyectos del sector de agua potable y saneamiento básico los departamentos, los municipios y Distritos. </w:t>
      </w:r>
    </w:p>
    <w:p w14:paraId="47F1E24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581C22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Los proyectos del sector de agua potable y saneamiento básico podrán ser presentados ante el Gestor del PAP – PDA quien los remitirá al Comité Técnico de Proyectos para su evaluación y </w:t>
      </w:r>
      <w:proofErr w:type="spellStart"/>
      <w:r w:rsidRPr="009342F9">
        <w:rPr>
          <w:rFonts w:ascii="Arial" w:eastAsia="Times New Roman" w:hAnsi="Arial" w:cs="Arial"/>
          <w:color w:val="000000"/>
          <w:lang w:eastAsia="es-CO"/>
        </w:rPr>
        <w:t>viabilización</w:t>
      </w:r>
      <w:proofErr w:type="spellEnd"/>
      <w:r w:rsidRPr="009342F9">
        <w:rPr>
          <w:rFonts w:ascii="Arial" w:eastAsia="Times New Roman" w:hAnsi="Arial" w:cs="Arial"/>
          <w:color w:val="000000"/>
          <w:lang w:eastAsia="es-CO"/>
        </w:rPr>
        <w:t>. </w:t>
      </w:r>
    </w:p>
    <w:p w14:paraId="766E3014" w14:textId="0BC4AE40"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975" w:name="ver_30076016"/>
      <w:bookmarkEnd w:id="1975"/>
    </w:p>
    <w:p w14:paraId="7C3775A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2.3.3.2.2.9. Requisitos para la presentación de los proyectos. Los proyectos que presenten las entidades territoriales para su </w:t>
      </w:r>
      <w:proofErr w:type="spellStart"/>
      <w:r w:rsidRPr="009342F9">
        <w:rPr>
          <w:rFonts w:ascii="Arial" w:eastAsia="Times New Roman" w:hAnsi="Arial" w:cs="Arial"/>
          <w:color w:val="000000"/>
          <w:lang w:eastAsia="es-CO"/>
        </w:rPr>
        <w:t>viabilización</w:t>
      </w:r>
      <w:proofErr w:type="spellEnd"/>
      <w:r w:rsidRPr="009342F9">
        <w:rPr>
          <w:rFonts w:ascii="Arial" w:eastAsia="Times New Roman" w:hAnsi="Arial" w:cs="Arial"/>
          <w:color w:val="000000"/>
          <w:lang w:eastAsia="es-CO"/>
        </w:rPr>
        <w:t xml:space="preserve"> por parte del Comité Técnico de Proyectos deberán, además de cumplir con los requisitos previstos por el Departamento para su inclusión en el banco de proyectos, acreditar los requisitos que se definan en la guía de que trata el artículo 2.3.3.2.4.14 del presente capítulo. </w:t>
      </w:r>
    </w:p>
    <w:p w14:paraId="008DDD81" w14:textId="15F4224D"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976" w:name="ver_30076017"/>
      <w:bookmarkEnd w:id="1976"/>
    </w:p>
    <w:p w14:paraId="5D77557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2.3.3.2.2.10. Documentos para la presentación de proyectos. Los proyectos que presenten las entidades territoriales directamente al Mecanismo Departamental de </w:t>
      </w:r>
      <w:proofErr w:type="spellStart"/>
      <w:r w:rsidRPr="009342F9">
        <w:rPr>
          <w:rFonts w:ascii="Arial" w:eastAsia="Times New Roman" w:hAnsi="Arial" w:cs="Arial"/>
          <w:color w:val="000000"/>
          <w:lang w:eastAsia="es-CO"/>
        </w:rPr>
        <w:t>Viabilización</w:t>
      </w:r>
      <w:proofErr w:type="spellEnd"/>
      <w:r w:rsidRPr="009342F9">
        <w:rPr>
          <w:rFonts w:ascii="Arial" w:eastAsia="Times New Roman" w:hAnsi="Arial" w:cs="Arial"/>
          <w:color w:val="000000"/>
          <w:lang w:eastAsia="es-CO"/>
        </w:rPr>
        <w:t xml:space="preserve"> de Proyectos o que sean radicados ante el Gestor del respectivo PAP – PDA, deben contener la documentación que se defina en la guía de que trata el artículo 2.3.3.2.4.14 del presente capítulo. </w:t>
      </w:r>
    </w:p>
    <w:p w14:paraId="4616612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6DFD1AA" w14:textId="77777777" w:rsidR="00FC79C1" w:rsidRPr="009342F9" w:rsidRDefault="00FC79C1" w:rsidP="004E2147">
      <w:pPr>
        <w:spacing w:after="0" w:line="240" w:lineRule="auto"/>
        <w:jc w:val="center"/>
        <w:rPr>
          <w:rFonts w:ascii="Arial" w:eastAsia="Times New Roman" w:hAnsi="Arial" w:cs="Arial"/>
          <w:b/>
          <w:bCs/>
          <w:color w:val="000000"/>
          <w:lang w:eastAsia="es-CO"/>
        </w:rPr>
      </w:pPr>
      <w:bookmarkStart w:id="1977" w:name="ver_30076018"/>
      <w:bookmarkEnd w:id="1977"/>
      <w:r w:rsidRPr="009342F9">
        <w:rPr>
          <w:rFonts w:ascii="Arial" w:eastAsia="Times New Roman" w:hAnsi="Arial" w:cs="Arial"/>
          <w:b/>
          <w:bCs/>
          <w:color w:val="000000"/>
          <w:lang w:eastAsia="es-CO"/>
        </w:rPr>
        <w:lastRenderedPageBreak/>
        <w:t>SECCIÓN 3</w:t>
      </w:r>
    </w:p>
    <w:p w14:paraId="437B464B" w14:textId="77777777" w:rsidR="00FC79C1" w:rsidRPr="009342F9" w:rsidRDefault="00FC79C1" w:rsidP="004E2147">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EVALUACIÓN, VIABILIZACIÓN Y APROBACIÓN DE PROYECTOS</w:t>
      </w:r>
    </w:p>
    <w:p w14:paraId="6B44756C"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978" w:name="ver_30076019"/>
      <w:bookmarkEnd w:id="1978"/>
    </w:p>
    <w:p w14:paraId="3C59A9B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2.3.3.2.3.11. Procedimiento y plazos de evaluación, </w:t>
      </w:r>
      <w:proofErr w:type="spellStart"/>
      <w:r w:rsidRPr="009342F9">
        <w:rPr>
          <w:rFonts w:ascii="Arial" w:eastAsia="Times New Roman" w:hAnsi="Arial" w:cs="Arial"/>
          <w:color w:val="000000"/>
          <w:lang w:eastAsia="es-CO"/>
        </w:rPr>
        <w:t>viabilización</w:t>
      </w:r>
      <w:proofErr w:type="spellEnd"/>
      <w:r w:rsidRPr="009342F9">
        <w:rPr>
          <w:rFonts w:ascii="Arial" w:eastAsia="Times New Roman" w:hAnsi="Arial" w:cs="Arial"/>
          <w:color w:val="000000"/>
          <w:lang w:eastAsia="es-CO"/>
        </w:rPr>
        <w:t xml:space="preserve"> y aprobación. Para la evaluación, </w:t>
      </w:r>
      <w:proofErr w:type="spellStart"/>
      <w:r w:rsidRPr="009342F9">
        <w:rPr>
          <w:rFonts w:ascii="Arial" w:eastAsia="Times New Roman" w:hAnsi="Arial" w:cs="Arial"/>
          <w:color w:val="000000"/>
          <w:lang w:eastAsia="es-CO"/>
        </w:rPr>
        <w:t>viabilización</w:t>
      </w:r>
      <w:proofErr w:type="spellEnd"/>
      <w:r w:rsidRPr="009342F9">
        <w:rPr>
          <w:rFonts w:ascii="Arial" w:eastAsia="Times New Roman" w:hAnsi="Arial" w:cs="Arial"/>
          <w:color w:val="000000"/>
          <w:lang w:eastAsia="es-CO"/>
        </w:rPr>
        <w:t xml:space="preserve"> y aprobación de los proyectos de agua potable y saneamiento básico presentados en el marco del presente decreto, se atenderá el siguiente procedimiento: </w:t>
      </w:r>
    </w:p>
    <w:p w14:paraId="56CFD61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E546A8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11.1. Una vez formulado el proyecto por los entes territoriales, el mismo deberá ser radicado para su evaluación ante la Secretaría Técnica del Mecanismo Departamental de </w:t>
      </w:r>
      <w:proofErr w:type="spellStart"/>
      <w:r w:rsidRPr="009342F9">
        <w:rPr>
          <w:rFonts w:ascii="Arial" w:eastAsia="Times New Roman" w:hAnsi="Arial" w:cs="Arial"/>
          <w:color w:val="000000"/>
          <w:lang w:eastAsia="es-CO"/>
        </w:rPr>
        <w:t>Viabilización</w:t>
      </w:r>
      <w:proofErr w:type="spellEnd"/>
      <w:r w:rsidRPr="009342F9">
        <w:rPr>
          <w:rFonts w:ascii="Arial" w:eastAsia="Times New Roman" w:hAnsi="Arial" w:cs="Arial"/>
          <w:color w:val="000000"/>
          <w:lang w:eastAsia="es-CO"/>
        </w:rPr>
        <w:t xml:space="preserve"> de Proyectos. </w:t>
      </w:r>
    </w:p>
    <w:p w14:paraId="0787656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04B033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11.2. El Gestor incorporará el respectivo proyecto al Plan de Acción del Municipio. </w:t>
      </w:r>
    </w:p>
    <w:p w14:paraId="08C6BE5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B81623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11.3. El Comité Técnico Departamental de Proyectos asignará un evaluador quien deberá emitir revisión técnica en un plazo no mayor de diez (10) días hábiles. </w:t>
      </w:r>
    </w:p>
    <w:p w14:paraId="3DA23B9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3D5C92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11.4. Una vez el proyecto cuente con revisión técnica favorable del evaluador, se convocará al Comité Técnico Departamental de Proyectos para que sesione en un plazo no mayor a cinco (5) días hábiles. En dicha sesión el Evaluador designado sustentará el respectivo proyecto, y el Comité emitirá un concepto recomendando o no la </w:t>
      </w:r>
      <w:proofErr w:type="spellStart"/>
      <w:r w:rsidRPr="009342F9">
        <w:rPr>
          <w:rFonts w:ascii="Arial" w:eastAsia="Times New Roman" w:hAnsi="Arial" w:cs="Arial"/>
          <w:color w:val="000000"/>
          <w:lang w:eastAsia="es-CO"/>
        </w:rPr>
        <w:t>viabilización</w:t>
      </w:r>
      <w:proofErr w:type="spellEnd"/>
      <w:r w:rsidRPr="009342F9">
        <w:rPr>
          <w:rFonts w:ascii="Arial" w:eastAsia="Times New Roman" w:hAnsi="Arial" w:cs="Arial"/>
          <w:color w:val="000000"/>
          <w:lang w:eastAsia="es-CO"/>
        </w:rPr>
        <w:t xml:space="preserve"> del mismo. </w:t>
      </w:r>
    </w:p>
    <w:p w14:paraId="0B91E1B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68BE99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11.5. Una vez el Comité emita la recomendación con el respectivo concepto técnico, el Gobernador mediante oficio dará a conocer a la entidad territorial correspondiente y al Gestor la decisión de viabilidad o no del proyecto, acorde con la carta de </w:t>
      </w:r>
      <w:proofErr w:type="spellStart"/>
      <w:r w:rsidRPr="009342F9">
        <w:rPr>
          <w:rFonts w:ascii="Arial" w:eastAsia="Times New Roman" w:hAnsi="Arial" w:cs="Arial"/>
          <w:color w:val="000000"/>
          <w:lang w:eastAsia="es-CO"/>
        </w:rPr>
        <w:t>Viabilización</w:t>
      </w:r>
      <w:proofErr w:type="spellEnd"/>
      <w:r w:rsidRPr="009342F9">
        <w:rPr>
          <w:rFonts w:ascii="Arial" w:eastAsia="Times New Roman" w:hAnsi="Arial" w:cs="Arial"/>
          <w:color w:val="000000"/>
          <w:lang w:eastAsia="es-CO"/>
        </w:rPr>
        <w:t xml:space="preserve"> modelo prevista en la Guía de que trata el artículo 2.3.3.2.4.14 del presente capítulo. </w:t>
      </w:r>
    </w:p>
    <w:p w14:paraId="708D18B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FFA6D8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11.6. El valor final del proyecto corresponderá al consignado en la carta de </w:t>
      </w:r>
      <w:proofErr w:type="spellStart"/>
      <w:r w:rsidRPr="009342F9">
        <w:rPr>
          <w:rFonts w:ascii="Arial" w:eastAsia="Times New Roman" w:hAnsi="Arial" w:cs="Arial"/>
          <w:color w:val="000000"/>
          <w:lang w:eastAsia="es-CO"/>
        </w:rPr>
        <w:t>viabilización</w:t>
      </w:r>
      <w:proofErr w:type="spellEnd"/>
      <w:r w:rsidRPr="009342F9">
        <w:rPr>
          <w:rFonts w:ascii="Arial" w:eastAsia="Times New Roman" w:hAnsi="Arial" w:cs="Arial"/>
          <w:color w:val="000000"/>
          <w:lang w:eastAsia="es-CO"/>
        </w:rPr>
        <w:t>. </w:t>
      </w:r>
    </w:p>
    <w:p w14:paraId="7548219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B3E7AF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11.7. Igualmente se remitirá la carta de </w:t>
      </w:r>
      <w:proofErr w:type="spellStart"/>
      <w:r w:rsidRPr="009342F9">
        <w:rPr>
          <w:rFonts w:ascii="Arial" w:eastAsia="Times New Roman" w:hAnsi="Arial" w:cs="Arial"/>
          <w:color w:val="000000"/>
          <w:lang w:eastAsia="es-CO"/>
        </w:rPr>
        <w:t>viabilización</w:t>
      </w:r>
      <w:proofErr w:type="spellEnd"/>
      <w:r w:rsidRPr="009342F9">
        <w:rPr>
          <w:rFonts w:ascii="Arial" w:eastAsia="Times New Roman" w:hAnsi="Arial" w:cs="Arial"/>
          <w:color w:val="000000"/>
          <w:lang w:eastAsia="es-CO"/>
        </w:rPr>
        <w:t xml:space="preserve"> con su respectivo concepto al Comité Directivo del Programa Agua para la Prosperidad - Plan Departamental de Agua, al Ministerio de Vivienda, Ciudad y Territorio y al Gestor a fin de que éste último de inicio al trámite de contratación en los términos previstos por el artículo 2.3.3.2.4.15 del capítulo 1 del título 3 de este Libro o la norma que lo sustituya o derogue y para que se le comunique a la entidad responsable de la administración de los recursos, para que expida los respectivos Certificados de Disponibilidad de Recursos – CDR, que permitan dar inicio a los procesos de contratación. </w:t>
      </w:r>
    </w:p>
    <w:p w14:paraId="754EE968" w14:textId="0FAA4244"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979" w:name="ver_30076020"/>
      <w:bookmarkEnd w:id="1979"/>
    </w:p>
    <w:p w14:paraId="6F5D37D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2.3.3.2.3.12. Evaluación de proyectos. La evaluación de los proyectos regionales </w:t>
      </w:r>
      <w:proofErr w:type="gramStart"/>
      <w:r w:rsidRPr="009342F9">
        <w:rPr>
          <w:rFonts w:ascii="Arial" w:eastAsia="Times New Roman" w:hAnsi="Arial" w:cs="Arial"/>
          <w:color w:val="000000"/>
          <w:lang w:eastAsia="es-CO"/>
        </w:rPr>
        <w:t>presentados,</w:t>
      </w:r>
      <w:proofErr w:type="gramEnd"/>
      <w:r w:rsidRPr="009342F9">
        <w:rPr>
          <w:rFonts w:ascii="Arial" w:eastAsia="Times New Roman" w:hAnsi="Arial" w:cs="Arial"/>
          <w:color w:val="000000"/>
          <w:lang w:eastAsia="es-CO"/>
        </w:rPr>
        <w:t xml:space="preserve"> se llevará a cabo por el personal profesional contratado o vinculado por el Mecanismo Departamental de </w:t>
      </w:r>
      <w:proofErr w:type="spellStart"/>
      <w:r w:rsidRPr="009342F9">
        <w:rPr>
          <w:rFonts w:ascii="Arial" w:eastAsia="Times New Roman" w:hAnsi="Arial" w:cs="Arial"/>
          <w:color w:val="000000"/>
          <w:lang w:eastAsia="es-CO"/>
        </w:rPr>
        <w:t>Viabilización</w:t>
      </w:r>
      <w:proofErr w:type="spellEnd"/>
      <w:r w:rsidRPr="009342F9">
        <w:rPr>
          <w:rFonts w:ascii="Arial" w:eastAsia="Times New Roman" w:hAnsi="Arial" w:cs="Arial"/>
          <w:color w:val="000000"/>
          <w:lang w:eastAsia="es-CO"/>
        </w:rPr>
        <w:t xml:space="preserve"> de Proyectos del respectivo departamento, de que trata el artículo 2.3.3.2.1.3. del presente capítulo, el cual contará como mínimo con los perfiles que se definan en la guía de que trata el artículo 2.3.3.2.4.14 del presente capítulo. </w:t>
      </w:r>
    </w:p>
    <w:p w14:paraId="6633ECB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10D694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todo caso no podrán realizar la evaluación de proyectos aquellas personas jurídicas y naturales que hayan participado en la formulación, diseño o planificación de los proyectos. </w:t>
      </w:r>
    </w:p>
    <w:p w14:paraId="2A8C63C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6DC3F0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Así mismo, no podrán realizar la ejecución, construcción o interventoría de los proyectos aquellas personas jurídicas o naturales que participaron en las actividades de evaluación y </w:t>
      </w:r>
      <w:proofErr w:type="spellStart"/>
      <w:r w:rsidRPr="009342F9">
        <w:rPr>
          <w:rFonts w:ascii="Arial" w:eastAsia="Times New Roman" w:hAnsi="Arial" w:cs="Arial"/>
          <w:color w:val="000000"/>
          <w:lang w:eastAsia="es-CO"/>
        </w:rPr>
        <w:t>viabilización</w:t>
      </w:r>
      <w:proofErr w:type="spellEnd"/>
      <w:r w:rsidRPr="009342F9">
        <w:rPr>
          <w:rFonts w:ascii="Arial" w:eastAsia="Times New Roman" w:hAnsi="Arial" w:cs="Arial"/>
          <w:color w:val="000000"/>
          <w:lang w:eastAsia="es-CO"/>
        </w:rPr>
        <w:t xml:space="preserve"> del mismo, con capacidad de voto. </w:t>
      </w:r>
    </w:p>
    <w:p w14:paraId="2A6ACDC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E661EA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primero. Los profesionales del equipo evaluador podrán ser funcionarios o contratistas. </w:t>
      </w:r>
    </w:p>
    <w:p w14:paraId="0EB26C5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w:t>
      </w:r>
    </w:p>
    <w:p w14:paraId="6DF4367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segundo. Los costos del Mecanismo Departamental de Evaluación de Proyectos podrán ser asumidos con cargo a recursos propios del Departamento o del SGP del Departamento (Sector Agua Potable y Saneamiento Básico), con previa aprobación del Comité Directivo del PAP - PDA, y acorde con las directrices que para tal efecto defina el Ministerio de Vivienda, Ciudad y Territorio. </w:t>
      </w:r>
    </w:p>
    <w:p w14:paraId="29985BAC" w14:textId="5978729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980" w:name="ver_30076021"/>
      <w:bookmarkEnd w:id="1980"/>
    </w:p>
    <w:p w14:paraId="55019EB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2.3.3.2.3.13. Requisitos de </w:t>
      </w:r>
      <w:proofErr w:type="spellStart"/>
      <w:r w:rsidRPr="009342F9">
        <w:rPr>
          <w:rFonts w:ascii="Arial" w:eastAsia="Times New Roman" w:hAnsi="Arial" w:cs="Arial"/>
          <w:color w:val="000000"/>
          <w:lang w:eastAsia="es-CO"/>
        </w:rPr>
        <w:t>viabilización</w:t>
      </w:r>
      <w:proofErr w:type="spellEnd"/>
      <w:r w:rsidRPr="009342F9">
        <w:rPr>
          <w:rFonts w:ascii="Arial" w:eastAsia="Times New Roman" w:hAnsi="Arial" w:cs="Arial"/>
          <w:color w:val="000000"/>
          <w:lang w:eastAsia="es-CO"/>
        </w:rPr>
        <w:t xml:space="preserve">. Los proyectos de agua potable y saneamiento básico que presenten las entidades territoriales y el Gestor en el marco del presente decreto podrán declararse viables por parte del Mecanismo Departamental de </w:t>
      </w:r>
      <w:proofErr w:type="spellStart"/>
      <w:r w:rsidRPr="009342F9">
        <w:rPr>
          <w:rFonts w:ascii="Arial" w:eastAsia="Times New Roman" w:hAnsi="Arial" w:cs="Arial"/>
          <w:color w:val="000000"/>
          <w:lang w:eastAsia="es-CO"/>
        </w:rPr>
        <w:t>Viabilización</w:t>
      </w:r>
      <w:proofErr w:type="spellEnd"/>
      <w:r w:rsidRPr="009342F9">
        <w:rPr>
          <w:rFonts w:ascii="Arial" w:eastAsia="Times New Roman" w:hAnsi="Arial" w:cs="Arial"/>
          <w:color w:val="000000"/>
          <w:lang w:eastAsia="es-CO"/>
        </w:rPr>
        <w:t xml:space="preserve"> de Proyectos, una vez se hayan cumplido los requisitos y documentos de presentación, el Comité Técnico Departamental haya emitido el respectivo concepto de viabilidad y se cuente con los recursos disponibles para su financiación. </w:t>
      </w:r>
    </w:p>
    <w:p w14:paraId="61A0F56B" w14:textId="4EE0771C" w:rsidR="004E2147"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981" w:name="ver_30076022"/>
      <w:bookmarkEnd w:id="1981"/>
    </w:p>
    <w:p w14:paraId="0E395E38" w14:textId="0C778E76" w:rsidR="00FC79C1" w:rsidRPr="009342F9" w:rsidRDefault="00FC79C1" w:rsidP="004E2147">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SECCIÓN 4</w:t>
      </w:r>
    </w:p>
    <w:p w14:paraId="49E03979" w14:textId="77777777" w:rsidR="00FC79C1" w:rsidRPr="009342F9" w:rsidRDefault="00FC79C1" w:rsidP="004E2147">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OTRAS DISPOSICIONES</w:t>
      </w:r>
    </w:p>
    <w:p w14:paraId="3A09BA76"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982" w:name="ver_30076023"/>
      <w:bookmarkEnd w:id="1982"/>
    </w:p>
    <w:p w14:paraId="2243231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2.3.3.2.4.14. Guía. El Ministerio de Vivienda, Ciudad y Territorio expedirá la Guía para la presentación, </w:t>
      </w:r>
      <w:proofErr w:type="spellStart"/>
      <w:r w:rsidRPr="009342F9">
        <w:rPr>
          <w:rFonts w:ascii="Arial" w:eastAsia="Times New Roman" w:hAnsi="Arial" w:cs="Arial"/>
          <w:color w:val="000000"/>
          <w:lang w:eastAsia="es-CO"/>
        </w:rPr>
        <w:t>viabilización</w:t>
      </w:r>
      <w:proofErr w:type="spellEnd"/>
      <w:r w:rsidRPr="009342F9">
        <w:rPr>
          <w:rFonts w:ascii="Arial" w:eastAsia="Times New Roman" w:hAnsi="Arial" w:cs="Arial"/>
          <w:color w:val="000000"/>
          <w:lang w:eastAsia="es-CO"/>
        </w:rPr>
        <w:t xml:space="preserve"> y aprobación de proyectos ante el Mecanismo Departamental de Evaluación y </w:t>
      </w:r>
      <w:proofErr w:type="spellStart"/>
      <w:r w:rsidRPr="009342F9">
        <w:rPr>
          <w:rFonts w:ascii="Arial" w:eastAsia="Times New Roman" w:hAnsi="Arial" w:cs="Arial"/>
          <w:color w:val="000000"/>
          <w:lang w:eastAsia="es-CO"/>
        </w:rPr>
        <w:t>Viabilización</w:t>
      </w:r>
      <w:proofErr w:type="spellEnd"/>
      <w:r w:rsidRPr="009342F9">
        <w:rPr>
          <w:rFonts w:ascii="Arial" w:eastAsia="Times New Roman" w:hAnsi="Arial" w:cs="Arial"/>
          <w:color w:val="000000"/>
          <w:lang w:eastAsia="es-CO"/>
        </w:rPr>
        <w:t xml:space="preserve"> de Proyectos del sector de agua potable y saneamiento básico en el marco de los Planes Departamentales de Agua y los demás Programas regionales para el manejo de agua potable y saneamiento básico. </w:t>
      </w:r>
    </w:p>
    <w:p w14:paraId="04A654F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C1579B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El Gobernador del respectivo departamento dará aplicación a los contenidos mínimos que se establezcan en la Guía que expida el Ministerio y los incorporará como obligatorios en el proceso de evaluación y </w:t>
      </w:r>
      <w:proofErr w:type="spellStart"/>
      <w:r w:rsidRPr="009342F9">
        <w:rPr>
          <w:rFonts w:ascii="Arial" w:eastAsia="Times New Roman" w:hAnsi="Arial" w:cs="Arial"/>
          <w:color w:val="000000"/>
          <w:lang w:eastAsia="es-CO"/>
        </w:rPr>
        <w:t>viabilización</w:t>
      </w:r>
      <w:proofErr w:type="spellEnd"/>
      <w:r w:rsidRPr="009342F9">
        <w:rPr>
          <w:rFonts w:ascii="Arial" w:eastAsia="Times New Roman" w:hAnsi="Arial" w:cs="Arial"/>
          <w:color w:val="000000"/>
          <w:lang w:eastAsia="es-CO"/>
        </w:rPr>
        <w:t xml:space="preserve"> de proyectos. </w:t>
      </w:r>
    </w:p>
    <w:p w14:paraId="25DBE018" w14:textId="39657CCE"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983" w:name="ver_30076024"/>
      <w:bookmarkEnd w:id="1983"/>
    </w:p>
    <w:p w14:paraId="7F30C53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2.3.3.2.4.15. Documentos, formatos y disposiciones particulares. Además de los formatos, documentos y disposiciones particulares establecidas por cada departamento para la inscripción de proyectos en su banco de proyectos, corresponderá a cada departamento definir los formatos, documentos y criterios de orden técnico y procedimental requeridos para la presentación de proyectos de agua potable y saneamiento básico ante el respectivo Mecanismo Departamental de </w:t>
      </w:r>
      <w:proofErr w:type="spellStart"/>
      <w:r w:rsidRPr="009342F9">
        <w:rPr>
          <w:rFonts w:ascii="Arial" w:eastAsia="Times New Roman" w:hAnsi="Arial" w:cs="Arial"/>
          <w:color w:val="000000"/>
          <w:lang w:eastAsia="es-CO"/>
        </w:rPr>
        <w:t>Viabilización</w:t>
      </w:r>
      <w:proofErr w:type="spellEnd"/>
      <w:r w:rsidRPr="009342F9">
        <w:rPr>
          <w:rFonts w:ascii="Arial" w:eastAsia="Times New Roman" w:hAnsi="Arial" w:cs="Arial"/>
          <w:color w:val="000000"/>
          <w:lang w:eastAsia="es-CO"/>
        </w:rPr>
        <w:t xml:space="preserve"> de Proyectos. </w:t>
      </w:r>
    </w:p>
    <w:p w14:paraId="6B6E4C4C" w14:textId="2E4601BF"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984" w:name="ver_30076025"/>
      <w:bookmarkEnd w:id="1984"/>
    </w:p>
    <w:p w14:paraId="0171FEE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2.3.3.2.4.16. Capacitación al mecanismo departamental de </w:t>
      </w:r>
      <w:proofErr w:type="spellStart"/>
      <w:r w:rsidRPr="009342F9">
        <w:rPr>
          <w:rFonts w:ascii="Arial" w:eastAsia="Times New Roman" w:hAnsi="Arial" w:cs="Arial"/>
          <w:color w:val="000000"/>
          <w:lang w:eastAsia="es-CO"/>
        </w:rPr>
        <w:t>viabilización</w:t>
      </w:r>
      <w:proofErr w:type="spellEnd"/>
      <w:r w:rsidRPr="009342F9">
        <w:rPr>
          <w:rFonts w:ascii="Arial" w:eastAsia="Times New Roman" w:hAnsi="Arial" w:cs="Arial"/>
          <w:color w:val="000000"/>
          <w:lang w:eastAsia="es-CO"/>
        </w:rPr>
        <w:t xml:space="preserve"> de proyectos. El Viceministerio de Agua y Saneamiento Básico del Ministerio de Vivienda, Ciudad y Territorio, en coordinación con otras entidades del orden nacional y departamental deberá efectuar procesos de capacitación técnica constante con los responsables de la evaluación al interior de los Departamentos </w:t>
      </w:r>
    </w:p>
    <w:p w14:paraId="097E603C" w14:textId="39739DF2" w:rsidR="004E2147"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985" w:name="ver_30076026"/>
      <w:bookmarkEnd w:id="1985"/>
    </w:p>
    <w:p w14:paraId="4C646D9F" w14:textId="76F3FEAE" w:rsidR="00FC79C1" w:rsidRPr="009342F9" w:rsidRDefault="00FC79C1" w:rsidP="004E2147">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CAPÍTULO 3</w:t>
      </w:r>
    </w:p>
    <w:p w14:paraId="43CE4B79" w14:textId="77777777" w:rsidR="00FC79C1" w:rsidRPr="009342F9" w:rsidRDefault="00FC79C1" w:rsidP="004E2147">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DISTRIBUCIÓN DE CUPOS INDICATIVOS PARA AGUA POTABLE</w:t>
      </w:r>
    </w:p>
    <w:p w14:paraId="5C322B36" w14:textId="77777777" w:rsidR="00FC79C1" w:rsidRPr="009342F9" w:rsidRDefault="00FC79C1" w:rsidP="004E2147">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Y SANEAMIENTO BÁSICO</w:t>
      </w:r>
    </w:p>
    <w:p w14:paraId="0BB090AF"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986" w:name="ver_30076027"/>
      <w:bookmarkEnd w:id="1986"/>
    </w:p>
    <w:p w14:paraId="0FAB49C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2.3.3.3.1. Distribución de cupos indicativos para agua potable y saneamiento básico. Como resultado de la aplicación de los criterios de equidad regional previstos en el artículo 93 de la Ley 1151 de 2007, a </w:t>
      </w:r>
      <w:proofErr w:type="gramStart"/>
      <w:r w:rsidRPr="009342F9">
        <w:rPr>
          <w:rFonts w:ascii="Arial" w:eastAsia="Times New Roman" w:hAnsi="Arial" w:cs="Arial"/>
          <w:color w:val="000000"/>
          <w:lang w:eastAsia="es-CO"/>
        </w:rPr>
        <w:t>continuación</w:t>
      </w:r>
      <w:proofErr w:type="gramEnd"/>
      <w:r w:rsidRPr="009342F9">
        <w:rPr>
          <w:rFonts w:ascii="Arial" w:eastAsia="Times New Roman" w:hAnsi="Arial" w:cs="Arial"/>
          <w:color w:val="000000"/>
          <w:lang w:eastAsia="es-CO"/>
        </w:rPr>
        <w:t xml:space="preserve"> se presenta la distribución de los cupos indicativos para cada departamento, del billón de pesos a que se refiere el artículo 94 de dicha ley, ajustado al Plan Nacional de Inversiones 2007-2010: </w:t>
      </w:r>
    </w:p>
    <w:p w14:paraId="393A976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7CF667F" w14:textId="58488918" w:rsidR="00FC79C1" w:rsidRPr="009342F9" w:rsidRDefault="48ABE02E" w:rsidP="00FC79C1">
      <w:pPr>
        <w:spacing w:after="0" w:line="240" w:lineRule="auto"/>
        <w:jc w:val="both"/>
        <w:rPr>
          <w:rFonts w:ascii="Arial" w:eastAsia="Times New Roman" w:hAnsi="Arial" w:cs="Arial"/>
          <w:color w:val="000000"/>
          <w:lang w:eastAsia="es-CO"/>
        </w:rPr>
      </w:pPr>
      <w:r>
        <w:rPr>
          <w:noProof/>
        </w:rPr>
        <w:lastRenderedPageBreak/>
        <w:drawing>
          <wp:inline distT="0" distB="0" distL="0" distR="0" wp14:anchorId="66AFDAC7" wp14:editId="17042C89">
            <wp:extent cx="5529578" cy="7177404"/>
            <wp:effectExtent l="0" t="0" r="0"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41">
                      <a:extLst>
                        <a:ext uri="{28A0092B-C50C-407E-A947-70E740481C1C}">
                          <a14:useLocalDpi xmlns:a14="http://schemas.microsoft.com/office/drawing/2010/main" val="0"/>
                        </a:ext>
                      </a:extLst>
                    </a:blip>
                    <a:stretch>
                      <a:fillRect/>
                    </a:stretch>
                  </pic:blipFill>
                  <pic:spPr>
                    <a:xfrm>
                      <a:off x="0" y="0"/>
                      <a:ext cx="5529578" cy="7177404"/>
                    </a:xfrm>
                    <a:prstGeom prst="rect">
                      <a:avLst/>
                    </a:prstGeom>
                  </pic:spPr>
                </pic:pic>
              </a:graphicData>
            </a:graphic>
          </wp:inline>
        </w:drawing>
      </w:r>
      <w:r w:rsidR="00FC79C1" w:rsidRPr="3DD719FF">
        <w:rPr>
          <w:rFonts w:ascii="Arial" w:eastAsia="Times New Roman" w:hAnsi="Arial" w:cs="Arial"/>
          <w:color w:val="000000" w:themeColor="text1"/>
          <w:lang w:eastAsia="es-CO"/>
        </w:rPr>
        <w:t> </w:t>
      </w:r>
    </w:p>
    <w:p w14:paraId="46D3483D" w14:textId="77777777" w:rsidR="004E2147" w:rsidRPr="009342F9" w:rsidRDefault="004E2147" w:rsidP="00FC79C1">
      <w:pPr>
        <w:spacing w:after="0" w:line="240" w:lineRule="auto"/>
        <w:jc w:val="both"/>
        <w:rPr>
          <w:rFonts w:ascii="Arial" w:eastAsia="Times New Roman" w:hAnsi="Arial" w:cs="Arial"/>
          <w:color w:val="000000"/>
          <w:lang w:eastAsia="es-CO"/>
        </w:rPr>
      </w:pPr>
      <w:bookmarkStart w:id="1987" w:name="ver_30076028"/>
      <w:bookmarkEnd w:id="1987"/>
    </w:p>
    <w:p w14:paraId="0A9BD754" w14:textId="2CF1799D" w:rsidR="00FC79C1" w:rsidRPr="009342F9" w:rsidRDefault="00FC79C1" w:rsidP="004E2147">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TÍTULO 4</w:t>
      </w:r>
    </w:p>
    <w:p w14:paraId="17A0660B" w14:textId="77777777" w:rsidR="00FC79C1" w:rsidRDefault="00FC79C1" w:rsidP="004E2147">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SUBSIDIOS</w:t>
      </w:r>
    </w:p>
    <w:p w14:paraId="637CEB68" w14:textId="77777777" w:rsidR="00F739F4" w:rsidRPr="009342F9" w:rsidRDefault="00F739F4" w:rsidP="004E2147">
      <w:pPr>
        <w:spacing w:after="0" w:line="240" w:lineRule="auto"/>
        <w:jc w:val="center"/>
        <w:rPr>
          <w:rFonts w:ascii="Arial" w:eastAsia="Times New Roman" w:hAnsi="Arial" w:cs="Arial"/>
          <w:b/>
          <w:bCs/>
          <w:color w:val="000000"/>
          <w:lang w:eastAsia="es-CO"/>
        </w:rPr>
      </w:pPr>
    </w:p>
    <w:p w14:paraId="7F777422" w14:textId="77777777" w:rsidR="00FC79C1" w:rsidRPr="009342F9" w:rsidRDefault="00FC79C1" w:rsidP="004E2147">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CAPÍTULO 1</w:t>
      </w:r>
    </w:p>
    <w:p w14:paraId="24AF28C6" w14:textId="77777777" w:rsidR="00FC79C1" w:rsidRDefault="00FC79C1" w:rsidP="004E2147">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lastRenderedPageBreak/>
        <w:t>FONDOS DE SOLIDARIDAD Y REDISTRIBUCIÓN DE INGRESOS DEL ORDEN DEPARTAMENTAL, MUNICIPAL Y DISTRITAL PARA LOS SERVICIOS DE ACUEDUCTO, ALCANTARILLADO Y ASEO</w:t>
      </w:r>
    </w:p>
    <w:p w14:paraId="5D68E32D" w14:textId="77777777" w:rsidR="00F739F4" w:rsidRPr="009342F9" w:rsidRDefault="00F739F4" w:rsidP="004E2147">
      <w:pPr>
        <w:spacing w:after="0" w:line="240" w:lineRule="auto"/>
        <w:jc w:val="center"/>
        <w:rPr>
          <w:rFonts w:ascii="Arial" w:eastAsia="Times New Roman" w:hAnsi="Arial" w:cs="Arial"/>
          <w:b/>
          <w:bCs/>
          <w:color w:val="000000"/>
          <w:lang w:eastAsia="es-CO"/>
        </w:rPr>
      </w:pPr>
    </w:p>
    <w:p w14:paraId="6EBC0779" w14:textId="77777777" w:rsidR="00FC79C1" w:rsidRPr="009342F9" w:rsidRDefault="00FC79C1" w:rsidP="004E2147">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SECCIÓN 1</w:t>
      </w:r>
    </w:p>
    <w:p w14:paraId="3E779B1A" w14:textId="77777777" w:rsidR="00FC79C1" w:rsidRPr="009342F9" w:rsidRDefault="00FC79C1" w:rsidP="004E2147">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DEFINICIONES Y ÁMBITO DE APLICACIÓN DEL SUBSIDIO</w:t>
      </w:r>
    </w:p>
    <w:p w14:paraId="0D860EE3"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988" w:name="ver_30076029"/>
      <w:bookmarkEnd w:id="1988"/>
    </w:p>
    <w:p w14:paraId="6AF5D72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2.3.4.1.1.1. Definiciones. Para los efectos de este capítulo se adoptan las siguientes: </w:t>
      </w:r>
    </w:p>
    <w:p w14:paraId="744BF85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1820CB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Aporte solidario: Es la diferencia entre el valor que se paga por un servicio público domiciliario y el costo económico de referencia, cuando este costo es menor que el pago que efectúa el usuario o suscriptor. </w:t>
      </w:r>
    </w:p>
    <w:p w14:paraId="152EF23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50E2B9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Consumo básico: Es aquel que se destina a satisfacer las necesidades básicas de las familias. Para cada servicio, el consumo básico será el que defina la Comisión de Regulación de Agua Potable y Saneamiento Básico. </w:t>
      </w:r>
    </w:p>
    <w:p w14:paraId="4BAB78B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C426F5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Costo económico de referencia del servicio: Es el resultante de aplicar los criterios y las metodologías que defina la Comisión de Regulación de Agua Potable y Saneamiento Básico de acuerdo con las disposiciones de la Ley 142 de 1994. </w:t>
      </w:r>
    </w:p>
    <w:p w14:paraId="6BB6A0F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84B0D2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Subsidio: Se entiende por subsidio la diferencia entre el valor que un usuario o suscriptor paga por el consumo básico del servicio público domiciliario y su costo económico de referencia, cuando tal costo es mayor que el pago que efectúa el usuario o suscriptor. </w:t>
      </w:r>
    </w:p>
    <w:p w14:paraId="5245A6E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520DC2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Usuario: Persona natural o jurídica que se beneficia con la prestación de un servicio público, bien como propietario del inmueble en donde éste se presta, o como receptor directo del servicio, cuando es sujeto de facturación. </w:t>
      </w:r>
    </w:p>
    <w:p w14:paraId="68AAEE7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08BB98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Usuarios de menores ingresos: Son aquellas personas naturales o jurídicas que se benefician de un servicio público y que pertenecen a los estratos 1 y 2. </w:t>
      </w:r>
    </w:p>
    <w:p w14:paraId="7939B221" w14:textId="440D66BA"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989" w:name="ver_30076030"/>
      <w:bookmarkEnd w:id="1989"/>
    </w:p>
    <w:p w14:paraId="3573A28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2.3.4.1.1.2. Beneficiarios del Subsidio. Para efectos de lo dispuesto en este capítulo, se entiende por beneficiarios del subsidio a los usuarios de menores ingresos, y en las condiciones que defina la Comisión de Regulación de Agua Potable y Saneamiento Básico a los del estrato 3, de las zonas urbanas y rurales. Los estratos serán los resultantes de la aplicación de la metodología establecida por el Departamento Nacional de Planeación. </w:t>
      </w:r>
    </w:p>
    <w:p w14:paraId="542F31CB" w14:textId="72BF7A80"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990" w:name="ver_30076031"/>
      <w:bookmarkEnd w:id="1990"/>
    </w:p>
    <w:p w14:paraId="31960C1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2.3.4.1.1.3. Objeto del subsidio. Podrá ser objeto del subsidio, la facturación correspondiente al valor del consumo básico de los beneficiarios del subsidio y los costos económicos para garantizar la disponibilidad permanente del servicio. Igualmente, los cargos por aportes de conexión domiciliaria, incluyendo la acometida y el medidor de los estratos 1, 2 y 3 podrán ser subsidiados (artículo 97 de la Ley 142 de 1994). </w:t>
      </w:r>
    </w:p>
    <w:p w14:paraId="043A11A7" w14:textId="57633150" w:rsidR="004E2147" w:rsidRPr="009342F9" w:rsidRDefault="00FC79C1" w:rsidP="00E476D9">
      <w:pPr>
        <w:spacing w:after="0" w:line="240" w:lineRule="auto"/>
        <w:jc w:val="both"/>
        <w:rPr>
          <w:rFonts w:ascii="Arial" w:eastAsia="Times New Roman" w:hAnsi="Arial" w:cs="Arial"/>
          <w:b/>
          <w:bCs/>
          <w:color w:val="000000"/>
          <w:lang w:eastAsia="es-CO"/>
        </w:rPr>
      </w:pPr>
      <w:r w:rsidRPr="009342F9">
        <w:rPr>
          <w:rFonts w:ascii="Arial" w:eastAsia="Times New Roman" w:hAnsi="Arial" w:cs="Arial"/>
          <w:color w:val="000000"/>
          <w:lang w:eastAsia="es-CO"/>
        </w:rPr>
        <w:t>  </w:t>
      </w:r>
      <w:bookmarkStart w:id="1991" w:name="ver_30076032"/>
      <w:bookmarkEnd w:id="1991"/>
    </w:p>
    <w:p w14:paraId="475386E4" w14:textId="32871B96" w:rsidR="00FC79C1" w:rsidRPr="009342F9" w:rsidRDefault="00FC79C1" w:rsidP="004E2147">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SECCIÓN 2</w:t>
      </w:r>
    </w:p>
    <w:p w14:paraId="6A6AA40E" w14:textId="77777777" w:rsidR="00FC79C1" w:rsidRPr="009342F9" w:rsidRDefault="00FC79C1" w:rsidP="004E2147">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NATURALEZA Y OPERACIÓN DE LOS FONDOS DE SOLIDARIDAD Y REDISTRIBUCIÓN DE INGRESOS</w:t>
      </w:r>
    </w:p>
    <w:p w14:paraId="18249504"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1992" w:name="ver_30076033"/>
      <w:bookmarkEnd w:id="1992"/>
    </w:p>
    <w:p w14:paraId="4E756B7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2.3.4.1.2.4. Naturaleza de los Fondos de Solidaridad y Redistribución de Ingresos para los servicios de acueducto, alcantarillado y aseo. Los Fondos de Solidaridad y Redistribución de Ingresos, que de acuerdo con la Ley 142 de 1994 deben constituir los concejos municipales y </w:t>
      </w:r>
      <w:r w:rsidRPr="009342F9">
        <w:rPr>
          <w:rFonts w:ascii="Arial" w:eastAsia="Times New Roman" w:hAnsi="Arial" w:cs="Arial"/>
          <w:color w:val="000000"/>
          <w:lang w:eastAsia="es-CO"/>
        </w:rPr>
        <w:lastRenderedPageBreak/>
        <w:t>distritales y las asambleas, serán cuentas especiales dentro de la contabilidad de los municipios, distritos y departamentos, a través de las cuales se contabilizarán exclusivamente los recursos destinados a otorgar subsidios a los servicios públicos domiciliarios. </w:t>
      </w:r>
    </w:p>
    <w:p w14:paraId="09A8396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5AEEC5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Dentro de cada Fondo creado se llevará la contabilidad separada por cada servicio prestado en el municipio o distrito y al interior de ellos no podrán hacerse transferencias de recursos entre servicios. </w:t>
      </w:r>
    </w:p>
    <w:p w14:paraId="0D62E295" w14:textId="2FE3E474"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993" w:name="ver_30076034"/>
      <w:bookmarkEnd w:id="1993"/>
    </w:p>
    <w:p w14:paraId="259B1F2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2.3.4.1.2.5. Determinación del monto de subsidios. Cada entidad prestadora de los servicios públicos deberá comunicar a la Secretaría de Hacienda respectiva o a quien haga sus veces en la preparación del anteproyecto de presupuesto municipal, distrital o departamental, los requerimientos anuales de subsidios para cada servicio que preste. Así mismo, comunicará los estimativos de recaudo por aporte solidario. </w:t>
      </w:r>
    </w:p>
    <w:p w14:paraId="4E60A4F0" w14:textId="5A489258"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994" w:name="ver_30076035"/>
      <w:bookmarkEnd w:id="1994"/>
    </w:p>
    <w:p w14:paraId="6CA4581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2.3.4.1.2.6. Criterios de asignación. El </w:t>
      </w:r>
      <w:proofErr w:type="gramStart"/>
      <w:r w:rsidRPr="009342F9">
        <w:rPr>
          <w:rFonts w:ascii="Arial" w:eastAsia="Times New Roman" w:hAnsi="Arial" w:cs="Arial"/>
          <w:color w:val="000000"/>
          <w:lang w:eastAsia="es-CO"/>
        </w:rPr>
        <w:t>Alcalde</w:t>
      </w:r>
      <w:proofErr w:type="gramEnd"/>
      <w:r w:rsidRPr="009342F9">
        <w:rPr>
          <w:rFonts w:ascii="Arial" w:eastAsia="Times New Roman" w:hAnsi="Arial" w:cs="Arial"/>
          <w:color w:val="000000"/>
          <w:lang w:eastAsia="es-CO"/>
        </w:rPr>
        <w:t xml:space="preserve"> municipal o distrital o el Gobernador, según sea el caso, definirán los criterios con los cuales deberán asignarse los recursos destinados a sufragar los subsidios, en concordancia con lo establecido por la Ley 142 de 1994 y por este capítulo. </w:t>
      </w:r>
    </w:p>
    <w:p w14:paraId="77D3459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F217B5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Parágrafo: Cuando el monto de los recursos aprobado por las autoridades competentes en el Fondo de Solidaridad no sea suficiente para cubrir la totalidad de los subsidios previstos, la entidad prestadora de los servicios públicos </w:t>
      </w:r>
      <w:proofErr w:type="gramStart"/>
      <w:r w:rsidRPr="009342F9">
        <w:rPr>
          <w:rFonts w:ascii="Arial" w:eastAsia="Times New Roman" w:hAnsi="Arial" w:cs="Arial"/>
          <w:color w:val="000000"/>
          <w:lang w:eastAsia="es-CO"/>
        </w:rPr>
        <w:t>domiciliarios,</w:t>
      </w:r>
      <w:proofErr w:type="gramEnd"/>
      <w:r w:rsidRPr="009342F9">
        <w:rPr>
          <w:rFonts w:ascii="Arial" w:eastAsia="Times New Roman" w:hAnsi="Arial" w:cs="Arial"/>
          <w:color w:val="000000"/>
          <w:lang w:eastAsia="es-CO"/>
        </w:rPr>
        <w:t xml:space="preserve"> deberá prever el plan de ajuste tarifario requerido. </w:t>
      </w:r>
    </w:p>
    <w:p w14:paraId="21FB03A3" w14:textId="0B782F9E"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995" w:name="ver_30076036"/>
      <w:bookmarkEnd w:id="1995"/>
    </w:p>
    <w:p w14:paraId="35C74CAC" w14:textId="77777777" w:rsidR="00FC79C1" w:rsidRPr="009342F9" w:rsidRDefault="00FC79C1" w:rsidP="00FC79C1">
      <w:pPr>
        <w:spacing w:after="0" w:line="240" w:lineRule="auto"/>
        <w:ind w:left="1"/>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2.3.4.1.2.7. Contabilidad interna. Las entidades prestadoras de los servicios públicos domiciliarios deberán llevar cuentas detalladas de las sumas recaudadas y de las recibidas por transferencias de otras entidades con destino a los Fondos de Solidaridad y Redistribución de Ingresos, y de su aplicación. </w:t>
      </w:r>
    </w:p>
    <w:p w14:paraId="39D52EC3" w14:textId="77777777" w:rsidR="00FC79C1" w:rsidRPr="009342F9" w:rsidRDefault="00FC79C1" w:rsidP="00FC79C1">
      <w:pPr>
        <w:spacing w:after="0" w:line="240" w:lineRule="auto"/>
        <w:ind w:left="1"/>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26FC53B" w14:textId="77777777" w:rsidR="00FC79C1" w:rsidRPr="009342F9" w:rsidRDefault="00FC79C1" w:rsidP="00FC79C1">
      <w:pPr>
        <w:spacing w:after="0" w:line="240" w:lineRule="auto"/>
        <w:ind w:left="1"/>
        <w:jc w:val="both"/>
        <w:rPr>
          <w:rFonts w:ascii="Arial" w:eastAsia="Times New Roman" w:hAnsi="Arial" w:cs="Arial"/>
          <w:color w:val="000000"/>
          <w:lang w:eastAsia="es-CO"/>
        </w:rPr>
      </w:pPr>
      <w:r w:rsidRPr="009342F9">
        <w:rPr>
          <w:rFonts w:ascii="Arial" w:eastAsia="Times New Roman" w:hAnsi="Arial" w:cs="Arial"/>
          <w:color w:val="000000"/>
          <w:lang w:eastAsia="es-CO"/>
        </w:rPr>
        <w:t>Si la entidad presta servicios en varios municipios, las cuentas internas y la contabilidad deberán, además, llevarse en forma separada para cada municipio. </w:t>
      </w:r>
    </w:p>
    <w:p w14:paraId="54EE52D5" w14:textId="77777777" w:rsidR="00FC79C1" w:rsidRPr="009342F9" w:rsidRDefault="00FC79C1" w:rsidP="00FC79C1">
      <w:pPr>
        <w:spacing w:after="0" w:line="240" w:lineRule="auto"/>
        <w:ind w:left="1"/>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5EC8C85" w14:textId="77777777" w:rsidR="00FC79C1" w:rsidRPr="009342F9" w:rsidRDefault="00FC79C1" w:rsidP="00FC79C1">
      <w:pPr>
        <w:spacing w:after="0" w:line="240" w:lineRule="auto"/>
        <w:ind w:left="1"/>
        <w:jc w:val="both"/>
        <w:rPr>
          <w:rFonts w:ascii="Arial" w:eastAsia="Times New Roman" w:hAnsi="Arial" w:cs="Arial"/>
          <w:color w:val="000000"/>
          <w:lang w:eastAsia="es-CO"/>
        </w:rPr>
      </w:pPr>
      <w:r w:rsidRPr="009342F9">
        <w:rPr>
          <w:rFonts w:ascii="Arial" w:eastAsia="Times New Roman" w:hAnsi="Arial" w:cs="Arial"/>
          <w:color w:val="000000"/>
          <w:lang w:eastAsia="es-CO"/>
        </w:rPr>
        <w:t>Si en un municipio un mismo servicio es prestado por diferentes entidades cada una de ellas deberá llevar la contabilidad de aportes solidarios y subsidios de su zona o área de servicio. </w:t>
      </w:r>
    </w:p>
    <w:p w14:paraId="081C8079" w14:textId="2C3B5BC3" w:rsidR="00FC79C1" w:rsidRPr="009342F9" w:rsidRDefault="00FC79C1" w:rsidP="00E476D9">
      <w:pPr>
        <w:spacing w:after="0" w:line="240" w:lineRule="auto"/>
        <w:ind w:left="1"/>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996" w:name="ver_30076037"/>
      <w:bookmarkEnd w:id="1996"/>
    </w:p>
    <w:p w14:paraId="48795A01" w14:textId="77777777" w:rsidR="00FC79C1" w:rsidRPr="009342F9" w:rsidRDefault="00FC79C1" w:rsidP="00FC79C1">
      <w:pPr>
        <w:spacing w:after="0" w:line="240" w:lineRule="auto"/>
        <w:ind w:left="1"/>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2.3.4.1.2.8. Procedimiento interno. Las entidades prestadoras de los servicios públicos domiciliarios, mensual o bimestralmente, o según el período de facturación, efectuarán el cálculo de subsidios y aportes solidarios. La diferencia entre aportes solidarios y subsidios generará déficit o superávit. </w:t>
      </w:r>
    </w:p>
    <w:p w14:paraId="72F6BB49" w14:textId="73F2568E" w:rsidR="00FC79C1" w:rsidRPr="009342F9" w:rsidRDefault="00FC79C1" w:rsidP="00E476D9">
      <w:pPr>
        <w:spacing w:after="0" w:line="240" w:lineRule="auto"/>
        <w:ind w:left="1"/>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997" w:name="ver_30076038"/>
      <w:bookmarkEnd w:id="1997"/>
    </w:p>
    <w:p w14:paraId="7E7BC89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2.3.4.1.2.9. Manejo de los superávits. Los superávits resultantes del cruce de que trata el artículo </w:t>
      </w:r>
      <w:proofErr w:type="gramStart"/>
      <w:r w:rsidRPr="009342F9">
        <w:rPr>
          <w:rFonts w:ascii="Arial" w:eastAsia="Times New Roman" w:hAnsi="Arial" w:cs="Arial"/>
          <w:color w:val="000000"/>
          <w:lang w:eastAsia="es-CO"/>
        </w:rPr>
        <w:t>anterior,</w:t>
      </w:r>
      <w:proofErr w:type="gramEnd"/>
      <w:r w:rsidRPr="009342F9">
        <w:rPr>
          <w:rFonts w:ascii="Arial" w:eastAsia="Times New Roman" w:hAnsi="Arial" w:cs="Arial"/>
          <w:color w:val="000000"/>
          <w:lang w:eastAsia="es-CO"/>
        </w:rPr>
        <w:t xml:space="preserve"> ingresarán al Fondo de Solidaridad y Redistribución de Ingresos municipal, distrital o departamental, según sea el caso. </w:t>
      </w:r>
    </w:p>
    <w:p w14:paraId="6DCA616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806A61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Cuando las entidades prestadoras de los servicios públicos desarrollen sus actividades en varios municipios de un mismo departamento, los superávits deberán ingresar a los Fondos de Solidaridad y Redistribución de Ingresos del municipio donde éstos se generen. </w:t>
      </w:r>
    </w:p>
    <w:p w14:paraId="021DE6A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026F7B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Los recursos provenientes de aportes solidarios que constituyan superávit del Fondo de Solidaridad y Redistribución de </w:t>
      </w:r>
      <w:proofErr w:type="gramStart"/>
      <w:r w:rsidRPr="009342F9">
        <w:rPr>
          <w:rFonts w:ascii="Arial" w:eastAsia="Times New Roman" w:hAnsi="Arial" w:cs="Arial"/>
          <w:color w:val="000000"/>
          <w:lang w:eastAsia="es-CO"/>
        </w:rPr>
        <w:t>Ingresos,</w:t>
      </w:r>
      <w:proofErr w:type="gramEnd"/>
      <w:r w:rsidRPr="009342F9">
        <w:rPr>
          <w:rFonts w:ascii="Arial" w:eastAsia="Times New Roman" w:hAnsi="Arial" w:cs="Arial"/>
          <w:color w:val="000000"/>
          <w:lang w:eastAsia="es-CO"/>
        </w:rPr>
        <w:t xml:space="preserve"> se distribuirán según lo dispuesto en este capítulo. </w:t>
      </w:r>
    </w:p>
    <w:p w14:paraId="34AD0FB4" w14:textId="44DB9A5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998" w:name="ver_30076039"/>
      <w:bookmarkEnd w:id="1998"/>
    </w:p>
    <w:p w14:paraId="6E404CE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Artículo 2.3.4.1.2.10. Transferencias efectivas de las entidades prestadoras de los servicios públicos. Las transferencias efectivas de dinero de las entidades prestadoras de servicios públicos a los Fondos de Solidaridad y Redistribución de Ingresos por concepto de «aportes solidarios» sólo ocurrirán cuando se presenten superávits, después de aplicar internamente los recursos necesarios para otorgar subsidios. </w:t>
      </w:r>
    </w:p>
    <w:p w14:paraId="33D2EB9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DA5108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 entidad territorial y la empresa prestadora de servicios públicos definirán el mecanismo más idóneo para garantizar que la transferencia de que trata el inciso anterior se haga efectiva, estableciendo entre otros, los intereses de mora por el no giro oportuno. </w:t>
      </w:r>
    </w:p>
    <w:p w14:paraId="007874A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820AB9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Los superávits en empresas privadas o mixtas prestadoras de los servicios de acueducto, alcantarillado y aseo, se destinarán a los Fondos de Solidaridad y Redistribución de Ingresos del municipio, distrito o departamento correspondiente, y serán transferidos mensualmente, de acuerdo con los mecanismos que establezca la Comisión de Regulación de Agua Potable y Saneamiento Básico. </w:t>
      </w:r>
    </w:p>
    <w:p w14:paraId="2DF4C275" w14:textId="51DD81CE"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1999" w:name="ver_30076040"/>
      <w:bookmarkEnd w:id="1999"/>
    </w:p>
    <w:p w14:paraId="21D4D9F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2.3.4.1.2.11. Transferencias de dinero de las entidades territoriales. Las transferencias de dinero de las entidades territoriales a los Fondos de Solidaridad y Redistribución de Ingresos por concepto de </w:t>
      </w:r>
      <w:proofErr w:type="gramStart"/>
      <w:r w:rsidRPr="009342F9">
        <w:rPr>
          <w:rFonts w:ascii="Arial" w:eastAsia="Times New Roman" w:hAnsi="Arial" w:cs="Arial"/>
          <w:color w:val="000000"/>
          <w:lang w:eastAsia="es-CO"/>
        </w:rPr>
        <w:t>subsidios,</w:t>
      </w:r>
      <w:proofErr w:type="gramEnd"/>
      <w:r w:rsidRPr="009342F9">
        <w:rPr>
          <w:rFonts w:ascii="Arial" w:eastAsia="Times New Roman" w:hAnsi="Arial" w:cs="Arial"/>
          <w:color w:val="000000"/>
          <w:lang w:eastAsia="es-CO"/>
        </w:rPr>
        <w:t xml:space="preserve"> deberán ser giradas a la entidad prestadora del servicio público para la aplicación de los subsidios, en un plazo de treinta días, contados desde la misma fecha en que la entidad prestadora expida la factura a cargo del municipio (artículo 99.8 de la Ley 142 de 1994). </w:t>
      </w:r>
    </w:p>
    <w:p w14:paraId="7DB9F1C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17D497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Para asegurar esta transferencia, los recursos destinados a otorgar subsidios, y que provengan de las tesorerías de las entidades territoriales, deberán ceñirse en su manejo a lo que se estipule en el contrato que para el efecto debe suscribirse entre el municipio, distrito, o departamento y las entidades encargadas de la prestación de los servicios públicos, en el que, entre otros, se establecerán los intereses de mora. </w:t>
      </w:r>
    </w:p>
    <w:p w14:paraId="1E7842E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6AB8E9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Los alcaldes y concejales deberán dar prioridad a las apropiaciones para los servicios de acueducto y alcantarillado, sobre otros gastos que no sean indispensables para el funcionamiento del ente territorial respectivo (artículo 99.5 de la Ley 142 de 1994). </w:t>
      </w:r>
    </w:p>
    <w:p w14:paraId="3910A29B" w14:textId="3C39D7B0"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000" w:name="ver_30076041"/>
      <w:bookmarkEnd w:id="2000"/>
    </w:p>
    <w:p w14:paraId="4E3AE0E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2.3.4.1.2.12. Responsabilidad del recaudo de los aportes solidarios. El recaudo de los aportes solidarios será responsabilidad de las entidades prestadoras de los servicios públicos en cada municipio, distrito, o departamento. Estas mismas entidades se encargarán de repartir los subsidios y de manejar los recursos de los Fondos de Solidaridad y Redistribución de Ingresos en una cuenta separada, claramente diferenciada del resto de sus ingresos, y con una contabilidad propia. </w:t>
      </w:r>
    </w:p>
    <w:p w14:paraId="30F01E74" w14:textId="57981B80"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001" w:name="ver_30076042"/>
      <w:bookmarkEnd w:id="2001"/>
    </w:p>
    <w:p w14:paraId="06CD1D7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2.3.4.1.2.13. Normas para los recaudos. Los recursos de los Fondos de Solidaridad y Redistribución de Ingresos son públicos. Por lo tanto, quienes hagan sus recaudos estarán sujetos a las normas sobre declaración y sanciones que se aplican a los retenedores en el Decreto 624 de 1989 y en las normas que lo sustituyan. Deberán hacerse devoluciones en el momento en que el usuario demuestre su derecho (artículo 89.6 de la Ley 142 de 1994). </w:t>
      </w:r>
    </w:p>
    <w:p w14:paraId="70116D6A" w14:textId="5FA469BD" w:rsidR="004E2147"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002" w:name="ver_30076043"/>
      <w:bookmarkEnd w:id="2002"/>
    </w:p>
    <w:p w14:paraId="3AB93156" w14:textId="42C3E412" w:rsidR="00FC79C1" w:rsidRPr="009342F9" w:rsidRDefault="00FC79C1" w:rsidP="004E2147">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SECCIÓN 3</w:t>
      </w:r>
    </w:p>
    <w:p w14:paraId="6DA68F79" w14:textId="77777777" w:rsidR="00FC79C1" w:rsidRPr="009342F9" w:rsidRDefault="00FC79C1" w:rsidP="004E2147">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FUENTES DE RECURSOS PARA OTORGAR SUBSIDIOS A TRAVÉS DE LOS FONDOS DE SOLIDARIDAD Y REDISTRIBUCIÓN DE INGRESOS</w:t>
      </w:r>
    </w:p>
    <w:p w14:paraId="29DB0FFE"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2003" w:name="ver_30076044"/>
      <w:bookmarkEnd w:id="2003"/>
    </w:p>
    <w:p w14:paraId="540140A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Artículo 2.3.4.1.3.14. Fuentes de los recursos para otorgar los subsidios a través de los Fondos de Solidaridad y Redistribución de Ingresos. Podrán utilizarse como fuentes para el otorgamiento de los subsidios las siguientes: </w:t>
      </w:r>
    </w:p>
    <w:p w14:paraId="4F19A45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5C2E33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 Los recursos provenientes de los aportes solidarios definidos en el artículo 2.3.4.1.1.1 de este capítulo, podrán ser administrados por las entidades prestadoras de los servicios públicos domiciliarios; </w:t>
      </w:r>
    </w:p>
    <w:p w14:paraId="4092A81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5484E2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b) Los recursos obtenidos de otros Fondos de Solidaridad y Redistribución de Ingresos del orden municipal, distrital y departamental; </w:t>
      </w:r>
    </w:p>
    <w:p w14:paraId="51EB246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4E0756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 Recursos provenientes de la participación de los municipios en los ingresos corrientes de la Nación, tanto los correspondientes a libre inversión como los que deben destinarse al sector (Ley 60 de 1993); </w:t>
      </w:r>
    </w:p>
    <w:p w14:paraId="7204150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1A6B07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d) Recursos provenientes del 10% del impuesto predial unificado al que se refiere el artículo 7 de la Ley 44 de 1990, para los servicios de acueducto, alcantarillado y aseo; </w:t>
      </w:r>
    </w:p>
    <w:p w14:paraId="12CD7F4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097C44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 Recursos provenientes de las regalías por concepto de explotación de recursos naturales no renovables de propiedad del Estado, de acuerdo con la Ley 141 de 1994; </w:t>
      </w:r>
    </w:p>
    <w:p w14:paraId="095154E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031C5B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f) Recursos presupuestales de las entidades descentralizadas del orden nacional o territorial (artículo 368 de la Constitución Nacional); </w:t>
      </w:r>
    </w:p>
    <w:p w14:paraId="607A6A4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34CD2A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g) Otros recursos presupuestales a los que se refiere el artículo 89.8 de la Ley 142 de 1994. </w:t>
      </w:r>
    </w:p>
    <w:p w14:paraId="45394F5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ningún caso se utilizarán recursos del crédito para atender subsidios (artículo 100 de la Ley 142 de 1994). </w:t>
      </w:r>
    </w:p>
    <w:p w14:paraId="68DBCF02" w14:textId="7D4CF8AC" w:rsidR="004E2147"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3BB3F0D" w14:textId="77777777" w:rsidR="00FC79C1" w:rsidRPr="009342F9" w:rsidRDefault="00FC79C1" w:rsidP="004E2147">
      <w:pPr>
        <w:spacing w:after="0" w:line="240" w:lineRule="auto"/>
        <w:jc w:val="center"/>
        <w:rPr>
          <w:rFonts w:ascii="Arial" w:eastAsia="Times New Roman" w:hAnsi="Arial" w:cs="Arial"/>
          <w:b/>
          <w:bCs/>
          <w:color w:val="000000"/>
          <w:lang w:eastAsia="es-CO"/>
        </w:rPr>
      </w:pPr>
      <w:bookmarkStart w:id="2004" w:name="ver_30076045"/>
      <w:bookmarkEnd w:id="2004"/>
      <w:r w:rsidRPr="009342F9">
        <w:rPr>
          <w:rFonts w:ascii="Arial" w:eastAsia="Times New Roman" w:hAnsi="Arial" w:cs="Arial"/>
          <w:b/>
          <w:bCs/>
          <w:color w:val="000000"/>
          <w:lang w:eastAsia="es-CO"/>
        </w:rPr>
        <w:t>SECCIÓN 4</w:t>
      </w:r>
    </w:p>
    <w:p w14:paraId="116E8E85" w14:textId="77777777" w:rsidR="00FC79C1" w:rsidRPr="009342F9" w:rsidRDefault="00FC79C1" w:rsidP="004E2147">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SUPERÁVIT DE LOS FONDOS DE SOLIDARIDAD Y REDISTRIBUCIÓN DE INGRESOS</w:t>
      </w:r>
    </w:p>
    <w:p w14:paraId="595E5204"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2005" w:name="ver_30076046"/>
      <w:bookmarkEnd w:id="2005"/>
    </w:p>
    <w:p w14:paraId="127D4B2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2.3.4.1.4.15. Reparto de los superávits de los Fondos de Solidaridad y Redistribución de Ingresos. Los superávits en los Fondos de Solidaridad y Redistribución de Ingresos por concepto de aportes </w:t>
      </w:r>
      <w:proofErr w:type="gramStart"/>
      <w:r w:rsidRPr="009342F9">
        <w:rPr>
          <w:rFonts w:ascii="Arial" w:eastAsia="Times New Roman" w:hAnsi="Arial" w:cs="Arial"/>
          <w:color w:val="000000"/>
          <w:lang w:eastAsia="es-CO"/>
        </w:rPr>
        <w:t>solidarios,</w:t>
      </w:r>
      <w:proofErr w:type="gramEnd"/>
      <w:r w:rsidRPr="009342F9">
        <w:rPr>
          <w:rFonts w:ascii="Arial" w:eastAsia="Times New Roman" w:hAnsi="Arial" w:cs="Arial"/>
          <w:color w:val="000000"/>
          <w:lang w:eastAsia="es-CO"/>
        </w:rPr>
        <w:t xml:space="preserve"> serán destinados exclusivamente a cubrir los déficits en subsidios, y se repartirán de la siguiente manera: </w:t>
      </w:r>
    </w:p>
    <w:p w14:paraId="6BB8FFF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341918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Se destinarán a empresas deficitarias en subsidios, de igual naturaleza y servicio que la que origina el superávit, y que cumplan sus actividades en la misma entidad territorial al de la empresa aportante. </w:t>
      </w:r>
    </w:p>
    <w:p w14:paraId="7578FBB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D5DE8E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Si después de atender estos requerimientos se presentan superávits, éstos se destinarán a Fondos de Solidaridad y Redistribución de Ingresos de municipios, distritos o departamentos limítrofes respectivamente, que hayan arrojado déficit para cubrir los subsidios, con destino a empresas de igual naturaleza y servicio que la que origina el superávit. Los repartos se harán </w:t>
      </w:r>
      <w:proofErr w:type="gramStart"/>
      <w:r w:rsidRPr="009342F9">
        <w:rPr>
          <w:rFonts w:ascii="Arial" w:eastAsia="Times New Roman" w:hAnsi="Arial" w:cs="Arial"/>
          <w:color w:val="000000"/>
          <w:lang w:eastAsia="es-CO"/>
        </w:rPr>
        <w:t>de acuerdo a</w:t>
      </w:r>
      <w:proofErr w:type="gramEnd"/>
      <w:r w:rsidRPr="009342F9">
        <w:rPr>
          <w:rFonts w:ascii="Arial" w:eastAsia="Times New Roman" w:hAnsi="Arial" w:cs="Arial"/>
          <w:color w:val="000000"/>
          <w:lang w:eastAsia="es-CO"/>
        </w:rPr>
        <w:t xml:space="preserve"> los mecanismos y criterios que establezca la Comisión de Regulación de Agua Potable y Saneamiento Básico. </w:t>
      </w:r>
    </w:p>
    <w:p w14:paraId="54C2D2DA" w14:textId="2B268C4E"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006" w:name="ver_30076047"/>
      <w:bookmarkEnd w:id="2006"/>
    </w:p>
    <w:p w14:paraId="511FCF6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2.3.4.1.4.16. Distinción en las facturas de los aportes solidarios y de los subsidios. Para dar cumplimiento con lo establecido en el artículo 89 de la Ley 142 de 1994, las entidades prestadoras de servicios públicos domiciliarios deben distinguir entre el valor que corresponden al costo económico de referencia del servicio y los que corresponde a subsidios y a aportes </w:t>
      </w:r>
      <w:r w:rsidRPr="009342F9">
        <w:rPr>
          <w:rFonts w:ascii="Arial" w:eastAsia="Times New Roman" w:hAnsi="Arial" w:cs="Arial"/>
          <w:color w:val="000000"/>
          <w:lang w:eastAsia="es-CO"/>
        </w:rPr>
        <w:lastRenderedPageBreak/>
        <w:t>solidarios. Esta distinción se presentará en las facturas de los suscriptores de los servicios públicos domiciliarios. </w:t>
      </w:r>
    </w:p>
    <w:p w14:paraId="723D6717" w14:textId="645B2AC5" w:rsidR="004E2147"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007" w:name="ver_30076048"/>
      <w:bookmarkEnd w:id="2007"/>
    </w:p>
    <w:p w14:paraId="6673DFCA" w14:textId="53A168C6" w:rsidR="00FC79C1" w:rsidRPr="009342F9" w:rsidRDefault="00FC79C1" w:rsidP="004E2147">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SECCIÓN 5</w:t>
      </w:r>
    </w:p>
    <w:p w14:paraId="065D28E5" w14:textId="77777777" w:rsidR="00FC79C1" w:rsidRPr="009342F9" w:rsidRDefault="00FC79C1" w:rsidP="004E2147">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INFORMES SOBRE EL MANEJO DE LOS FONDOS DE SOLIDARIDAD Y</w:t>
      </w:r>
    </w:p>
    <w:p w14:paraId="3EF68ADF" w14:textId="77777777" w:rsidR="00FC79C1" w:rsidRPr="009342F9" w:rsidRDefault="00FC79C1" w:rsidP="004E2147">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REDISTRIBUCIÓN DE INGRESOS</w:t>
      </w:r>
    </w:p>
    <w:p w14:paraId="133A50E6"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2008" w:name="ver_30076049"/>
      <w:bookmarkEnd w:id="2008"/>
    </w:p>
    <w:p w14:paraId="3F3E50C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2.3.4.1.5.17. Informes. Las entidades prestadoras de los servicios públicos domiciliarios deberán informar a la comunidad, a través de medios de información masiva y por lo menos una vez al año, la utilización de manera precisa que dieron de los subsidios presupuestales (artículo 53 de la Ley 142 de 1994). </w:t>
      </w:r>
    </w:p>
    <w:p w14:paraId="0E01C273" w14:textId="00E42DB4" w:rsidR="00FC79C1" w:rsidRPr="009342F9" w:rsidRDefault="00FC79C1" w:rsidP="00E476D9">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48D7D8E" w14:textId="77777777" w:rsidR="00FC79C1" w:rsidRPr="009342F9" w:rsidRDefault="00FC79C1" w:rsidP="004E2147">
      <w:pPr>
        <w:spacing w:after="0" w:line="240" w:lineRule="auto"/>
        <w:jc w:val="center"/>
        <w:rPr>
          <w:rFonts w:ascii="Arial" w:eastAsia="Times New Roman" w:hAnsi="Arial" w:cs="Arial"/>
          <w:b/>
          <w:bCs/>
          <w:color w:val="000000"/>
          <w:lang w:eastAsia="es-CO"/>
        </w:rPr>
      </w:pPr>
      <w:bookmarkStart w:id="2009" w:name="ver_30076050"/>
      <w:bookmarkEnd w:id="2009"/>
      <w:r w:rsidRPr="009342F9">
        <w:rPr>
          <w:rFonts w:ascii="Arial" w:eastAsia="Times New Roman" w:hAnsi="Arial" w:cs="Arial"/>
          <w:b/>
          <w:bCs/>
          <w:color w:val="000000"/>
          <w:lang w:eastAsia="es-CO"/>
        </w:rPr>
        <w:t>CAPÍTULO 2</w:t>
      </w:r>
    </w:p>
    <w:p w14:paraId="7316B13C" w14:textId="77777777" w:rsidR="00FC79C1" w:rsidRPr="009342F9" w:rsidRDefault="00FC79C1" w:rsidP="004E2147">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METODOLOGÍA PARA LA DETERMINACIÓN DEL EQUILIBRIO ENTRE LOS SUBSIDIOS Y LAS CONTRIBUCIONES PARA LOS SERVICIOS PÚBLICOS DOMICILIARIOS DE ACUEDUCTO, ALCANTARILLADO Y ASEO</w:t>
      </w:r>
    </w:p>
    <w:p w14:paraId="489A465A"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2010" w:name="ver_30110824"/>
      <w:bookmarkEnd w:id="2010"/>
    </w:p>
    <w:p w14:paraId="6189D8C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2.3.4.2.1. Ámbito de aplicación. La metodología que se establece en el presente </w:t>
      </w:r>
      <w:proofErr w:type="gramStart"/>
      <w:r w:rsidRPr="009342F9">
        <w:rPr>
          <w:rFonts w:ascii="Arial" w:eastAsia="Times New Roman" w:hAnsi="Arial" w:cs="Arial"/>
          <w:color w:val="000000"/>
          <w:lang w:eastAsia="es-CO"/>
        </w:rPr>
        <w:t>capítulo,</w:t>
      </w:r>
      <w:proofErr w:type="gramEnd"/>
      <w:r w:rsidRPr="009342F9">
        <w:rPr>
          <w:rFonts w:ascii="Arial" w:eastAsia="Times New Roman" w:hAnsi="Arial" w:cs="Arial"/>
          <w:color w:val="000000"/>
          <w:lang w:eastAsia="es-CO"/>
        </w:rPr>
        <w:t xml:space="preserve"> se aplica a todas las personas prestadoras de los servicios públicos domiciliarios de acueducto, alcantarillado y aseo, así como a los municipios y distritos como los entes responsables de garantizar la prestación eficiente de los mismos. </w:t>
      </w:r>
    </w:p>
    <w:p w14:paraId="42D0B106" w14:textId="5CF68BE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011" w:name="ver_30110825"/>
      <w:bookmarkStart w:id="2012" w:name="ver_30110823"/>
      <w:bookmarkEnd w:id="2011"/>
    </w:p>
    <w:p w14:paraId="5B24158F" w14:textId="0D88231F"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2.3.4.2.2.</w:t>
      </w:r>
      <w:r w:rsidR="00EE4153">
        <w:rPr>
          <w:rFonts w:ascii="Arial" w:eastAsia="Times New Roman" w:hAnsi="Arial" w:cs="Arial"/>
          <w:color w:val="000000"/>
          <w:lang w:eastAsia="es-CO"/>
        </w:rPr>
        <w:t xml:space="preserve"> </w:t>
      </w:r>
      <w:r w:rsidRPr="009342F9">
        <w:rPr>
          <w:rFonts w:ascii="Arial" w:eastAsia="Times New Roman" w:hAnsi="Arial" w:cs="Arial"/>
          <w:color w:val="000000"/>
          <w:lang w:eastAsia="es-CO"/>
        </w:rPr>
        <w:t xml:space="preserve">Metodología para la determinación del equilibrio. La presente metodología deberá llevarse a cabo cada año para asegurar </w:t>
      </w:r>
      <w:proofErr w:type="gramStart"/>
      <w:r w:rsidRPr="009342F9">
        <w:rPr>
          <w:rFonts w:ascii="Arial" w:eastAsia="Times New Roman" w:hAnsi="Arial" w:cs="Arial"/>
          <w:color w:val="000000"/>
          <w:lang w:eastAsia="es-CO"/>
        </w:rPr>
        <w:t>que</w:t>
      </w:r>
      <w:proofErr w:type="gramEnd"/>
      <w:r w:rsidRPr="009342F9">
        <w:rPr>
          <w:rFonts w:ascii="Arial" w:eastAsia="Times New Roman" w:hAnsi="Arial" w:cs="Arial"/>
          <w:color w:val="000000"/>
          <w:lang w:eastAsia="es-CO"/>
        </w:rPr>
        <w:t xml:space="preserve"> para cada uno de los servicios, el monto total de las diferentes clases de contribuciones sea suficiente para cubrir el monto total de los subsidios que se otorguen en cada municipio o Distrito por parte del respectivo concejo municipal o distrital, según sea el caso, y se mantenga el equilibrio. Esta metodología corresponde a la descrita en los siguientes numerales:  </w:t>
      </w:r>
    </w:p>
    <w:p w14:paraId="125BFBC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DD59E5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Antes del 15 de julio de cada año, todas las personas prestadoras de cada uno de los servicios de acueducto, alcantarillado y aseo, de acuerdo con la proyección de usuarios y consumos, la estructura tarifaria vigente, y el porcentaje o factor de aporte solidario aplicado en el año respectivo, presentarán al Alcalde, por conducto de la dependencia que administra el Fondo de Solidaridad y Redistribución de Ingresos del respectivo municipio o distrito, según sea el caso, una estimación para el año siguiente del monto total de los recursos potenciales a recaudar por concepto de aportes solidarios, así como la información del número total de usuarios atendidos, discriminados por servicio, estrato y uso, y para los servicios de acueducto y alcantarillado, la desagregación de consumos y vertimientos, respectivamente, según rango básico, complementario o suntuario.  </w:t>
      </w:r>
    </w:p>
    <w:p w14:paraId="37281BD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8BFDAF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el servicio público de aseo deberá incluir todas las actividades complementarias, incluido el aprovechamiento, y se reportarán adicionalmente los resultados del aforo de los Grandes Generadores y la información de los Pequeños Productores y Multiusuarios que lo hayan solicitado.  </w:t>
      </w:r>
    </w:p>
    <w:p w14:paraId="134139B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84FC32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Las personas prestadoras de cada uno de los servicios de que trata el presente capítulo, de acuerdo con la estructura tarifaria vigente y con los porcentajes de subsidios otorgados para el año respectivo por el municipio o distrito, estimarán cada año los montos totales de la siguiente vigencia correspondientes a la suma de los subsidios necesarios a otorgar por estrato y para cada servicio.  </w:t>
      </w:r>
    </w:p>
    <w:p w14:paraId="36FD6B7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310304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xml:space="preserve">3. Con la información obtenida según lo indicado en los numerales anteriores, las personas prestadoras de cada uno de los servicios de que trata el presente </w:t>
      </w:r>
      <w:proofErr w:type="gramStart"/>
      <w:r w:rsidRPr="009342F9">
        <w:rPr>
          <w:rFonts w:ascii="Arial" w:eastAsia="Times New Roman" w:hAnsi="Arial" w:cs="Arial"/>
          <w:color w:val="000000"/>
          <w:lang w:eastAsia="es-CO"/>
        </w:rPr>
        <w:t>capítulo,</w:t>
      </w:r>
      <w:proofErr w:type="gramEnd"/>
      <w:r w:rsidRPr="009342F9">
        <w:rPr>
          <w:rFonts w:ascii="Arial" w:eastAsia="Times New Roman" w:hAnsi="Arial" w:cs="Arial"/>
          <w:color w:val="000000"/>
          <w:lang w:eastAsia="es-CO"/>
        </w:rPr>
        <w:t xml:space="preserve"> establecerán el valor de la diferencia entre el monto total de subsidios requerido para cada servicio y la suma de los aportes solidarios a facturar, cuyo resultado representará el monto total de los recursos necesarios para obtener el equilibrio.  </w:t>
      </w:r>
    </w:p>
    <w:p w14:paraId="0F183C2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FC783E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Con base en dicho resultado, las personas prestadoras de los servicios presentarán la solicitud del monto requerido para cada servicio al alcalde municipal o distrital, según sea el caso, por conducto de la dependencia que administra el fondo de solidaridad y redistribución de ingresos.  </w:t>
      </w:r>
    </w:p>
    <w:p w14:paraId="141BD41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AA43F6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 Recibida por parte del alcalde municipal o distrital la solicitud o solicitudes de que trata el numeral anterior, procederá a analizarlas y a preparar un proyecto consolidado sobre el particular para ser presentado a discusión y aprobación del concejo municipal o distrital, quien, conjuntamente con la aprobación del presupuesto del respectivo ente territorial, definirá el porcentaje de aporte solidario necesario para solventar dicho faltante, teniendo en consideración prioritaria mente los recursos con los que cuenta y puede contar el municipio o distrito en el Fondo de Solidaridad y Redistribución de Ingresos, con base en las fuentes de recursos para contribuciones señaladas en la normatividad única para el sector de Hacienda y Crédito Público y demás normas concordantes.  </w:t>
      </w:r>
    </w:p>
    <w:p w14:paraId="5A217CC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1BDC69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1°. Tanto los factores de subsidio por estrato como el porcentaje o factor de Aporte Solidario en cada servicio, definidos por el Concejo, serán iguales para todas las personas prestadoras del mismo servicio en el municipio o distrito respectivo.  </w:t>
      </w:r>
    </w:p>
    <w:p w14:paraId="7879AF2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F4172D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2°. Una vez aprobado y expedido el acuerdo correspondiente, el alcalde y el concejo municipal o distrital, deberán divulgarlo ampliamente en los medios de comunicación locales y regionales, señalando claramente el impacto de su decisión sobre las tarifas a usuario final de cada uno de los servicios.  </w:t>
      </w:r>
    </w:p>
    <w:p w14:paraId="3CE0605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6DC3A7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3°. En el caso de un prestador que preste el servicio en más de un municipio y/o distrito, y la aglomeración de dichos municipios constituyan un solo mercado, los concejos municipales de los respectivos municipios y/o distritos podrán establecer el equilibrio entre subsidios y contribuciones previa la definición por parte de la Comisión de Regulación de Agua Potable y Saneamiento Básico del concepto de mercado.  </w:t>
      </w:r>
    </w:p>
    <w:p w14:paraId="49BC2A7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2B70B4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Para el efecto, las personas prestadoras de cada uno de los servicios de acueducto, alcantarillado y aseo, de acuerdo con la proyección de usuarios y consumos en cada uno de los municipios y/o distritos donde presta el servicio y que correspondan a un sistema interconectado, la estructura tarifaria vigente y el porcentaje o factor de Aporte Solidario aplicado en el año respectivo; presentarán a los Alcaldes, por conducto de las dependencias que administran los Fondos de Solidaridad y Redistribución de Ingresos de los respectivos municipios y/o distritos, según sea el caso, una estimación para el año siguiente del monto total de los recursos potenciales a recaudar por concepto de aportes solidarios, así como la información del número total de usuarios atendidos, discriminados por servicio, estrato y uso, y para los servicios de acueducto y alcantarillado, la desagregación de consumos y vertimientos, respectivamente, según rango básico, complementario o suntuario.  </w:t>
      </w:r>
    </w:p>
    <w:p w14:paraId="53376A2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FF0DE3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el servicio de aseo se reportarán adicionalmente los resultados del aforo de los grandes generadores y la información de los pequeños productores y multiusuarios que lo hayan solicitado.  </w:t>
      </w:r>
    </w:p>
    <w:p w14:paraId="268ADC9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83CA40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Tanto los porcentajes de subsidio como de aportes de solidaridad deberán ser iguales por servicio y por tipo de usuario en cada uno de los municipios y/o distritos.  </w:t>
      </w:r>
    </w:p>
    <w:p w14:paraId="096D9C5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D12F8B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todo caso, los únicos recursos que se podrán redistribuir entre los municipios y/o distritos a los que hace referencia este parágrafo para alcanzar el equilibrio entre subsidios y contribuciones, serán aquellos obtenidos por aportes solidarios.  </w:t>
      </w:r>
    </w:p>
    <w:p w14:paraId="6BDB5E4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9BD1B5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4°. Para el caso de áreas metropolitanas en los cuales los municipios que la conforman no estén interconectados, podrán establecer el equilibrio entre subsidios y contribuciones solidarias atendiendo lo previsto en el presente capítulo, en desarrollo de la Ley 128 de 1994.  </w:t>
      </w:r>
    </w:p>
    <w:p w14:paraId="63501C89" w14:textId="57183508"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36396C1" w14:textId="77777777" w:rsidR="00FC79C1" w:rsidRPr="009342F9" w:rsidRDefault="00FC79C1" w:rsidP="004E2147">
      <w:pPr>
        <w:spacing w:after="0" w:line="240" w:lineRule="auto"/>
        <w:jc w:val="center"/>
        <w:rPr>
          <w:rFonts w:ascii="Arial" w:eastAsia="Times New Roman" w:hAnsi="Arial" w:cs="Arial"/>
          <w:b/>
          <w:bCs/>
          <w:color w:val="000000"/>
          <w:lang w:eastAsia="es-CO"/>
        </w:rPr>
      </w:pPr>
      <w:bookmarkStart w:id="2013" w:name="ver_30076053"/>
      <w:bookmarkEnd w:id="2012"/>
      <w:bookmarkEnd w:id="2013"/>
      <w:r w:rsidRPr="009342F9">
        <w:rPr>
          <w:rFonts w:ascii="Arial" w:eastAsia="Times New Roman" w:hAnsi="Arial" w:cs="Arial"/>
          <w:b/>
          <w:bCs/>
          <w:color w:val="000000"/>
          <w:lang w:eastAsia="es-CO"/>
        </w:rPr>
        <w:t>CAPÍTULO 3</w:t>
      </w:r>
    </w:p>
    <w:p w14:paraId="6E9B1B90" w14:textId="77777777" w:rsidR="00FC79C1" w:rsidRPr="009342F9" w:rsidRDefault="00FC79C1" w:rsidP="004E2147">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METODOLOGÍA PARA LA DISTRIBUCIÓN DE LOS RECURSOS PROVENIENTES DE APORTES SOLIDARIOS EN MUNICIPIOS Y DISTRITOS QUE CUENTEN CON PERSONAS PRESTADORAS DE LOS SERVICIOS PÚBLICOS DOMICILIARIOS DE ACUEDUCTO Y ALCANTARILLADO QUE ATIENDAN A MÁS DE UN MUNICIPIO O DISTRITO.</w:t>
      </w:r>
    </w:p>
    <w:p w14:paraId="4F7D5F05"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2014" w:name="ver_30110855"/>
      <w:bookmarkStart w:id="2015" w:name="ver_30110854"/>
      <w:bookmarkEnd w:id="2014"/>
    </w:p>
    <w:p w14:paraId="17B3187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2.3.4.3.1. Alcance. El presente capítulo establece las reglas que adicionan la metodología para la determinación del equilibrio y la distribución de los recursos provenientes de aportes solidarios y aplica en los municipios y distritos que cuenten con personas prestadoras de los servicios públicos domiciliarios de acueducto y alcantarillado que atiendan a más de un municipio o distrito. </w:t>
      </w:r>
    </w:p>
    <w:p w14:paraId="4CBE31F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78EEAE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En el caso de los mercados regionales declarados por la Comisión de Regulación de Agua Potable y Saneamiento Básico (CRA), no procede la aplicación de la metodología señalada en el presente capítulo.  </w:t>
      </w:r>
    </w:p>
    <w:p w14:paraId="00D67F8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FE72F3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La metodología para la determinación del equilibrio entre los subsidios y las contribuciones en mercados </w:t>
      </w:r>
      <w:proofErr w:type="gramStart"/>
      <w:r w:rsidRPr="009342F9">
        <w:rPr>
          <w:rFonts w:ascii="Arial" w:eastAsia="Times New Roman" w:hAnsi="Arial" w:cs="Arial"/>
          <w:color w:val="000000"/>
          <w:lang w:eastAsia="es-CO"/>
        </w:rPr>
        <w:t>regionales,</w:t>
      </w:r>
      <w:proofErr w:type="gramEnd"/>
      <w:r w:rsidRPr="009342F9">
        <w:rPr>
          <w:rFonts w:ascii="Arial" w:eastAsia="Times New Roman" w:hAnsi="Arial" w:cs="Arial"/>
          <w:color w:val="000000"/>
          <w:lang w:eastAsia="es-CO"/>
        </w:rPr>
        <w:t xml:space="preserve"> será la establecida en el parágrafo 3° del artículo 2.3.4.2.2. de este decreto.  </w:t>
      </w:r>
    </w:p>
    <w:p w14:paraId="230A39C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A57577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Las personas prestadoras y las entidades territoriales que hagan parte de un mercado regional declarado por la Comisión de Regulación de Agua Potable y Saneamiento Básico (CRA), deberán realizar las acciones señaladas en los plazos previstos en el artículo 2.3.4.2.2. de este decreto, de tal manera que a partir del 1° de enero de 2018, se encuentren apropiados en los presupuestos de los municipios y distritos, los montos estimados que resulten de la aplicación de dicha metodología”.  </w:t>
      </w:r>
    </w:p>
    <w:p w14:paraId="6A2E801D" w14:textId="787ED679"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016" w:name="ver_30076055"/>
      <w:bookmarkEnd w:id="2015"/>
      <w:bookmarkEnd w:id="2016"/>
    </w:p>
    <w:p w14:paraId="14F5BEE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2.3.4.3.2. Ámbito de operación. Para efectos del presente capítulo y en desarrollo de lo previsto en el inciso 3º del artículo 2° de la Ley 632 de 2000, se entenderá como ámbito de operación, el sector de los municipios y/o distritos donde la persona prestadora del servicio cuente con suscriptores a través de un sistema interconectado. </w:t>
      </w:r>
    </w:p>
    <w:p w14:paraId="5E3D0956" w14:textId="7C433A59"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017" w:name="ver_30076056"/>
      <w:bookmarkEnd w:id="2017"/>
    </w:p>
    <w:p w14:paraId="669C0DB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2.3.4.3.3. Distribución de aportes solidarios en el ámbito de operación. Las personas prestadoras cuyo ámbito de operación comprenda varios municipios y/o distritos en los términos antes señalados, conformarán una bolsa común de recursos para el otorgamiento de subsidios tarifarios, con las sumas provenientes de la aplicación de los factores de aporte solidario mínimos, establecidos en el artículo 125 de la Ley 1450 de 2011. Los recursos obtenidos se destinarán a cubrir los subsidios en el ámbito de operación del prestador. </w:t>
      </w:r>
    </w:p>
    <w:p w14:paraId="0BC63D4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F28CD6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La mencionada bolsa se constituirá con el fin de distribuir los aportes solidarios entre los suscriptores subsidiables del prestador, en los municipios que conforman su ámbito de operación, y considerando los requerimientos de subsidios de cada municipio, para lo cual se deberá seguir el siguiente procedimiento: </w:t>
      </w:r>
    </w:p>
    <w:p w14:paraId="6B5D3D7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30ADB0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 Para cada municipio, la persona prestadora determinará los requerimientos máximos de subsidios de los usuarios de estratos 1 y 2 por ella atendidos, suponiendo un escenario de otorgamiento de subsidios correspondiente a los topes máximos establecidos por la ley; </w:t>
      </w:r>
    </w:p>
    <w:p w14:paraId="0281D11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93F640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b) Con base en el estimativo anterior, la persona prestadora calculará los requerimientos ajustados de subsidios, afectando el requerimiento máximo de subsidios de cada municipio por la relación entre la factura promedio sin subsidio ni contribución del municipio respectivo y la correspondiente al municipio con mayor factura promedio sin subsidio ni contribución, según los costos de referencia correspondientes, para lo cual se aplicará la siguiente fórmula: </w:t>
      </w:r>
    </w:p>
    <w:p w14:paraId="1FEE3AD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1550F99" w14:textId="4BE94ED7" w:rsidR="00FC79C1" w:rsidRPr="009342F9" w:rsidRDefault="48ABE02E" w:rsidP="00FC79C1">
      <w:pPr>
        <w:spacing w:after="0" w:line="240" w:lineRule="auto"/>
        <w:jc w:val="both"/>
        <w:rPr>
          <w:rFonts w:ascii="Arial" w:eastAsia="Times New Roman" w:hAnsi="Arial" w:cs="Arial"/>
          <w:color w:val="000000"/>
          <w:lang w:eastAsia="es-CO"/>
        </w:rPr>
      </w:pPr>
      <w:r>
        <w:rPr>
          <w:noProof/>
        </w:rPr>
        <w:drawing>
          <wp:inline distT="0" distB="0" distL="0" distR="0" wp14:anchorId="0368F5AA" wp14:editId="04233458">
            <wp:extent cx="5529578" cy="4848226"/>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42">
                      <a:extLst>
                        <a:ext uri="{28A0092B-C50C-407E-A947-70E740481C1C}">
                          <a14:useLocalDpi xmlns:a14="http://schemas.microsoft.com/office/drawing/2010/main" val="0"/>
                        </a:ext>
                      </a:extLst>
                    </a:blip>
                    <a:stretch>
                      <a:fillRect/>
                    </a:stretch>
                  </pic:blipFill>
                  <pic:spPr>
                    <a:xfrm>
                      <a:off x="0" y="0"/>
                      <a:ext cx="5529578" cy="4848226"/>
                    </a:xfrm>
                    <a:prstGeom prst="rect">
                      <a:avLst/>
                    </a:prstGeom>
                  </pic:spPr>
                </pic:pic>
              </a:graphicData>
            </a:graphic>
          </wp:inline>
        </w:drawing>
      </w:r>
      <w:r w:rsidR="00FC79C1" w:rsidRPr="3DD719FF">
        <w:rPr>
          <w:rFonts w:ascii="Arial" w:eastAsia="Times New Roman" w:hAnsi="Arial" w:cs="Arial"/>
          <w:color w:val="000000" w:themeColor="text1"/>
          <w:lang w:eastAsia="es-CO"/>
        </w:rPr>
        <w:t> </w:t>
      </w:r>
    </w:p>
    <w:p w14:paraId="074415D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A07520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Para efectos de las estimaciones establecidas, las personas prestadoras deberán considerar, para cada municipio, el mecanismo de distribución previsto en el presente artículo, cuyo resultado se entenderá como el valor de los recursos potenciales a recaudar por concepto de Aportes </w:t>
      </w:r>
      <w:r w:rsidRPr="009342F9">
        <w:rPr>
          <w:rFonts w:ascii="Arial" w:eastAsia="Times New Roman" w:hAnsi="Arial" w:cs="Arial"/>
          <w:color w:val="000000"/>
          <w:lang w:eastAsia="es-CO"/>
        </w:rPr>
        <w:lastRenderedPageBreak/>
        <w:t>Solidarios, el cual deberá ser informado a los respectivos alcaldes municipales y/o distritales, a efectos de la aplicación de la metodología de equilibrio entre contribuciones y subsidios. </w:t>
      </w:r>
    </w:p>
    <w:p w14:paraId="65E24D0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5B1DCC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1°. Si después de efectuada la anterior distribución, se presentaran superávits para alguno (s) de los mercados que en cada municipio atiende el operador, dichos recursos serán devueltos a la bolsa común, para volver a aplicar el procedimiento de que trata el presente artículo, incluyendo solamente a los municipios que aún presentan déficit, los cuales serán distribuidos en proporción al aporte inicial de cada municipio a la bolsa común. </w:t>
      </w:r>
    </w:p>
    <w:p w14:paraId="036EE8C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0E5D0A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El procedimiento aquí establecido se llevará a cabo hasta tanto se agoten los recursos a los que se refiere el presente parágrafo. </w:t>
      </w:r>
    </w:p>
    <w:p w14:paraId="1B82316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CAEA9C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2°. En el evento que las sumas por contribución resulten superiores a las necesidades máximas de subsidio de los usuarios atendidos por la empresa prestadora en su ámbito de operación, el remanente deberá girarse a los Fondos de Solidaridad y Redistribución de Ingresos de los Municipios y/o Distritos que conforman el ámbito de operación de la persona prestadora, en forma proporcional al monto del aporte solidario generado en cada uno de los municipios y/o distritos. </w:t>
      </w:r>
    </w:p>
    <w:p w14:paraId="4554FA02" w14:textId="05484EF3"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018" w:name="ver_30076057"/>
      <w:bookmarkEnd w:id="2018"/>
    </w:p>
    <w:p w14:paraId="6807F00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2.3.4.3.4. Esfuerzo local para el otorgamiento de subsidios. Los Municipios y/o Distritos podrán recurrir a las fuentes adicionales de recursos para contribuciones señaladas en el artículo 100 de la Ley 142 de 1994 y las demás normas que regulan la materia, sujetándose en todo caso a la metodología establecida en el capítulo 2 del presente título o a la norma que lo modifique o adicione. </w:t>
      </w:r>
    </w:p>
    <w:p w14:paraId="4C0DA751" w14:textId="5A2DDE25"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019" w:name="ver_30076058"/>
      <w:bookmarkEnd w:id="2019"/>
    </w:p>
    <w:p w14:paraId="42D8AC0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2.3.4.3.5. Acciones para el equilibrio. Cuando en cualquier momento se afecte el equilibrio entre subsidios y contribuciones, podrán seguirse, entre otras, cualquiera de las siguientes acciones o una combinación de ellas, a fin de procurar el mencionado equilibrio: </w:t>
      </w:r>
    </w:p>
    <w:p w14:paraId="0D4BC3E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EA78CC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El Alcalde Municipal o Distrital, podrá solicitar a la empresa prestadora que se apliquen los porcentajes de subsidios que el Concejo otorgue, para lo cual deberá comprometerse la entidad territorial a cubrir los faltantes generados. </w:t>
      </w:r>
    </w:p>
    <w:p w14:paraId="6CD14F1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4D31AA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El municipio o distrito de manera conjunta con las personas prestadoras, podrá acordar alternativas para ajustar los subsidios en el tiempo, de acuerdo con las condiciones de disponibilidad de recursos. </w:t>
      </w:r>
    </w:p>
    <w:p w14:paraId="4253DC98" w14:textId="7F237829" w:rsidR="004E2147"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020" w:name="ver_30076059"/>
      <w:bookmarkEnd w:id="2020"/>
    </w:p>
    <w:p w14:paraId="4EF92707" w14:textId="38A8E487" w:rsidR="00FC79C1" w:rsidRPr="009342F9" w:rsidRDefault="00FC79C1" w:rsidP="004E2147">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CAPÍTULO 4</w:t>
      </w:r>
    </w:p>
    <w:p w14:paraId="475B2949" w14:textId="77777777" w:rsidR="00FC79C1" w:rsidRPr="009342F9" w:rsidRDefault="00FC79C1" w:rsidP="004E2147">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SUBSIDIOS PARA CONEXIONES INTRADOMICILIARIAS</w:t>
      </w:r>
    </w:p>
    <w:p w14:paraId="0F4BA506"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2021" w:name="ver_30076060"/>
      <w:bookmarkEnd w:id="2021"/>
    </w:p>
    <w:p w14:paraId="64067FF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2.3.4.4.1. El objeto. El objeto del presente capítulo es reglamentar el subsidio de conexiones intradomiciliarias para inmuebles de los estratos 1 y 2 con el fin de garantizar la conexión efectiva a los servicios de agua potable y saneamiento básico. </w:t>
      </w:r>
    </w:p>
    <w:p w14:paraId="377863E3" w14:textId="364D7F0D"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022" w:name="ver_30076061"/>
      <w:bookmarkEnd w:id="2022"/>
    </w:p>
    <w:p w14:paraId="209CCC1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2.3.4.4.2. Ámbito de aplicación. El presente capítulo aplica a los programas de conexiones intradomiciliarias de agua potable y saneamiento básico en el área urbana y rural nucleada de los municipios, que se financien con recursos de la Nación –MVCT, y/o de las entidades territoriales, en lo que les sea aplicable. </w:t>
      </w:r>
    </w:p>
    <w:p w14:paraId="6181CD2E" w14:textId="0EEA4FD3"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023" w:name="ver_30076062"/>
      <w:bookmarkEnd w:id="2023"/>
    </w:p>
    <w:p w14:paraId="4BA95AF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2.3.4.4.3. Definiciones. Para efectos de la aplicación del presente capítulo se definen los siguientes conceptos: </w:t>
      </w:r>
    </w:p>
    <w:p w14:paraId="3B1490B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w:t>
      </w:r>
    </w:p>
    <w:p w14:paraId="1F00E9D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Conexión intradomiciliaria de acueducto. Conjunto de tuberías, accesorios, equipos y aparatos que integran el sistema hidráulico del inmueble a partir del medidor, para el suministro de agua potable. </w:t>
      </w:r>
    </w:p>
    <w:p w14:paraId="0118A94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A22515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Conexión intradomiciliaria de aguas residuales. Conjunto de tuberías, accesorios, equipos y aparatos instalados en un inmueble que integran el sistema de evacuación y ventilación de las aguas residuales hasta la caja de inspección final. </w:t>
      </w:r>
    </w:p>
    <w:p w14:paraId="5425FBC0" w14:textId="56B14178"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024" w:name="ver_30076063"/>
      <w:bookmarkEnd w:id="2024"/>
    </w:p>
    <w:p w14:paraId="5037CC3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2.3.4.4.4. Criterios de focalización. Los recursos de los programas de conexiones intradomiciliarias, sólo se podrán aplicar en los inmuebles que cumplan los siguientes criterios: </w:t>
      </w:r>
    </w:p>
    <w:p w14:paraId="07A14CA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206FFE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En áreas urbanas:  </w:t>
      </w:r>
    </w:p>
    <w:p w14:paraId="7195360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447CD2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1.1. Que pertenezcan a los estratos 1 o 2. </w:t>
      </w:r>
    </w:p>
    <w:p w14:paraId="5196BDD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EFEBFE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1.2. Que cuenten con disponibilidad de los servicios de acueducto y/o alcantarillado, a través de la posibilidad de conectarse a las redes de prestación de estos servicios, de conformidad con la viabilidad técnica expedida por la persona prestadora legalmente constituida. </w:t>
      </w:r>
    </w:p>
    <w:p w14:paraId="2E15852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AA1B01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1.3. Que el inmueble carezca total o parcialmente de conexiones intradomiciliarias, de acuerdo con lo que defina para el efecto el MVCT en el caso que el inmueble carezca de conexiones domiciliarias de acueducto y/o alcantarillado solo podrán financiarse las conexiones intradomiciliarias si se garantiza la construcción de las domiciliarias faltantes. </w:t>
      </w:r>
    </w:p>
    <w:p w14:paraId="77EC248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9437E7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En áreas rurales nucleadas:  </w:t>
      </w:r>
    </w:p>
    <w:p w14:paraId="6D580A5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591039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2.1. Que pertenezcan a los estratos 1 o 2. </w:t>
      </w:r>
    </w:p>
    <w:p w14:paraId="0743B85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C04689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2.2. Que cuenten con disponibilidad de los servicios de acueducto y/o manejo de aguas residuales, a través de la posibilidad de conectarse a las redes de distribución de agua y/o sistema de manejo de aguas residuales de estos servicios de acuerdo con lo establecido en el RAS y de conformidad con la viabilidad técnica expedida por la persona prestadora legalmente constituida o en su defecto la autoridad municipal competente. </w:t>
      </w:r>
    </w:p>
    <w:p w14:paraId="602DCB3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7D9CCB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2.3. Que el inmueble carezca total o parcialmente de conexiones intradomiciliarias, de acuerdo con lo que defina para el efecto el MVCT en el caso que el inmueble carezca de conexiones domiciliarias de acueducto y/o alcantarillado solo podrán financiarse las conexiones intradomiciliarias si se garantiza la construcción de las domiciliarias faltantes cuando técnicamente se requieran. </w:t>
      </w:r>
    </w:p>
    <w:p w14:paraId="598EF96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D036A8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1°. Los programas de conexiones intradomiciliarias no cobijan inmuebles localizados en áreas de riesgo no mitigable o en zonas de protección ambiental de acuerdo con el respectivo Plan de Ordenamiento Territorial, o los instrumentos que lo desarrollen y complementen. Tampoco podrán hacer parte del programa los inmuebles afectados en los términos del artículo 37 de la Ley 9a de 1989 o la norma que la adiciones, modifique o sustituya. </w:t>
      </w:r>
    </w:p>
    <w:p w14:paraId="671A325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3099B5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Parágrafo 2°. Los hogares que habiten inmuebles potenciales beneficiarios del </w:t>
      </w:r>
      <w:proofErr w:type="gramStart"/>
      <w:r w:rsidRPr="009342F9">
        <w:rPr>
          <w:rFonts w:ascii="Arial" w:eastAsia="Times New Roman" w:hAnsi="Arial" w:cs="Arial"/>
          <w:color w:val="000000"/>
          <w:lang w:eastAsia="es-CO"/>
        </w:rPr>
        <w:t>programa,</w:t>
      </w:r>
      <w:proofErr w:type="gramEnd"/>
      <w:r w:rsidRPr="009342F9">
        <w:rPr>
          <w:rFonts w:ascii="Arial" w:eastAsia="Times New Roman" w:hAnsi="Arial" w:cs="Arial"/>
          <w:color w:val="000000"/>
          <w:lang w:eastAsia="es-CO"/>
        </w:rPr>
        <w:t xml:space="preserve"> deberán acreditar su condición de propietario, poseedor, o tenedor del inmueble, en las condiciones y términos que establezca el MVCT. </w:t>
      </w:r>
    </w:p>
    <w:p w14:paraId="5298C50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9CC4DF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xml:space="preserve">Para el caso de inmuebles arrendados, el arrendatario y arrendador </w:t>
      </w:r>
      <w:proofErr w:type="gramStart"/>
      <w:r w:rsidRPr="009342F9">
        <w:rPr>
          <w:rFonts w:ascii="Arial" w:eastAsia="Times New Roman" w:hAnsi="Arial" w:cs="Arial"/>
          <w:color w:val="000000"/>
          <w:lang w:eastAsia="es-CO"/>
        </w:rPr>
        <w:t>del mismo</w:t>
      </w:r>
      <w:proofErr w:type="gramEnd"/>
      <w:r w:rsidRPr="009342F9">
        <w:rPr>
          <w:rFonts w:ascii="Arial" w:eastAsia="Times New Roman" w:hAnsi="Arial" w:cs="Arial"/>
          <w:color w:val="000000"/>
          <w:lang w:eastAsia="es-CO"/>
        </w:rPr>
        <w:t>, deberán cumplir con los criterios establecidos del presente artículo, y los que para el efecto establezcan el MVCT para acceder al beneficio. </w:t>
      </w:r>
    </w:p>
    <w:p w14:paraId="1FF2653D" w14:textId="0BD8B08D"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025" w:name="ver_30076064"/>
      <w:bookmarkEnd w:id="2025"/>
    </w:p>
    <w:p w14:paraId="3122A48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2.3.4.4.5. Criterios de selección de municipios y de priorización de barrios o zonas rurales nucleadas, para los programas de conexiones intradomiciliarias de la Nación. El MVCT determinará los municipios beneficiarios del programa de conexiones intradomiciliarias y priorizará los barrios y/o zonas rurales nucleadas de los mismos, a través de la aplicación de los siguientes criterios: </w:t>
      </w:r>
    </w:p>
    <w:p w14:paraId="190DF6C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7C10B2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4.1.1.1. Para el Área Urbana:  </w:t>
      </w:r>
    </w:p>
    <w:p w14:paraId="53D6CA3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218660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1.1. Priorización y selección de municipios para intervención. El Ministerio a partir de la aplicación de las siguientes variables, determinará el orden de intervención de los municipios del país: </w:t>
      </w:r>
    </w:p>
    <w:p w14:paraId="2D0F611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20D09C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 Número de habitantes en zona urbana; </w:t>
      </w:r>
    </w:p>
    <w:p w14:paraId="093CB6E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941FB8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b) Índice de pobreza multidimensional en zona urbana; </w:t>
      </w:r>
    </w:p>
    <w:p w14:paraId="735A958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52713B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 Número de hogares vinculados al Programa Red Unidos en zona urbana o el programa local vinculado a este; </w:t>
      </w:r>
    </w:p>
    <w:p w14:paraId="772C2BD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499F71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d) Capacidad de gestión de las empresas de servicios públicos de acueducto y/o alcantarillado, de acuerdo con los indicadores del Sistema Único de Información – SUI administrado por la SSPD, de acuerdo con lo establecido por el MVCT. </w:t>
      </w:r>
    </w:p>
    <w:p w14:paraId="51AA466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C5B33F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El resultado de la aplicación de los criterios antes enunciados no implica participación inmediata en el programa de todos los municipios. La intervención se dará conforme al orden arrojado y la disponibilidad de recursos para cada vigencia, y los tamaños mínimos de intervención de acuerdo con el número de inmuebles potencialmente beneficiarios. </w:t>
      </w:r>
    </w:p>
    <w:p w14:paraId="21E6133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27C794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1.2. Selección y priorización de barrios. De los municipios a ser atendidos de conformidad con lo preceptuado en el numeral 1.1 del presente artículo, el MVCT seleccionará los barrios potencialmente beneficiarios del programa, teniendo en cuenta los criterios de focalización establecidos en el artículo 2.3.4.4.4. del presente capítulo y priorizará su intervención aplicando los siguientes criterios, en este orden: </w:t>
      </w:r>
    </w:p>
    <w:p w14:paraId="4C447CA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A6E8B1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 Que el estrato predominante corresponda al estrato 1; </w:t>
      </w:r>
    </w:p>
    <w:p w14:paraId="7DDB310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CF47F3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b) Mayor número de familias que pertenezcan a Red Unidos o al programa local vinculado a este. </w:t>
      </w:r>
    </w:p>
    <w:p w14:paraId="2AC1E25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El resultado de la aplicación de los criterios antes enunciados no implica participación en el programa de todos los barrios. La intervención se dará conforme al orden arrojado y la disponibilidad de recursos asignados al municipio. </w:t>
      </w:r>
    </w:p>
    <w:p w14:paraId="6B15BAC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BABA94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Para el Área Rural Nucleada:  </w:t>
      </w:r>
    </w:p>
    <w:p w14:paraId="4389F72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EDBCF1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2.1. Priorización y selección de municipios para intervención en el área rural. El MVCT a partir de la aplicación de las siguientes variables, determinará el orden de intervención de los municipios del país, potenciales beneficiarios del programa: </w:t>
      </w:r>
    </w:p>
    <w:p w14:paraId="71A46E1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C21105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 Municipios categoría 4, 5, 6 y áreas no municipalizadas; </w:t>
      </w:r>
    </w:p>
    <w:p w14:paraId="2B7C063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w:t>
      </w:r>
    </w:p>
    <w:p w14:paraId="5007191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b) Número de habitantes en zona rural nucleada; </w:t>
      </w:r>
    </w:p>
    <w:p w14:paraId="3B5A482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18F780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 Índice de Pobreza Multidimensional en zona rural; </w:t>
      </w:r>
    </w:p>
    <w:p w14:paraId="47FC9FA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1858DD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d) Número de hogares vinculados al Programa Red Unidos en zona rural; </w:t>
      </w:r>
    </w:p>
    <w:p w14:paraId="3B9FC94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BF95D8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 Municipios que se encuentren priorizados por Programas del Gobierno Nacional para promover el desarrollo en zonas rurales a través de inversiones en agua y saneamiento básico. </w:t>
      </w:r>
    </w:p>
    <w:p w14:paraId="2886728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8E4F84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El resultado de la aplicación de los criterios antes enunciados no implica participación inmediata en el programa de todos los municipios. La intervención se dará conforme al orden arrojado y la disponibilidad de recursos para cada vigencia y los tamaños mínimos de intervención de acuerdo con el número de inmuebles potencialmente beneficiarios. </w:t>
      </w:r>
    </w:p>
    <w:p w14:paraId="1315244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D1D1D3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2.2. Selección y priorización de zonas rurales nucleadas. De los municipios a atender de conformidad con lo establecido en el numeral 2.1 del presente artículo, el MVCT seleccionará las zonas rurales posibles beneficiarios del programa, teniendo en cuenta los criterios de focalización establecidos en el artículo 2.3.4.4.4. del presente capítulo, y priorizará su intervención aplicando los siguientes criterios, en este orden: </w:t>
      </w:r>
    </w:p>
    <w:p w14:paraId="50F5CE7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0FFB4F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 Que el estrato predominante corresponda al estrato; </w:t>
      </w:r>
    </w:p>
    <w:p w14:paraId="6CCEC8A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3F5068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b) Mayor número de familias que pertenezcan a Red Unidos o al programa local vinculado a este. </w:t>
      </w:r>
    </w:p>
    <w:p w14:paraId="7A08A6F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El resultado de la aplicación de los criterios antes enunciados no implica participación en el programa de todas las zonas nucleadas. La intervención se dará conforme al orden arrojado y la disponibilidad de recursos asignados al municipio. </w:t>
      </w:r>
    </w:p>
    <w:p w14:paraId="38FAFCF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FC8886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1°. Sin perjuicio de lo dispuesto en el presente artículo, además se podrán priorizar dentro del programa de conexiones intradomiciliarias, municipios en los que se desarrollaron o se estén adelantando programas de Mejoramiento Integral de Barrios con el apoyo del Gobierno Nacional, o proyectos de agua potable y saneamiento básico en áreas urbanas y rurales, como complemento de tales programas y/o proyectos. </w:t>
      </w:r>
    </w:p>
    <w:p w14:paraId="1B2568A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52C9FF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2°. Para la definición de la población a ser atendida al interior de los barrios y de las zonas rurales nucleadas, se tendrá en cuenta las inversiones con mayor impacto en concordancia con los criterios que para el efecto determine el MVCT. </w:t>
      </w:r>
    </w:p>
    <w:p w14:paraId="56DC5F06" w14:textId="2421B44E"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026" w:name="ver_30076065"/>
      <w:bookmarkEnd w:id="2026"/>
    </w:p>
    <w:p w14:paraId="5F3646C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2.3.4.4.6. Asignación de recursos del Gobierno Nacional. El MVCT, distribuirá los recursos disponibles para cada vigencia, de acuerdo con la parametrización y la participación ponderada en las necesidades en cada uno de los municipios priorizados de conformidad con los criterios previstos en el artículo 2.3.4.4.4. del presente capítulo, y la metodología que para el efecto determine el Ministerio. </w:t>
      </w:r>
    </w:p>
    <w:p w14:paraId="4045A20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A658B5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todo caso el número de municipios y de hogares beneficiarios dependerá de la disponibilidad de recursos para cada vigencia fiscal. </w:t>
      </w:r>
    </w:p>
    <w:p w14:paraId="349F1CD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722193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Para los programas de conexiones intradomiciliarias que cuenten con apoyo financiero de la Nación, los recursos que se destinen para estos propósitos deberán estar sujetos a las disponibilidades fiscales y presupuestales que se prioricen dentro del Marco de Gasto de Mediano Plazo aprobado para el sector. </w:t>
      </w:r>
    </w:p>
    <w:p w14:paraId="41990476"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2027" w:name="ver_30076066"/>
      <w:bookmarkEnd w:id="2027"/>
      <w:r w:rsidRPr="009342F9">
        <w:rPr>
          <w:rFonts w:ascii="Arial" w:eastAsia="Times New Roman" w:hAnsi="Arial" w:cs="Arial"/>
          <w:color w:val="000000"/>
          <w:lang w:eastAsia="es-CO"/>
        </w:rPr>
        <w:lastRenderedPageBreak/>
        <w:t xml:space="preserve">Artículo 2.3.4.4.7. Valor máximo del subsidio por inmueble beneficiario del Programa de Conexiones Intradomiciliarias. El valor máximo del subsidio por inmueble beneficiario con el programa de conexiones intradomiciliarias de los servicios de acueducto y </w:t>
      </w:r>
      <w:proofErr w:type="gramStart"/>
      <w:r w:rsidRPr="009342F9">
        <w:rPr>
          <w:rFonts w:ascii="Arial" w:eastAsia="Times New Roman" w:hAnsi="Arial" w:cs="Arial"/>
          <w:color w:val="000000"/>
          <w:lang w:eastAsia="es-CO"/>
        </w:rPr>
        <w:t>alcantarillado,</w:t>
      </w:r>
      <w:proofErr w:type="gramEnd"/>
      <w:r w:rsidRPr="009342F9">
        <w:rPr>
          <w:rFonts w:ascii="Arial" w:eastAsia="Times New Roman" w:hAnsi="Arial" w:cs="Arial"/>
          <w:color w:val="000000"/>
          <w:lang w:eastAsia="es-CO"/>
        </w:rPr>
        <w:t xml:space="preserve"> será de hasta 8,23 SMMLV. </w:t>
      </w:r>
    </w:p>
    <w:p w14:paraId="264CF5E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181E93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Parágrafo. Para los municipios que conforman los departamentos de Amazonas, Guainía, San Andrés, Providencia y Santa Catalina, Putumayo, Chocó, Vaupés, Vichada y Guaviare el valor máximo del subsidio por inmueble beneficiario del programa de conexiones intradomiciliarias será de hasta 10 </w:t>
      </w:r>
      <w:proofErr w:type="spellStart"/>
      <w:r w:rsidRPr="009342F9">
        <w:rPr>
          <w:rFonts w:ascii="Arial" w:eastAsia="Times New Roman" w:hAnsi="Arial" w:cs="Arial"/>
          <w:color w:val="000000"/>
          <w:lang w:eastAsia="es-CO"/>
        </w:rPr>
        <w:t>smmlv</w:t>
      </w:r>
      <w:proofErr w:type="spellEnd"/>
      <w:r w:rsidRPr="009342F9">
        <w:rPr>
          <w:rFonts w:ascii="Arial" w:eastAsia="Times New Roman" w:hAnsi="Arial" w:cs="Arial"/>
          <w:color w:val="000000"/>
          <w:lang w:eastAsia="es-CO"/>
        </w:rPr>
        <w:t>. </w:t>
      </w:r>
    </w:p>
    <w:p w14:paraId="1FDBF3F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42A10D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Para efectos de lo previsto en este parágrafo, antes de la apertura del proceso de contratación en cada municipio, el ejecutor del proyecto deberá hacer las verificaciones y estudios de mercado correspondientes que soporten los costos de las intervenciones. En ningún caso los costos podrán sobrepasar el valor máximo establecido para el subsidio. </w:t>
      </w:r>
    </w:p>
    <w:p w14:paraId="42EC1859" w14:textId="2923B8E9"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028" w:name="ver_30076067"/>
      <w:bookmarkEnd w:id="2028"/>
    </w:p>
    <w:p w14:paraId="766ED9D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2.3.4.4.8. Contrapartida de las Entidades Territoriales. Para acceder a los programas de conexiones intradomiciliarias de la Nación, las entidades territoriales, deberán contribuir a los mismos, en dinero o en especie, como mínimo con los costos de socialización del programa en los términos y condiciones que defina el MVCT. </w:t>
      </w:r>
    </w:p>
    <w:p w14:paraId="42112D9A" w14:textId="67289A15"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029" w:name="ver_30076068"/>
      <w:bookmarkEnd w:id="2029"/>
    </w:p>
    <w:p w14:paraId="280F490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2.3.4.4.9. Alcance del subsidio de los programas de conexiones intradomiciliarias. El subsidio otorgado por la Nación y/o de las entidades territoriales para financiar los programas de conexiones intradomiciliarias, cubrirán los costos correspondientes a la formulación, ejecución, suministro de aparatos, equipos, y las adecuaciones necesarias para su funcionalidad. </w:t>
      </w:r>
    </w:p>
    <w:p w14:paraId="6D71B1D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DBF66B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Parágrafo. No se podrá otorgar más de un subsidio de conexiones intradomiciliarias por inmueble, para lo cual se levantarán los registros correspondientes. Este subsidio no excluye la posibilidad de que los hogares que habitan los inmuebles beneficiados con </w:t>
      </w:r>
      <w:proofErr w:type="gramStart"/>
      <w:r w:rsidRPr="009342F9">
        <w:rPr>
          <w:rFonts w:ascii="Arial" w:eastAsia="Times New Roman" w:hAnsi="Arial" w:cs="Arial"/>
          <w:color w:val="000000"/>
          <w:lang w:eastAsia="es-CO"/>
        </w:rPr>
        <w:t>este,</w:t>
      </w:r>
      <w:proofErr w:type="gramEnd"/>
      <w:r w:rsidRPr="009342F9">
        <w:rPr>
          <w:rFonts w:ascii="Arial" w:eastAsia="Times New Roman" w:hAnsi="Arial" w:cs="Arial"/>
          <w:color w:val="000000"/>
          <w:lang w:eastAsia="es-CO"/>
        </w:rPr>
        <w:t xml:space="preserve"> puedan aplicar a otros subsidios como el Subsidio Familiar de Vivienda en las modalidades contempladas en la norma vigente. </w:t>
      </w:r>
    </w:p>
    <w:p w14:paraId="1C850A7F" w14:textId="1D8C9DC9"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030" w:name="ver_30076069"/>
      <w:bookmarkEnd w:id="2030"/>
    </w:p>
    <w:p w14:paraId="36F062E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2.3.4.4.10. </w:t>
      </w:r>
      <w:proofErr w:type="spellStart"/>
      <w:r w:rsidRPr="009342F9">
        <w:rPr>
          <w:rFonts w:ascii="Arial" w:eastAsia="Times New Roman" w:hAnsi="Arial" w:cs="Arial"/>
          <w:color w:val="000000"/>
          <w:lang w:eastAsia="es-CO"/>
        </w:rPr>
        <w:t>Viabilización</w:t>
      </w:r>
      <w:proofErr w:type="spellEnd"/>
      <w:r w:rsidRPr="009342F9">
        <w:rPr>
          <w:rFonts w:ascii="Arial" w:eastAsia="Times New Roman" w:hAnsi="Arial" w:cs="Arial"/>
          <w:color w:val="000000"/>
          <w:lang w:eastAsia="es-CO"/>
        </w:rPr>
        <w:t xml:space="preserve"> de proyectos. El MVCT viabilizará los proyectos de conexiones intradomiciliarias que se financien con recursos provenientes del Presupuesto General de la Nación. </w:t>
      </w:r>
    </w:p>
    <w:p w14:paraId="3F10388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C55546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Parágrafo. El MVCT podrá bridar apoyo técnico en la estructuración de programas de conexiones intradomiciliarias y en la </w:t>
      </w:r>
      <w:proofErr w:type="spellStart"/>
      <w:r w:rsidRPr="009342F9">
        <w:rPr>
          <w:rFonts w:ascii="Arial" w:eastAsia="Times New Roman" w:hAnsi="Arial" w:cs="Arial"/>
          <w:color w:val="000000"/>
          <w:lang w:eastAsia="es-CO"/>
        </w:rPr>
        <w:t>viabilización</w:t>
      </w:r>
      <w:proofErr w:type="spellEnd"/>
      <w:r w:rsidRPr="009342F9">
        <w:rPr>
          <w:rFonts w:ascii="Arial" w:eastAsia="Times New Roman" w:hAnsi="Arial" w:cs="Arial"/>
          <w:color w:val="000000"/>
          <w:lang w:eastAsia="es-CO"/>
        </w:rPr>
        <w:t xml:space="preserve"> de proyectos relacionados con los mismos, para lo cual suscribirá los convenios a los que haya lugar. </w:t>
      </w:r>
    </w:p>
    <w:p w14:paraId="50B75994" w14:textId="3907DB1C"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031" w:name="ver_30076070"/>
      <w:bookmarkEnd w:id="2031"/>
    </w:p>
    <w:p w14:paraId="24F4717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2.3.4.4.11. Ejecución del Programa para la Construcción de Conexiones Intradomiciliarias. Para la ejecución de Programas de Conexiones Intradomiciliarias el MVCT suscribirá un convenio con el ente territorial, en el cual acordará entre otros el esquema de ejecución </w:t>
      </w:r>
      <w:proofErr w:type="gramStart"/>
      <w:r w:rsidRPr="009342F9">
        <w:rPr>
          <w:rFonts w:ascii="Arial" w:eastAsia="Times New Roman" w:hAnsi="Arial" w:cs="Arial"/>
          <w:color w:val="000000"/>
          <w:lang w:eastAsia="es-CO"/>
        </w:rPr>
        <w:t>del mismo</w:t>
      </w:r>
      <w:proofErr w:type="gramEnd"/>
      <w:r w:rsidRPr="009342F9">
        <w:rPr>
          <w:rFonts w:ascii="Arial" w:eastAsia="Times New Roman" w:hAnsi="Arial" w:cs="Arial"/>
          <w:color w:val="000000"/>
          <w:lang w:eastAsia="es-CO"/>
        </w:rPr>
        <w:t xml:space="preserve"> y las condiciones de la contrapartida. </w:t>
      </w:r>
    </w:p>
    <w:p w14:paraId="62276A40" w14:textId="7C905176" w:rsidR="004E2147"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3EC3B00" w14:textId="77777777" w:rsidR="00FC79C1" w:rsidRPr="009342F9" w:rsidRDefault="00FC79C1" w:rsidP="004E2147">
      <w:pPr>
        <w:spacing w:after="0" w:line="240" w:lineRule="auto"/>
        <w:jc w:val="center"/>
        <w:rPr>
          <w:rFonts w:ascii="Arial" w:eastAsia="Times New Roman" w:hAnsi="Arial" w:cs="Arial"/>
          <w:b/>
          <w:bCs/>
          <w:color w:val="000000"/>
          <w:lang w:eastAsia="es-CO"/>
        </w:rPr>
      </w:pPr>
      <w:bookmarkStart w:id="2032" w:name="ver_30076071"/>
      <w:bookmarkEnd w:id="2032"/>
      <w:r w:rsidRPr="009342F9">
        <w:rPr>
          <w:rFonts w:ascii="Arial" w:eastAsia="Times New Roman" w:hAnsi="Arial" w:cs="Arial"/>
          <w:b/>
          <w:bCs/>
          <w:color w:val="000000"/>
          <w:lang w:eastAsia="es-CO"/>
        </w:rPr>
        <w:t>TÍTULO 5</w:t>
      </w:r>
    </w:p>
    <w:p w14:paraId="38A026D3" w14:textId="77777777" w:rsidR="00FC79C1" w:rsidRPr="009342F9" w:rsidRDefault="00FC79C1" w:rsidP="004E2147">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SISTEMA GENERAL DE PARTICIPACIONES PARA AGUA POTABLE Y SANEAMIENTO BÁSICO - CERTIFICACIONES</w:t>
      </w:r>
    </w:p>
    <w:p w14:paraId="4434C0D4" w14:textId="77777777" w:rsidR="00EE4153" w:rsidRDefault="00EE4153" w:rsidP="004E2147">
      <w:pPr>
        <w:spacing w:after="0" w:line="240" w:lineRule="auto"/>
        <w:jc w:val="center"/>
        <w:rPr>
          <w:rFonts w:ascii="Arial" w:eastAsia="Times New Roman" w:hAnsi="Arial" w:cs="Arial"/>
          <w:b/>
          <w:bCs/>
          <w:color w:val="000000"/>
          <w:lang w:eastAsia="es-CO"/>
        </w:rPr>
      </w:pPr>
    </w:p>
    <w:p w14:paraId="72FE2C7D" w14:textId="3AB81CC7" w:rsidR="00FC79C1" w:rsidRPr="009342F9" w:rsidRDefault="00FC79C1" w:rsidP="004E2147">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CAPÍTULO 1</w:t>
      </w:r>
    </w:p>
    <w:p w14:paraId="1BFDAE53" w14:textId="77777777" w:rsidR="00FC79C1" w:rsidRDefault="00FC79C1" w:rsidP="004E2147">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 xml:space="preserve">RECURSOS DE LA PARTICIPACIÓN PARA AGUA POTABLE Y SANEAMIENTO BÁSICO DEL SISTEMA GENERAL DE PARTICIPACIONES Y LA LEY 1450 DE 2011 EN LO </w:t>
      </w:r>
      <w:r w:rsidRPr="009342F9">
        <w:rPr>
          <w:rFonts w:ascii="Arial" w:eastAsia="Times New Roman" w:hAnsi="Arial" w:cs="Arial"/>
          <w:b/>
          <w:bCs/>
          <w:color w:val="000000"/>
          <w:lang w:eastAsia="es-CO"/>
        </w:rPr>
        <w:lastRenderedPageBreak/>
        <w:t>ATINENTE A LAS ACTIVIDADES DE MONITOREO, SEGUIMIENTO Y CONTROL INTEGRAL A ESTOS RECURSOS.</w:t>
      </w:r>
    </w:p>
    <w:p w14:paraId="68A0B2A7" w14:textId="77777777" w:rsidR="00DF7F30" w:rsidRPr="009342F9" w:rsidRDefault="00DF7F30" w:rsidP="004E2147">
      <w:pPr>
        <w:spacing w:after="0" w:line="240" w:lineRule="auto"/>
        <w:jc w:val="center"/>
        <w:rPr>
          <w:rFonts w:ascii="Arial" w:eastAsia="Times New Roman" w:hAnsi="Arial" w:cs="Arial"/>
          <w:b/>
          <w:bCs/>
          <w:color w:val="000000"/>
          <w:lang w:eastAsia="es-CO"/>
        </w:rPr>
      </w:pPr>
    </w:p>
    <w:p w14:paraId="6E1563D1" w14:textId="77777777" w:rsidR="00FC79C1" w:rsidRPr="009342F9" w:rsidRDefault="00FC79C1" w:rsidP="004E2147">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SECCION 1</w:t>
      </w:r>
    </w:p>
    <w:p w14:paraId="45A33592" w14:textId="77777777" w:rsidR="00FC79C1" w:rsidRDefault="00FC79C1" w:rsidP="004E2147">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DISPOSICIONES GENERALES Y DEFINICIONES</w:t>
      </w:r>
    </w:p>
    <w:p w14:paraId="333EDAC8" w14:textId="77777777" w:rsidR="00DF7F30" w:rsidRPr="009342F9" w:rsidRDefault="00DF7F30" w:rsidP="004E2147">
      <w:pPr>
        <w:spacing w:after="0" w:line="240" w:lineRule="auto"/>
        <w:jc w:val="center"/>
        <w:rPr>
          <w:rFonts w:ascii="Arial" w:eastAsia="Times New Roman" w:hAnsi="Arial" w:cs="Arial"/>
          <w:b/>
          <w:bCs/>
          <w:color w:val="000000"/>
          <w:lang w:eastAsia="es-CO"/>
        </w:rPr>
      </w:pPr>
    </w:p>
    <w:p w14:paraId="214B0A91" w14:textId="77777777" w:rsidR="00FC79C1" w:rsidRPr="009342F9" w:rsidRDefault="00FC79C1" w:rsidP="004E2147">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SUBSECCION 1</w:t>
      </w:r>
    </w:p>
    <w:p w14:paraId="56E11F10" w14:textId="77777777" w:rsidR="00FC79C1" w:rsidRPr="009342F9" w:rsidRDefault="00FC79C1" w:rsidP="004E2147">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DISPOSICIONES GENERALES</w:t>
      </w:r>
    </w:p>
    <w:p w14:paraId="1571801B"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2033" w:name="ver_30076072"/>
      <w:bookmarkEnd w:id="2033"/>
    </w:p>
    <w:p w14:paraId="3E4C56B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2.3.5.1.1.1.1. Objeto. El presente capítulo tiene por objeto reglamentar las normas del Sistema General de Participaciones para Agua Potable y Saneamiento Básico para los departamentos, distritos y municipios relacionadas con el giro de los recursos, la certificación para los distritos y municipios para la administración de los mismos y el aseguramiento de la prestación de los servicios, los efectos del proceso de certificación, la cofinanciación del pago de pasivos laborales de los prestadores de servicios públicos de acueducto, alcantarillado y/o aseo, la destinación mínima para el otorgamiento de subsidios y el ejercicio de las actividades de monitoreo, seguimiento y control a la utilización de dichos recursos. </w:t>
      </w:r>
    </w:p>
    <w:p w14:paraId="3C948F7E" w14:textId="676538BA"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034" w:name="ver_30076073"/>
      <w:bookmarkEnd w:id="2034"/>
    </w:p>
    <w:p w14:paraId="2A51AAC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2.3.5.1.1.1.2. Ámbito de Aplicación. El presente capítulo se aplica a las entidades públicas, privadas y mixtas del orden nacional y territorial, personas prestadoras de los Servicios Públicos Domiciliarios de acueducto, alcantarillado y/o aseo a que se refiere la Ley 142 de 1994, y demás responsables de la distribución, administración, giro, ejecución, compromiso, vigilancia, monitoreo, seguimiento y control de los recursos provenientes del Sistema General de Participaciones y destinados al sector de Agua Potable y Saneamiento Básico. </w:t>
      </w:r>
    </w:p>
    <w:p w14:paraId="57D44EC2" w14:textId="70845D7B"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035" w:name="ver_30076074"/>
      <w:bookmarkEnd w:id="2035"/>
    </w:p>
    <w:p w14:paraId="06DE4E4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2.3.5.1.1.1.3. Información para evaluación. Las entidades territoriales y </w:t>
      </w:r>
      <w:proofErr w:type="gramStart"/>
      <w:r w:rsidRPr="009342F9">
        <w:rPr>
          <w:rFonts w:ascii="Arial" w:eastAsia="Times New Roman" w:hAnsi="Arial" w:cs="Arial"/>
          <w:color w:val="000000"/>
          <w:lang w:eastAsia="es-CO"/>
        </w:rPr>
        <w:t>nacionales,</w:t>
      </w:r>
      <w:proofErr w:type="gramEnd"/>
      <w:r w:rsidRPr="009342F9">
        <w:rPr>
          <w:rFonts w:ascii="Arial" w:eastAsia="Times New Roman" w:hAnsi="Arial" w:cs="Arial"/>
          <w:color w:val="000000"/>
          <w:lang w:eastAsia="es-CO"/>
        </w:rPr>
        <w:t xml:space="preserve"> deberán reportar al Sistema de Seguimiento y Evaluación, la información relacionada con políticas y proyectos de inversión que requiera el Departamento Nacional de Planeación o quien haga sus veces, de acuerdo con el manual de operaciones que dicha Entidad adopte para tal efecto, en cumplimiento del Artículo 343 de la Constitución Política. </w:t>
      </w:r>
    </w:p>
    <w:p w14:paraId="4CBD99FA" w14:textId="6F058A4D" w:rsidR="00FC79C1" w:rsidRPr="009342F9" w:rsidRDefault="00FC79C1" w:rsidP="00E476D9">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0C8EFA1" w14:textId="77777777" w:rsidR="00FC79C1" w:rsidRPr="009342F9" w:rsidRDefault="00FC79C1" w:rsidP="004E2147">
      <w:pPr>
        <w:spacing w:after="0" w:line="240" w:lineRule="auto"/>
        <w:jc w:val="center"/>
        <w:rPr>
          <w:rFonts w:ascii="Arial" w:eastAsia="Times New Roman" w:hAnsi="Arial" w:cs="Arial"/>
          <w:b/>
          <w:bCs/>
          <w:color w:val="000000"/>
          <w:lang w:eastAsia="es-CO"/>
        </w:rPr>
      </w:pPr>
      <w:bookmarkStart w:id="2036" w:name="ver_30076075"/>
      <w:bookmarkEnd w:id="2036"/>
      <w:r w:rsidRPr="009342F9">
        <w:rPr>
          <w:rFonts w:ascii="Arial" w:eastAsia="Times New Roman" w:hAnsi="Arial" w:cs="Arial"/>
          <w:b/>
          <w:bCs/>
          <w:color w:val="000000"/>
          <w:lang w:eastAsia="es-CO"/>
        </w:rPr>
        <w:t>SUBSECCIÓN 2</w:t>
      </w:r>
    </w:p>
    <w:p w14:paraId="579DA4DD" w14:textId="77777777" w:rsidR="00FC79C1" w:rsidRPr="009342F9" w:rsidRDefault="00FC79C1" w:rsidP="004E2147">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DEFINICIONES</w:t>
      </w:r>
    </w:p>
    <w:p w14:paraId="55CAA706"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2037" w:name="ver_30076076"/>
      <w:bookmarkEnd w:id="2037"/>
    </w:p>
    <w:p w14:paraId="5A766AD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2.3.5.1.1.2.4. Definiciones. Para efectos de la aplicación de lo dispuesto en el presente capítulo, se adoptan las siguientes definiciones: </w:t>
      </w:r>
    </w:p>
    <w:p w14:paraId="0BEEB0C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EFF710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1. Asunción Temporal de Competencias. Es una medida correctiva diseñada como uno de los mecanismos de control al manejo de recursos del SGP, por medio de la cual la competencia para asegurar la prestación del servicio la asume temporalmente el departamento, y en el caso de los departamentos o distritos, la Nación, de acuerdo con las disposiciones establecidas en la normatividad única para el sector de Planeación Nacional, Hacienda y Crédito </w:t>
      </w:r>
      <w:proofErr w:type="spellStart"/>
      <w:r w:rsidRPr="009342F9">
        <w:rPr>
          <w:rFonts w:ascii="Arial" w:eastAsia="Times New Roman" w:hAnsi="Arial" w:cs="Arial"/>
          <w:color w:val="000000"/>
          <w:lang w:eastAsia="es-CO"/>
        </w:rPr>
        <w:t>Públicoy</w:t>
      </w:r>
      <w:proofErr w:type="spellEnd"/>
      <w:r w:rsidRPr="009342F9">
        <w:rPr>
          <w:rFonts w:ascii="Arial" w:eastAsia="Times New Roman" w:hAnsi="Arial" w:cs="Arial"/>
          <w:color w:val="000000"/>
          <w:lang w:eastAsia="es-CO"/>
        </w:rPr>
        <w:t>/o las normas que los sustituyan, modifiquen o adicionen. </w:t>
      </w:r>
    </w:p>
    <w:p w14:paraId="089F9A4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DEF020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Capacidad fiscal. Es la capacidad de los municipios o distritos de generar ingresos corrientes de libre destinación, según los resultados de la evaluación de la gestión de todas las entidades territoriales publicado por el Departamento Nacional de Planeación en cumplimiento del artículo 79 de la Ley 617 de 2000 y/o las normas que lo modifiquen, adicionen o aclaren. </w:t>
      </w:r>
    </w:p>
    <w:p w14:paraId="052E2ED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7C70B6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3. Certificación. Es el proceso adelantado por la Superintendencia de Servicios Públicos Domiciliarios (SSPD), mediante el cual se verifica el cumplimiento, por parte de municipios y </w:t>
      </w:r>
      <w:r w:rsidRPr="009342F9">
        <w:rPr>
          <w:rFonts w:ascii="Arial" w:eastAsia="Times New Roman" w:hAnsi="Arial" w:cs="Arial"/>
          <w:color w:val="000000"/>
          <w:lang w:eastAsia="es-CO"/>
        </w:rPr>
        <w:lastRenderedPageBreak/>
        <w:t>distritos, de los requisitos establecidos en los artículos 2.3.5.1.2.1.6. y 2.3.5.1.2.1.7. del presente capítulo en desarrollo de los aspectos establecidos en el artículo 4° de la Ley 1176 de 2007, y por el cual las entidades territoriales certificadas podrán continuar administrando los recursos del SGP – APSB y asegurando la prestación de los servicios de acueducto, alcantarillado y aseo. </w:t>
      </w:r>
    </w:p>
    <w:p w14:paraId="0A0E25F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BD37EF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4. Cofinanciación para el pago de pasivos laborales. Es el apoyo financiero </w:t>
      </w:r>
      <w:proofErr w:type="gramStart"/>
      <w:r w:rsidRPr="009342F9">
        <w:rPr>
          <w:rFonts w:ascii="Arial" w:eastAsia="Times New Roman" w:hAnsi="Arial" w:cs="Arial"/>
          <w:color w:val="000000"/>
          <w:lang w:eastAsia="es-CO"/>
        </w:rPr>
        <w:t>que</w:t>
      </w:r>
      <w:proofErr w:type="gramEnd"/>
      <w:r w:rsidRPr="009342F9">
        <w:rPr>
          <w:rFonts w:ascii="Arial" w:eastAsia="Times New Roman" w:hAnsi="Arial" w:cs="Arial"/>
          <w:color w:val="000000"/>
          <w:lang w:eastAsia="es-CO"/>
        </w:rPr>
        <w:t xml:space="preserve"> en los términos de este capítulo, prestará el departamento al municipio o distrito para contribuir por una sola vez al pago de pasivos laborales de las personas prestadoras de los servicios públicos de acueducto, alcantarillado y aseo de que tratan los numerales 1 y 3 del artículo 15 de la Ley 142 de 1994, con cargo a los recursos de la participación para Agua Potable y Saneamiento Básico del SGP del respectivo departamento. Los pasivos laborales que se cofinancien serán los causados con anterioridad al 1° de enero de 2008, fecha de </w:t>
      </w:r>
      <w:proofErr w:type="gramStart"/>
      <w:r w:rsidRPr="009342F9">
        <w:rPr>
          <w:rFonts w:ascii="Arial" w:eastAsia="Times New Roman" w:hAnsi="Arial" w:cs="Arial"/>
          <w:color w:val="000000"/>
          <w:lang w:eastAsia="es-CO"/>
        </w:rPr>
        <w:t>entrada en vigencia</w:t>
      </w:r>
      <w:proofErr w:type="gramEnd"/>
      <w:r w:rsidRPr="009342F9">
        <w:rPr>
          <w:rFonts w:ascii="Arial" w:eastAsia="Times New Roman" w:hAnsi="Arial" w:cs="Arial"/>
          <w:color w:val="000000"/>
          <w:lang w:eastAsia="es-CO"/>
        </w:rPr>
        <w:t xml:space="preserve"> de la Ley 1176 de 2007. </w:t>
      </w:r>
    </w:p>
    <w:p w14:paraId="5BBAF52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E5C3CE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 cofinanciación del departamento para el pago de pasivos laborales con los recursos del Sistema General de Participaciones como apoyo a un proceso de reestructuración de la prestación de los servicios públicos domiciliarios en el marco del Plan Departamental de Agua, dependerá de la distribución del Plan General Estratégico de Inversiones y el Plan Anual Estratégico y de Inversiones aprobado por el Comité Directivo del PDA o la estructura operativa que haga sus veces. </w:t>
      </w:r>
    </w:p>
    <w:p w14:paraId="2398377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193AA4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5. Contrapartida. Es el monto de los recursos que aportan los municipios o distritos de acuerdo con su capacidad fiscal, para el pago del pasivo laboral de las personas prestadoras de los servicios públicos de acueducto, alcantarillado y aseo de que tratan los numerales 1 y 3 del artículo 15 de la Ley 142 de 1994, causados con anterioridad a la </w:t>
      </w:r>
      <w:proofErr w:type="gramStart"/>
      <w:r w:rsidRPr="009342F9">
        <w:rPr>
          <w:rFonts w:ascii="Arial" w:eastAsia="Times New Roman" w:hAnsi="Arial" w:cs="Arial"/>
          <w:color w:val="000000"/>
          <w:lang w:eastAsia="es-CO"/>
        </w:rPr>
        <w:t>entrada en vigencia</w:t>
      </w:r>
      <w:proofErr w:type="gramEnd"/>
      <w:r w:rsidRPr="009342F9">
        <w:rPr>
          <w:rFonts w:ascii="Arial" w:eastAsia="Times New Roman" w:hAnsi="Arial" w:cs="Arial"/>
          <w:color w:val="000000"/>
          <w:lang w:eastAsia="es-CO"/>
        </w:rPr>
        <w:t xml:space="preserve"> de la Ley 1176 de 2007. </w:t>
      </w:r>
    </w:p>
    <w:p w14:paraId="38F7BFB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383384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6. Control. Comprende la adopción de medidas preventivas y la determinación efectiva de los correctivos necesarios respecto de las entidades territoriales, que se identifiquen en las actividades de monitoreo o seguimiento, orientadas a asegurar la adecuada ejecución de los recursos del Sistema General de Participaciones, el cumplimiento de las metas de continuidad, cobertura y calidad y la adecuada prestación de los servicios a su cargo. </w:t>
      </w:r>
    </w:p>
    <w:p w14:paraId="2C1309B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1683FA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7. Descertificación. Es la consecuencia de no obtener la certificación de que trata el numeral 3. Los distritos y municipios que sean descertificados no podrán administrar los recursos de SGP – APSB, asegurar la prestación de los servicios públicos domiciliarios de Acueducto, Alcantarillado y Aseo, ni realizar nuevos compromisos con cargo a los mismos, a partir de la fecha de la descertificación. </w:t>
      </w:r>
    </w:p>
    <w:p w14:paraId="475E5D1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A25B4B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8. Evaluación Integral. Es el análisis que realiza la Superintendencia de Servicios Públicos Domiciliarios de la gestión financiera, técnica y administrativa de los prestadores de servicios públicos sujetos a su control, inspección y vigilancia, de acuerdo con indicadores definidos por las comisiones de regulación. </w:t>
      </w:r>
    </w:p>
    <w:p w14:paraId="6391976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36A57F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9. Fondo de Solidaridad y Redistribución de Ingresos (FSRI). Son cuentas especiales que de acuerdo con la Ley 142 de 1994, deben constituir los municipios, distritos y departamentos en su contabilidad y presupuesto, a través de las cuales se contabilizarán los recursos destinados a otorgar subsidios a los servicios públicos domiciliarios. Dentro de cada Fondo se llevará la contabilidad de cada servicio de manera separada, y al interior de ellos no podrán hacerse transferencias de recursos entre servicios. </w:t>
      </w:r>
    </w:p>
    <w:p w14:paraId="01BD306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1F7274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10. Formulario Único Territorial (FUT). Es el formulario mediante el cual se reporta la información presupuestal y financiera y aquella requerida para efectos de desarrollar las actividades de monitoreo, seguimiento, evaluación y control a la utilización de los recursos del Sistema General de Participaciones, de conformidad con las normas aplicables. </w:t>
      </w:r>
    </w:p>
    <w:p w14:paraId="11A9ACC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5570A3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11. Monitoreo. Comprende la recopilación sistemática de información, su consolidación, análisis y verificación, para el cálculo de indicadores específicos y estratégicos de cada sector, que permitan identificar acciones u omisiones por parte de las entidades territoriales que puedan poner en riesgo la adecuada utilización de los recursos del Sistema General de Participaciones. </w:t>
      </w:r>
    </w:p>
    <w:p w14:paraId="672ECBD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94F19B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12. Pasivos laborales. Son todas las obligaciones causadas con anterioridad a la </w:t>
      </w:r>
      <w:proofErr w:type="gramStart"/>
      <w:r w:rsidRPr="009342F9">
        <w:rPr>
          <w:rFonts w:ascii="Arial" w:eastAsia="Times New Roman" w:hAnsi="Arial" w:cs="Arial"/>
          <w:color w:val="000000"/>
          <w:lang w:eastAsia="es-CO"/>
        </w:rPr>
        <w:t>entrada en vigencia</w:t>
      </w:r>
      <w:proofErr w:type="gramEnd"/>
      <w:r w:rsidRPr="009342F9">
        <w:rPr>
          <w:rFonts w:ascii="Arial" w:eastAsia="Times New Roman" w:hAnsi="Arial" w:cs="Arial"/>
          <w:color w:val="000000"/>
          <w:lang w:eastAsia="es-CO"/>
        </w:rPr>
        <w:t xml:space="preserve"> de la Ley 1176 de 2007, derivadas del contrato de trabajo o una relación legal y reglamentaria con las personas prestadoras de los servicios públicos de acueducto, alcantarillado y aseo de que tratan los numerales 1 y 3 del artículo 15 de la Ley 142 de 1994. En ningún caso se entenderá como pasivo laboral, el relacionado con contratos de prestación de servicios o cualquier otra relación que no genere vínculo laboral. </w:t>
      </w:r>
    </w:p>
    <w:p w14:paraId="3A99C80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89AE8B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13. Plan de Desempeño. Es la medida preventiva diseñada como uno de los mecanismos de control al manejo de los recursos del SGP, por medio de la cual el ente territorial se obliga a desarrollar las actividades orientadas a mitigar o eliminar los eventos de riesgo identificados en las actividades de monitoreo o seguimiento. </w:t>
      </w:r>
    </w:p>
    <w:p w14:paraId="29DE953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B0F259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14. Seguimiento. Comprende la evaluación y análisis de los procesos administrativos, institucionales, fiscales, presupuestales, contractuales y sectoriales de las entidades territoriales, las cuales permiten evidenciar y cualificar la existencia de eventos de riesgo que afectan o puedan llegar a afectar la ejecución de los recursos, el cumplimiento de las metas de continuidad, cobertura y calidad en la prestación de servicios. </w:t>
      </w:r>
    </w:p>
    <w:p w14:paraId="6F20E33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BB8E5D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15. Sistema General de Participaciones – Participación para Agua Potable y Saneamiento Básico, SGP – APSB. Son los recursos que la Nación transfiere por mandato de los artículos 356 y 357 de la Constitución Política a las entidades territoriales, para la financiación del sector de Agua Potable y Saneamiento Básico en los términos de la Ley 1176 de 2007 y demás normas que le complementen, modifiquen o sustituyan. </w:t>
      </w:r>
    </w:p>
    <w:p w14:paraId="5F56E39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365FA5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16. Sistema Único de Información (SUI). Es el sistema único de información para los servicios públicos domiciliarios y actividades complementarias de que trata la Ley 142 de 1994, el cual se nutre de la información proveniente de los prestadores de los servicios de acueducto, alcantarillado y aseo, de las entidades territoriales y demás obligados a reportar información; cumple las funciones establecidas en el artículo 14 de la Ley 689 de 2001 y es administrado por la Superintendencia de Servicios Públicos Domiciliarios (SSPD), de conformidad con las normas aplicables. </w:t>
      </w:r>
    </w:p>
    <w:p w14:paraId="07BE64B2" w14:textId="2BA8A6E7" w:rsidR="004E2147"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4FC0B65" w14:textId="77777777" w:rsidR="00FC79C1" w:rsidRPr="009342F9" w:rsidRDefault="00FC79C1" w:rsidP="004E2147">
      <w:pPr>
        <w:spacing w:after="0" w:line="240" w:lineRule="auto"/>
        <w:jc w:val="center"/>
        <w:rPr>
          <w:rFonts w:ascii="Arial" w:eastAsia="Times New Roman" w:hAnsi="Arial" w:cs="Arial"/>
          <w:b/>
          <w:bCs/>
          <w:color w:val="000000"/>
          <w:lang w:eastAsia="es-CO"/>
        </w:rPr>
      </w:pPr>
      <w:bookmarkStart w:id="2038" w:name="ver_30076077"/>
      <w:bookmarkEnd w:id="2038"/>
      <w:r w:rsidRPr="009342F9">
        <w:rPr>
          <w:rFonts w:ascii="Arial" w:eastAsia="Times New Roman" w:hAnsi="Arial" w:cs="Arial"/>
          <w:b/>
          <w:bCs/>
          <w:color w:val="000000"/>
          <w:lang w:eastAsia="es-CO"/>
        </w:rPr>
        <w:t>SECCIÓN 2</w:t>
      </w:r>
    </w:p>
    <w:p w14:paraId="444DFE74" w14:textId="77777777" w:rsidR="00FC79C1" w:rsidRPr="009342F9" w:rsidRDefault="00FC79C1" w:rsidP="004E2147">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PROCESO DE CERTIFICACIÓN</w:t>
      </w:r>
    </w:p>
    <w:p w14:paraId="5AB6B592" w14:textId="77777777" w:rsidR="00EE4153" w:rsidRDefault="00EE4153" w:rsidP="004E2147">
      <w:pPr>
        <w:spacing w:after="0" w:line="240" w:lineRule="auto"/>
        <w:jc w:val="center"/>
        <w:rPr>
          <w:rFonts w:ascii="Arial" w:eastAsia="Times New Roman" w:hAnsi="Arial" w:cs="Arial"/>
          <w:b/>
          <w:bCs/>
          <w:color w:val="000000"/>
          <w:lang w:eastAsia="es-CO"/>
        </w:rPr>
      </w:pPr>
    </w:p>
    <w:p w14:paraId="7F277D08" w14:textId="36D66A3F" w:rsidR="00FC79C1" w:rsidRPr="009342F9" w:rsidRDefault="00FC79C1" w:rsidP="004E2147">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SUBSECCIÓN 1</w:t>
      </w:r>
    </w:p>
    <w:p w14:paraId="28F49465" w14:textId="77777777" w:rsidR="00FC79C1" w:rsidRPr="009342F9" w:rsidRDefault="00FC79C1" w:rsidP="004E2147">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DISPOSICIONES GENERALES</w:t>
      </w:r>
    </w:p>
    <w:p w14:paraId="49ED9D2A"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2039" w:name="ver_30076078"/>
      <w:bookmarkEnd w:id="2039"/>
    </w:p>
    <w:p w14:paraId="3BB3301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2.3.5.1.2.1.5. Proceso de certificación. La Superintendencia de Servicios Públicos Domiciliarios adelantará el proceso de certificación de acuerdo con lo establecido en el parágrafo </w:t>
      </w:r>
      <w:r w:rsidRPr="009342F9">
        <w:rPr>
          <w:rFonts w:ascii="Arial" w:eastAsia="Times New Roman" w:hAnsi="Arial" w:cs="Arial"/>
          <w:color w:val="000000"/>
          <w:lang w:eastAsia="es-CO"/>
        </w:rPr>
        <w:lastRenderedPageBreak/>
        <w:t>del artículo 4° de la Ley 1176 de 2007. Para estos efectos, verificará lo señalado en los artículos siguientes. </w:t>
      </w:r>
    </w:p>
    <w:p w14:paraId="00581F91" w14:textId="2ED89FBF"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040" w:name="ver_30188856"/>
      <w:bookmarkStart w:id="2041" w:name="ver_30076079"/>
      <w:bookmarkEnd w:id="2040"/>
    </w:p>
    <w:p w14:paraId="4FBFB71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2.3.5.1.2.1.6. Requisitos generales para los municipios y distritos. Para los municipios y distritos de todas las categorías se verificará cada año, empezando con la vigencia 2013 la cual será evaluada en el año 2014 y así sucesivamente, el cumplimiento de los requisitos que se establecen a continuación: </w:t>
      </w:r>
    </w:p>
    <w:p w14:paraId="62E90428" w14:textId="0050D235"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051609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Parágrafo </w:t>
      </w:r>
      <w:proofErr w:type="spellStart"/>
      <w:proofErr w:type="gramStart"/>
      <w:r w:rsidRPr="009342F9">
        <w:rPr>
          <w:rFonts w:ascii="Arial" w:eastAsia="Times New Roman" w:hAnsi="Arial" w:cs="Arial"/>
          <w:color w:val="000000"/>
          <w:lang w:eastAsia="es-CO"/>
        </w:rPr>
        <w:t>transitorio.Los</w:t>
      </w:r>
      <w:proofErr w:type="spellEnd"/>
      <w:proofErr w:type="gramEnd"/>
      <w:r w:rsidRPr="009342F9">
        <w:rPr>
          <w:rFonts w:ascii="Arial" w:eastAsia="Times New Roman" w:hAnsi="Arial" w:cs="Arial"/>
          <w:color w:val="000000"/>
          <w:lang w:eastAsia="es-CO"/>
        </w:rPr>
        <w:t xml:space="preserve"> municipios o distritos que como resultado del proceso de certificación de la vigencia 2016, (a) se encuentren descertificados con decisión ejecutoriada, o, (b) aquellos que se encuentren en proceso de descertificación; podrán obtener la certificación para dicha vigencia, demostrando antes del 30 de marzo de 2018, ante la Superintendencia de Servicios Públicos Domiciliarios el cumplimiento de los requisitos que originaron su descertificación. </w:t>
      </w:r>
    </w:p>
    <w:p w14:paraId="0CD5795B" w14:textId="77777777" w:rsidR="004E2147" w:rsidRPr="009342F9" w:rsidRDefault="004E2147" w:rsidP="00FC79C1">
      <w:pPr>
        <w:spacing w:after="0" w:line="240" w:lineRule="auto"/>
        <w:jc w:val="both"/>
        <w:rPr>
          <w:rFonts w:ascii="Arial" w:eastAsia="Times New Roman" w:hAnsi="Arial" w:cs="Arial"/>
          <w:color w:val="000000"/>
          <w:lang w:eastAsia="es-CO"/>
        </w:rPr>
      </w:pPr>
    </w:p>
    <w:p w14:paraId="6CF3C743" w14:textId="2F4F35F3"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Para tales efectos, los municipios y distritos deberán: </w:t>
      </w:r>
    </w:p>
    <w:p w14:paraId="17ED0B3A" w14:textId="77777777" w:rsidR="004E2147" w:rsidRPr="009342F9" w:rsidRDefault="004E2147" w:rsidP="00FC79C1">
      <w:pPr>
        <w:spacing w:after="0" w:line="240" w:lineRule="auto"/>
        <w:jc w:val="both"/>
        <w:rPr>
          <w:rFonts w:ascii="Arial" w:eastAsia="Times New Roman" w:hAnsi="Arial" w:cs="Arial"/>
          <w:color w:val="000000"/>
          <w:lang w:eastAsia="es-CO"/>
        </w:rPr>
      </w:pPr>
    </w:p>
    <w:p w14:paraId="5F3054F1" w14:textId="379CDD92"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i) Subsanar el requisito incumplido en relación con la vigencia objeto de la verificación que originó la descertificación; y/o </w:t>
      </w:r>
    </w:p>
    <w:p w14:paraId="1DC525FE" w14:textId="77777777" w:rsidR="004E2147" w:rsidRPr="009342F9" w:rsidRDefault="004E2147" w:rsidP="00FC79C1">
      <w:pPr>
        <w:spacing w:after="0" w:line="240" w:lineRule="auto"/>
        <w:jc w:val="both"/>
        <w:rPr>
          <w:rFonts w:ascii="Arial" w:eastAsia="Times New Roman" w:hAnsi="Arial" w:cs="Arial"/>
          <w:color w:val="000000"/>
          <w:lang w:eastAsia="es-CO"/>
        </w:rPr>
      </w:pPr>
    </w:p>
    <w:p w14:paraId="5C378847" w14:textId="7BD4621E"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ii) Demostrando en una vigencia posterior a la evaluada el cumplimiento del requisito que originó la descertificación. </w:t>
      </w:r>
    </w:p>
    <w:p w14:paraId="5973E6C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E686795" w14:textId="2E609535"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Apartado 1.</w:t>
      </w:r>
      <w:r w:rsidR="00EE4153">
        <w:rPr>
          <w:rFonts w:ascii="Arial" w:eastAsia="Times New Roman" w:hAnsi="Arial" w:cs="Arial"/>
          <w:color w:val="000000"/>
          <w:lang w:eastAsia="es-CO"/>
        </w:rPr>
        <w:t xml:space="preserve"> </w:t>
      </w:r>
      <w:r w:rsidRPr="009342F9">
        <w:rPr>
          <w:rFonts w:ascii="Arial" w:eastAsia="Times New Roman" w:hAnsi="Arial" w:cs="Arial"/>
          <w:color w:val="000000"/>
          <w:lang w:eastAsia="es-CO"/>
        </w:rPr>
        <w:t xml:space="preserve">Los municipios o distritos que se encuentren descertificados con decisión </w:t>
      </w:r>
      <w:proofErr w:type="gramStart"/>
      <w:r w:rsidRPr="009342F9">
        <w:rPr>
          <w:rFonts w:ascii="Arial" w:eastAsia="Times New Roman" w:hAnsi="Arial" w:cs="Arial"/>
          <w:color w:val="000000"/>
          <w:lang w:eastAsia="es-CO"/>
        </w:rPr>
        <w:t>ejecutoriada,</w:t>
      </w:r>
      <w:proofErr w:type="gramEnd"/>
      <w:r w:rsidRPr="009342F9">
        <w:rPr>
          <w:rFonts w:ascii="Arial" w:eastAsia="Times New Roman" w:hAnsi="Arial" w:cs="Arial"/>
          <w:color w:val="000000"/>
          <w:lang w:eastAsia="es-CO"/>
        </w:rPr>
        <w:t xml:space="preserve"> podrán acogerse a lo dispuesto en el presente artículo, efectuando nueva solicitud ante la Superintendencia de Servicios Públicos Domiciliarios, allegando las pruebas que soporten el cumplimiento de los requisitos. En este caso, será necesario el inicio de una nueva actuación administrativa. </w:t>
      </w:r>
    </w:p>
    <w:p w14:paraId="52F44698" w14:textId="77777777" w:rsidR="004E2147" w:rsidRPr="009342F9" w:rsidRDefault="004E2147" w:rsidP="00FC79C1">
      <w:pPr>
        <w:spacing w:after="0" w:line="240" w:lineRule="auto"/>
        <w:jc w:val="both"/>
        <w:rPr>
          <w:rFonts w:ascii="Arial" w:eastAsia="Times New Roman" w:hAnsi="Arial" w:cs="Arial"/>
          <w:color w:val="000000"/>
          <w:lang w:eastAsia="es-CO"/>
        </w:rPr>
      </w:pPr>
    </w:p>
    <w:p w14:paraId="165AA76F" w14:textId="749D55DF"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Aquellos municipios o distritos que estando en proceso de descertificación pero que aún no tengan la decisión en firme, podrán acogerse a lo dispuesto en el presente parágrafo, anexando los elementos de juicio que evidencien el cumplimiento del requisito. En este caso, sólo tendrán la calidad de descertificados hasta que la Superintendencia de Servicios Públicos Domiciliarios decida sobre esta situación, sin que sea necesario el inicio de una nueva actuación administrativa. </w:t>
      </w:r>
    </w:p>
    <w:p w14:paraId="2ED5FAC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203947D" w14:textId="65E1BC93"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Apartado 2.</w:t>
      </w:r>
      <w:r w:rsidR="00EE4153">
        <w:rPr>
          <w:rFonts w:ascii="Arial" w:eastAsia="Times New Roman" w:hAnsi="Arial" w:cs="Arial"/>
          <w:color w:val="000000"/>
          <w:lang w:eastAsia="es-CO"/>
        </w:rPr>
        <w:t xml:space="preserve"> </w:t>
      </w:r>
      <w:r w:rsidRPr="009342F9">
        <w:rPr>
          <w:rFonts w:ascii="Arial" w:eastAsia="Times New Roman" w:hAnsi="Arial" w:cs="Arial"/>
          <w:color w:val="000000"/>
          <w:lang w:eastAsia="es-CO"/>
        </w:rPr>
        <w:t>Para el caso del requisito relacionado con el pago de subsidios del aspecto “aplicación de la metodología establecida por el Gobierno nacional para asegurar el equilibrio entre los subsidios y las contribuciones de los servicios públicos domiciliarios de acueducto, alcantarillado y aseo” al que se refiere el artículo 4°de la Ley 1176 de 2007, se tendrá como acreditado siempre y cuando los municipios o distritos demuestren el pago de los subsidios de los servicios públicos de acueducto, alcantarillado y aseo correspondientes a la vigencia evaluada que originó la descertificación. </w:t>
      </w:r>
    </w:p>
    <w:p w14:paraId="7550F941" w14:textId="77777777" w:rsidR="004E2147" w:rsidRPr="009342F9" w:rsidRDefault="004E2147" w:rsidP="00FC79C1">
      <w:pPr>
        <w:spacing w:after="0" w:line="240" w:lineRule="auto"/>
        <w:jc w:val="both"/>
        <w:rPr>
          <w:rFonts w:ascii="Arial" w:eastAsia="Times New Roman" w:hAnsi="Arial" w:cs="Arial"/>
          <w:color w:val="000000"/>
          <w:lang w:eastAsia="es-CO"/>
        </w:rPr>
      </w:pPr>
    </w:p>
    <w:p w14:paraId="2E195762" w14:textId="74F034D1"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Lo anterior, únicamente para efectos del objeto del presente capítulo, sin que ello signifique que se exime a las entidades territoriales de la obligación legal del pago de subsidios y sin perjuicio de las acciones que adelanten las entidades competentes, derivadas del incumplimiento en el pago oportuno de los subsidios. </w:t>
      </w:r>
    </w:p>
    <w:p w14:paraId="1D3A238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A725646" w14:textId="4A48CCB3"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Apartado 3.</w:t>
      </w:r>
      <w:r w:rsidR="00EE4153">
        <w:rPr>
          <w:rFonts w:ascii="Arial" w:eastAsia="Times New Roman" w:hAnsi="Arial" w:cs="Arial"/>
          <w:color w:val="000000"/>
          <w:lang w:eastAsia="es-CO"/>
        </w:rPr>
        <w:t xml:space="preserve"> </w:t>
      </w:r>
      <w:r w:rsidRPr="009342F9">
        <w:rPr>
          <w:rFonts w:ascii="Arial" w:eastAsia="Times New Roman" w:hAnsi="Arial" w:cs="Arial"/>
          <w:color w:val="000000"/>
          <w:lang w:eastAsia="es-CO"/>
        </w:rPr>
        <w:t xml:space="preserve">En el caso del reporte al Formulario Único Territorial (FUT) y al Sistema Único de Información (SUI), los requisitos incumplidos se podrán acreditar igualmente mediante la presentación de la documentación pertinente que soporte su cumplimiento. Cuando los requisitos </w:t>
      </w:r>
      <w:r w:rsidRPr="009342F9">
        <w:rPr>
          <w:rFonts w:ascii="Arial" w:eastAsia="Times New Roman" w:hAnsi="Arial" w:cs="Arial"/>
          <w:color w:val="000000"/>
          <w:lang w:eastAsia="es-CO"/>
        </w:rPr>
        <w:lastRenderedPageBreak/>
        <w:t>no se acrediten con el reporte al FUT, la Superintendencia de Servicios Públicos Domiciliarios enviará la información correspondiente al Ministerio de Vivienda, Ciudad y Territorio con el fin de que verifique e informe su cumplimiento” </w:t>
      </w:r>
    </w:p>
    <w:p w14:paraId="79D87C80"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2042" w:name="ver_30188858"/>
      <w:bookmarkStart w:id="2043" w:name="ver_30076080"/>
      <w:bookmarkEnd w:id="2041"/>
      <w:bookmarkEnd w:id="2042"/>
    </w:p>
    <w:p w14:paraId="012D46C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2.3.5.1.2.1.7. Requisitos adicionales para municipios y distritos que presten directamente los servicios de acueducto, alcantarillado y/o aseo. Salvo lo dispuesto en el parágrafo primero del presente artículo, para los municipios y distritos que tengan la calidad de prestadores directos se verificará cada dos años, el cumplimiento de los requisitos que se establecen a continuación, adicionales a los establecidos en el artículo 2.3.5.1.2.1.6 del presente capítulo: </w:t>
      </w:r>
    </w:p>
    <w:p w14:paraId="3614DADB" w14:textId="5627C3F0"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91CCBB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Parágrafo 1°. El municipio o distrito prestador directo que se encuentre descertificado por uno o varios de los aspectos del presente </w:t>
      </w:r>
      <w:proofErr w:type="gramStart"/>
      <w:r w:rsidRPr="009342F9">
        <w:rPr>
          <w:rFonts w:ascii="Arial" w:eastAsia="Times New Roman" w:hAnsi="Arial" w:cs="Arial"/>
          <w:color w:val="000000"/>
          <w:lang w:eastAsia="es-CO"/>
        </w:rPr>
        <w:t>artículo,</w:t>
      </w:r>
      <w:proofErr w:type="gramEnd"/>
      <w:r w:rsidRPr="009342F9">
        <w:rPr>
          <w:rFonts w:ascii="Arial" w:eastAsia="Times New Roman" w:hAnsi="Arial" w:cs="Arial"/>
          <w:color w:val="000000"/>
          <w:lang w:eastAsia="es-CO"/>
        </w:rPr>
        <w:t xml:space="preserve"> podrá obtener la certificación en la siguiente vigencia, acreditando, adicionalmente a los requisitos establecidos en el artículo 2.3.5.1.2.1.6 del presente capítulo, el cumplimiento del aspecto o aspectos incumplidos, de acuerdo con los requisitos exigidos en la vigencia a certificar. Lo anterior, sin perjuicio de la verificación que se realizará cada dos años de la totalidad de los requisitos para prestadores directos. </w:t>
      </w:r>
    </w:p>
    <w:p w14:paraId="40C0023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12311C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2°. El cumplimiento de los requisitos establecidos en el presente artículo se circunscriben al proceso de certificación de los recursos del Sistema General de Participaciones para Agua Potable y Saneamiento Básico y no es impedimento para que la Superintendencia de Servicios Públicos Domiciliarios en el ejercicio de sus funciones de inspección, control y vigilancia, pueda adoptar las medidas preventivas o correctivas que considere pertinentes, y/o para que el Ministerio de Vivienda, Ciudad y Territorio, adelante la actividad de monitoreo de los recursos del Sistema General de Participaciones para Agua Potable y Saneamiento Básico. </w:t>
      </w:r>
    </w:p>
    <w:p w14:paraId="51728DE3" w14:textId="39B3DE06"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2BA268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Parágrafo </w:t>
      </w:r>
      <w:proofErr w:type="spellStart"/>
      <w:proofErr w:type="gramStart"/>
      <w:r w:rsidRPr="009342F9">
        <w:rPr>
          <w:rFonts w:ascii="Arial" w:eastAsia="Times New Roman" w:hAnsi="Arial" w:cs="Arial"/>
          <w:color w:val="000000"/>
          <w:lang w:eastAsia="es-CO"/>
        </w:rPr>
        <w:t>transitorio.Los</w:t>
      </w:r>
      <w:proofErr w:type="spellEnd"/>
      <w:proofErr w:type="gramEnd"/>
      <w:r w:rsidRPr="009342F9">
        <w:rPr>
          <w:rFonts w:ascii="Arial" w:eastAsia="Times New Roman" w:hAnsi="Arial" w:cs="Arial"/>
          <w:color w:val="000000"/>
          <w:lang w:eastAsia="es-CO"/>
        </w:rPr>
        <w:t xml:space="preserve"> municipios o distritos prestadores directos que como resultado del proceso de certificación de la vigencia 2016, (a) se encuentren descertificados con decisión ejecutoriada, o, (b) aquellos que se encuentren en proceso de descertificación; podrán obtener la certificación para dicha vigencia, demostrando antes del 30 de marzo de 2018, ante la Superintendencia de Servicios Públicos Domiciliarios el cumplimiento de los requisitos que originaron su descertificación. </w:t>
      </w:r>
    </w:p>
    <w:p w14:paraId="2A6462C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0D23949" w14:textId="445950F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Para los efectos del cumplimiento de los requisitos ante la Superintendencia de Servicios Públicos Domiciliarios, los municipios o distritos prestadores directos deberán tener en cuenta el apartado 1 del parágrafo transitorio del artículo 2.3.5.1.2.1.6. Para tales efectos, los municipios y distritos prestadores directos deberán: </w:t>
      </w:r>
    </w:p>
    <w:p w14:paraId="0BEC7F4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ADBDE3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i) Subsanar el requisito incumplido en relación con la vigencia objeto de la verificación que originó la descertificación; y/o </w:t>
      </w:r>
    </w:p>
    <w:p w14:paraId="2BC81C86" w14:textId="77777777" w:rsidR="0015442F" w:rsidRPr="009342F9" w:rsidRDefault="0015442F" w:rsidP="00FC79C1">
      <w:pPr>
        <w:spacing w:after="0" w:line="240" w:lineRule="auto"/>
        <w:jc w:val="both"/>
        <w:rPr>
          <w:rFonts w:ascii="Arial" w:eastAsia="Times New Roman" w:hAnsi="Arial" w:cs="Arial"/>
          <w:color w:val="000000"/>
          <w:lang w:eastAsia="es-CO"/>
        </w:rPr>
      </w:pPr>
    </w:p>
    <w:p w14:paraId="2FE90E38" w14:textId="3183E3D4"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ii) Demostrando en una vigencia posterior a la evaluada el cumplimiento del requisito que originó la descertificación. </w:t>
      </w:r>
    </w:p>
    <w:p w14:paraId="59F03517" w14:textId="77777777" w:rsidR="0015442F" w:rsidRPr="009342F9" w:rsidRDefault="0015442F" w:rsidP="00FC79C1">
      <w:pPr>
        <w:spacing w:after="0" w:line="240" w:lineRule="auto"/>
        <w:jc w:val="both"/>
        <w:rPr>
          <w:rFonts w:ascii="Arial" w:eastAsia="Times New Roman" w:hAnsi="Arial" w:cs="Arial"/>
          <w:color w:val="000000"/>
          <w:lang w:eastAsia="es-CO"/>
        </w:rPr>
      </w:pPr>
    </w:p>
    <w:p w14:paraId="1AD34832" w14:textId="36FB18B9"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Además del reporte al Sistema Único de Información (SUI), los requisitos incumplidos se podrán acreditar igualmente mediante la presentación de la documentación pertinente que soporte su cumplimiento. </w:t>
      </w:r>
    </w:p>
    <w:p w14:paraId="42523811" w14:textId="5E442354"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044" w:name="ver_30076081"/>
      <w:bookmarkEnd w:id="2043"/>
      <w:bookmarkEnd w:id="2044"/>
    </w:p>
    <w:p w14:paraId="673DCC5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2.3.5.1.2.1.8. Condición del municipio o distrito. Para efectos del proceso de certificación que adelante la Superintendencia de Servicios Públicos Domiciliarios, se tendrá en cuenta la condición de prestador directo o no de los servicios de acueducto, alcantarillado y/o aseo que ostente el municipio o distrito al 31 de diciembre de la vigencia a certificar, según la clasificación </w:t>
      </w:r>
      <w:r w:rsidRPr="009342F9">
        <w:rPr>
          <w:rFonts w:ascii="Arial" w:eastAsia="Times New Roman" w:hAnsi="Arial" w:cs="Arial"/>
          <w:color w:val="000000"/>
          <w:lang w:eastAsia="es-CO"/>
        </w:rPr>
        <w:lastRenderedPageBreak/>
        <w:t>del Registro Único de Prestadores de Servicios (RUPS), registrado en el Sistema Único de Información (SUI). </w:t>
      </w:r>
    </w:p>
    <w:p w14:paraId="48D4786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A1CB32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Al municipio o distrito que durante la vigencia a certificar no hubiera tenido las competencias para administrar los recursos del Sistema General de Participaciones del sector y asegurar la prestación de los servicios de Agua Potable y Saneamiento Básico, por efecto de encontrarse descertificado, no se le tendrá en cuenta dentro del proceso de certificación el cumplimiento de los requisitos relacionados con los siguientes aspectos: </w:t>
      </w:r>
    </w:p>
    <w:p w14:paraId="5A10E86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5B0BB7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“Destinación y giro de los recursos de la participación para Agua Potable y Saneamiento Básico, con el propósito de financiar actividades elegibles conforme a lo establecido en el artículo 11 de la Ley 1176 de 2007”, “Creación y puesta en funcionamiento del Fondo de Solidaridad y Redistribución de Ingresos» y “Cumplimiento de lo establecido en el artículo 6° de la Ley 142 de 1994”.  </w:t>
      </w:r>
    </w:p>
    <w:p w14:paraId="0656040D" w14:textId="127CCA62"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045" w:name="ver_30076083"/>
      <w:bookmarkEnd w:id="2045"/>
    </w:p>
    <w:p w14:paraId="2CE6185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2.3.5.1.2.1.9. Plazos. Para efectos del proceso de certificación, la Superintendencia de Servicios Públicos Domiciliarios verificará que los municipios y distritos hayan dado cumplimiento a los requisitos que se establecen en los artículos 2.3.5.1.2.1.6 y 2.3.5.1.2.1.7 del presente capítulo, teniendo en cuenta los siguientes plazos: </w:t>
      </w:r>
    </w:p>
    <w:p w14:paraId="12400B6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E036EA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Plazos para el cumplimiento de los requisitos del artículo 2.3.5.1.2.1.6. </w:t>
      </w:r>
    </w:p>
    <w:p w14:paraId="194D2190" w14:textId="490BABAD"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F0D435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 información que el Ministerio de Vivienda, Ciudad y Territorio deba remitir a la Superintendencia de Servicios Públicos Domiciliarios, de conformidad con lo dispuesto en el artículo 2.3.5.1.2.1.6. del presente capítulo, será enviada a más tardar el 30 de mayo de cada vigencia, siempre y cuando no se modifiquen los plazos establecidos por la Contaduría General de la Nación. </w:t>
      </w:r>
    </w:p>
    <w:p w14:paraId="7ADE2D8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884D58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Los resultados del proceso de certificación serán expedidos por la Superintendencia de Servicios Públicos Domiciliarios a más tardar el 30 de septiembre de cada año, siempre y cuando no se modifiquen los plazos establecidos por la Contaduría General de la Nación. </w:t>
      </w:r>
    </w:p>
    <w:p w14:paraId="5B016FD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12C815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1°. Los resultados del proceso de certificación de la vigencia 2013 serán expedidos por la Superintendencia de Servicios Públicos Domiciliarios a más tardar el 31 de diciembre de 2014. </w:t>
      </w:r>
    </w:p>
    <w:p w14:paraId="036AD89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5033D7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2°. A partir de la vigencia a certificar 2014, el Ministerio de Vivienda, Ciudad y Territorio y el Departamento Nacional de Planeación, a través de resolución conjunta, determinarán los plazos para el cumplimiento de los requisitos del proceso de certificación. </w:t>
      </w:r>
    </w:p>
    <w:p w14:paraId="50CA87B6" w14:textId="77777777" w:rsidR="00E476D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046" w:name="ver_30076085"/>
      <w:bookmarkEnd w:id="2046"/>
    </w:p>
    <w:p w14:paraId="60F0251D" w14:textId="65ED044A"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2.3.5.1.2.1.10. Procedimiento para expedir la certificación. La Superintendencia de Servicios Públicos </w:t>
      </w:r>
      <w:proofErr w:type="gramStart"/>
      <w:r w:rsidRPr="009342F9">
        <w:rPr>
          <w:rFonts w:ascii="Arial" w:eastAsia="Times New Roman" w:hAnsi="Arial" w:cs="Arial"/>
          <w:color w:val="000000"/>
          <w:lang w:eastAsia="es-CO"/>
        </w:rPr>
        <w:t>Domiciliarios</w:t>
      </w:r>
      <w:proofErr w:type="gramEnd"/>
      <w:r w:rsidRPr="009342F9">
        <w:rPr>
          <w:rFonts w:ascii="Arial" w:eastAsia="Times New Roman" w:hAnsi="Arial" w:cs="Arial"/>
          <w:color w:val="000000"/>
          <w:lang w:eastAsia="es-CO"/>
        </w:rPr>
        <w:t xml:space="preserve"> así como el Ministerio de Vivienda, Ciudad y Territorio definirán sus protocolos para la revisión de la información y de los requisitos que a cada uno de ellos corresponde verificar. </w:t>
      </w:r>
    </w:p>
    <w:p w14:paraId="77CCA5F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109070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 Superintendencia de Servicios Públicos Domiciliarios aplicará las normas del Código de Procedimiento Administrativo y de lo Contencioso Administrativo en lo que se refiere a la actuación administrativa, notificaciones, pruebas y recursos. </w:t>
      </w:r>
    </w:p>
    <w:p w14:paraId="525F2D7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861437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El acto administrativo en firme que resulte del proceso de certificación expedido por la Superintendencia de Servicios Públicos Domiciliarios, ordenará comunicar al Departamento Nacional de Planeación, al Ministerio de Vivienda, Ciudad y Territorio, al Ministerio de Hacienda </w:t>
      </w:r>
      <w:r w:rsidRPr="009342F9">
        <w:rPr>
          <w:rFonts w:ascii="Arial" w:eastAsia="Times New Roman" w:hAnsi="Arial" w:cs="Arial"/>
          <w:color w:val="000000"/>
          <w:lang w:eastAsia="es-CO"/>
        </w:rPr>
        <w:lastRenderedPageBreak/>
        <w:t>y Crédito Público y al respectivo departamento, el contenido de la Resolución para efectos del cumplimiento de lo previsto en el artículo 5° de la Ley 1176 de 2007 y su posterior publicación en la página web institucional de la SSPD. </w:t>
      </w:r>
    </w:p>
    <w:p w14:paraId="684B0A84"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2047" w:name="ver_30076087"/>
      <w:bookmarkEnd w:id="2047"/>
      <w:r w:rsidRPr="009342F9">
        <w:rPr>
          <w:rFonts w:ascii="Arial" w:eastAsia="Times New Roman" w:hAnsi="Arial" w:cs="Arial"/>
          <w:color w:val="000000"/>
          <w:lang w:eastAsia="es-CO"/>
        </w:rPr>
        <w:t>Artículo 2.3.5.1.2.1.11. Reporte de información. Los municipios y distritos deberán reportar la información requerida para el proceso de certificación a través del Sistema Único de Información – SUI en los formularios y/o formatos que determine la Superintendencia de Servicios Públicos Domiciliarios, y la Contaduría General de la Nación en la categoría del Formulario Único Territorial – FUT, según corresponda. </w:t>
      </w:r>
    </w:p>
    <w:p w14:paraId="21DF665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265B8C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El Ministerio de Vivienda, Ciudad y Territorio respecto de los requisitos establecidos para el aspecto “Destinación y giro de los recursos de la participación para Agua Potable y Saneamiento Básico, con el propósito de financiar actividades elegibles conforme a lo establecido en el artículo 11 de la Ley 1176 de 2007” y la Superintendencia de Servicios Públicos Domiciliarios respecto de todos los requisitos establecidos para el proceso de certificación, podrán dentro del marco de sus competencias y por cualquier medio, entre otras cosas, solicitar soportes adicionales para confrontar la información reportada al SUI y al FUT, con otras fuentes y decretar pruebas adicionales para comprobar la consistencia de la información suministrada. </w:t>
      </w:r>
    </w:p>
    <w:p w14:paraId="6CEDB49C" w14:textId="77777777" w:rsidR="0015442F" w:rsidRPr="009342F9" w:rsidRDefault="0015442F" w:rsidP="0015442F">
      <w:pPr>
        <w:spacing w:after="0" w:line="240" w:lineRule="auto"/>
        <w:jc w:val="center"/>
        <w:rPr>
          <w:rFonts w:ascii="Arial" w:eastAsia="Times New Roman" w:hAnsi="Arial" w:cs="Arial"/>
          <w:b/>
          <w:bCs/>
          <w:color w:val="000000"/>
          <w:lang w:eastAsia="es-CO"/>
        </w:rPr>
      </w:pPr>
      <w:bookmarkStart w:id="2048" w:name="ver_30076088"/>
      <w:bookmarkEnd w:id="2048"/>
    </w:p>
    <w:p w14:paraId="72652988" w14:textId="476AF2B4" w:rsidR="00FC79C1" w:rsidRPr="009342F9" w:rsidRDefault="00FC79C1" w:rsidP="0015442F">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SUBSECCIÓN 2</w:t>
      </w:r>
    </w:p>
    <w:p w14:paraId="2DF747CF" w14:textId="77777777" w:rsidR="00FC79C1" w:rsidRPr="009342F9" w:rsidRDefault="00FC79C1" w:rsidP="0015442F">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EFECTOS DEL PROCESO DE CERTIFICACIÓN</w:t>
      </w:r>
    </w:p>
    <w:p w14:paraId="028A9E5A"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2049" w:name="ver_30076090"/>
      <w:bookmarkEnd w:id="2049"/>
    </w:p>
    <w:p w14:paraId="1AE9A77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2.3.5.1.2.2.12. Efectos del proceso de certificación. Los municipios y distritos que como resultado del proceso a que se refiere esta sección sean certificados, seguirán siendo los responsables de administrar los recursos del Sistema General de Participaciones para Agua Potable y Saneamiento Básico y de asegurar la prestación de los servicios de acueducto, alcantarillado y aseo. </w:t>
      </w:r>
    </w:p>
    <w:p w14:paraId="10CAE9C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377952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Los municipios y distritos que como resultado del proceso a que se refiere esta sección sean descertificados, no podrán administrar los recursos del Sistema General de Participaciones para Agua Potable y Saneamiento Básico ni realizar nuevos compromisos con cargo a los mismos, desde la fecha en que quede ejecutoriado el acto administrativo en que se decida la descertificación, expedido por la Superintendencia de Servicios Públicos Domiciliarios. En consecuencia, los recursos del Sistema General de Participaciones para Agua Potable y Saneamiento Básico asignados al municipio o distrito </w:t>
      </w:r>
      <w:proofErr w:type="gramStart"/>
      <w:r w:rsidRPr="009342F9">
        <w:rPr>
          <w:rFonts w:ascii="Arial" w:eastAsia="Times New Roman" w:hAnsi="Arial" w:cs="Arial"/>
          <w:color w:val="000000"/>
          <w:lang w:eastAsia="es-CO"/>
        </w:rPr>
        <w:t>descertificado,</w:t>
      </w:r>
      <w:proofErr w:type="gramEnd"/>
      <w:r w:rsidRPr="009342F9">
        <w:rPr>
          <w:rFonts w:ascii="Arial" w:eastAsia="Times New Roman" w:hAnsi="Arial" w:cs="Arial"/>
          <w:color w:val="000000"/>
          <w:lang w:eastAsia="es-CO"/>
        </w:rPr>
        <w:t xml:space="preserve"> serán administrados por el departamento que asuma las competencias previstas en el artículo 5° de la Ley 1176 de 2007 o la norma que la modifique, complemente o sustituya. </w:t>
      </w:r>
    </w:p>
    <w:p w14:paraId="2DA2619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986EF4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Las competencias asignadas al departamento en las disposiciones legales mencionadas podrán ser delegadas en los términos legales. </w:t>
      </w:r>
    </w:p>
    <w:p w14:paraId="54385887" w14:textId="41B17F04"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050" w:name="ver_30076091"/>
      <w:bookmarkEnd w:id="2050"/>
    </w:p>
    <w:p w14:paraId="10A920D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2.3.5.1.2.2.13. Recursos del Sistema General de Participaciones de los Municipios y Distritos Descertificados. Los recursos del Sistema General de Participaciones para Agua Potable y Saneamiento Básico de los municipios y distritos descertificados deberán destinarse exclusivamente a financiar las actividades previstas en el artículo 11 de la Ley 1176 de 2007 en el respectivo municipio o distrito. </w:t>
      </w:r>
    </w:p>
    <w:p w14:paraId="5F1C61F3" w14:textId="38E49B5E"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051" w:name="ver_30076092"/>
      <w:bookmarkEnd w:id="2051"/>
    </w:p>
    <w:p w14:paraId="5EE6895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2.3.5.1.2.2.14. Administración de los recursos del Sistema General de Participaciones para Agua Potable y Saneamiento Básico. El departamento, en ejercicio de la competencia asignada por el artículo 5° de la Ley 1176 de 2007, administrará los recursos del Sistema General de Participaciones para Agua Potable y Saneamiento Básico asignados al municipio o distrito </w:t>
      </w:r>
      <w:r w:rsidRPr="009342F9">
        <w:rPr>
          <w:rFonts w:ascii="Arial" w:eastAsia="Times New Roman" w:hAnsi="Arial" w:cs="Arial"/>
          <w:color w:val="000000"/>
          <w:lang w:eastAsia="es-CO"/>
        </w:rPr>
        <w:lastRenderedPageBreak/>
        <w:t>descertificado, a partir de la fecha en que quede ejecutoriado el acto administrativo expedido por la Superintendencia de Servicios Públicos Domiciliarios, y en tal virtud le corresponde: </w:t>
      </w:r>
    </w:p>
    <w:p w14:paraId="4D305F5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3C6936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Realizar reunión de empalme con el fin de oficializar la recepción del cierre operativo del municipio o distrito descertificado donde el departamento reciba el balance detallado de la ejecución de ingresos: apropiación y recaudo efectivo; y de la ejecución de los gastos: apropiación, compromisos, obligaciones y pagos, de los recursos correspondientes al Sistema General de Participaciones – APSB ejecutados por el municipio o distrito. El Gobernador realizará dicha reunión, dentro de los 15 días siguientes a la fecha de ejecutoria del acto de descertificación del municipio o distrito de su jurisdicción. Si por razones de fuerza mayor el gobernador no puede asistir, solo podrá delegar esta función en el Secretario de Hacienda del departamento o quien haga sus veces. </w:t>
      </w:r>
    </w:p>
    <w:p w14:paraId="0411A77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45354C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Las cifras del cierre operativo tendrán como fecha de corte la ejecutoria del acto administrativo de la descertificación y como soporte la ejecución presupuestal de ingresos y gastos a esa fecha y las certificaciones bancarias de los saldos correspondientes. Los saldos sin ejecutar, las cuentas por pagar y las reservas presupuestales serán incorporados como rentas administradas en el presupuesto del departamento en la cuenta del municipio correspondiente. </w:t>
      </w:r>
    </w:p>
    <w:p w14:paraId="7BE8457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8BE952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Administrar, apropiar, incorporar, comprometer, ordenar el gasto y ejecutar los recursos asignados, los recursos de créditos y los recursos del balance del Sistema General de Participaciones para agua potable y saneamiento de los municipios y distritos descertificados, en el presupuesto del departamento y llevar contabilidad en forma independiente disponiendo de una cuenta bancaria para cada municipio o distrito, de conformidad con el plan de desarrollo del municipio o distrito descertificado. </w:t>
      </w:r>
    </w:p>
    <w:p w14:paraId="626D547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74EE5E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Presupuestar y contabilizar sin situación de fondos los recursos girados directamente a los prestadores de los servicios de acueducto, alcantarillado y aseo, a los patrimonios autónomos o a los esquemas fiduciarios constituidos para el manejo de los recursos del Sistema General de Participaciones para Agua Potable y Saneamiento Básico. </w:t>
      </w:r>
    </w:p>
    <w:p w14:paraId="48D7768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CEA490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Suscribir los contratos que sean requeridos para asegurar la adecuada destinación de los recursos del Sistema General de Participaciones para Agua Potable y Saneamiento Básico. </w:t>
      </w:r>
    </w:p>
    <w:p w14:paraId="13001EF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6B0643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 Suscribir con las personas prestadoras de los servicios públicos los contratos o convenios de que trata el artículo 2.3.4.1.2.11 del capítulo I del título IV del presente Libro o la norma que lo modifique, complemente o sustituya, para el otorgamiento de subsidios con cargo al SGP. Los contratos o convenios para la financiación de subsidios con cargo a otras fuentes diferentes al Sistema General de Participaciones serán suscritos y ejecutados por el municipio o distrito descertificado. </w:t>
      </w:r>
    </w:p>
    <w:p w14:paraId="38004E5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ECA55B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6. Cumplir con los compromisos adquiridos por el municipio o distrito descertificado con anterioridad a la fecha de ejecutoria del acto administrativo expedido por la Superintendencia de Servicios Públicos Domiciliarios que impone la descertificación, que hayan sido financiados con los recursos del Sistema General de Participaciones para Agua Potable y Saneamiento Básico y cuyo objeto sea cualquiera de las actividades establecidas en el artículo 11 de la Ley 1176 de 2007. </w:t>
      </w:r>
    </w:p>
    <w:p w14:paraId="33464B5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AC4C23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7. Dar continuidad a los procesos de selección contractual iniciados formalmente por el municipio o distrito descertificado con anterioridad a la fecha de ejecutoria del acto administrativo expedido por la Superintendencia de Servicios Públicos Domiciliarios que impone la descertificación, que </w:t>
      </w:r>
      <w:r w:rsidRPr="009342F9">
        <w:rPr>
          <w:rFonts w:ascii="Arial" w:eastAsia="Times New Roman" w:hAnsi="Arial" w:cs="Arial"/>
          <w:color w:val="000000"/>
          <w:lang w:eastAsia="es-CO"/>
        </w:rPr>
        <w:lastRenderedPageBreak/>
        <w:t>sean financiados total o parcialmente con los recursos del Sistema General de Participaciones para Agua Potable y Saneamiento Básico y cuyo objeto sea cualquiera de las actividades establecidas en el artículo 11 de la Ley 1176 de 2007. </w:t>
      </w:r>
    </w:p>
    <w:p w14:paraId="595C672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8EDA6C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8. Registrar y revelar en la contabilidad los recursos recibidos en administración, de acuerdo con las instrucciones que imparta la Contaduría General de la Nación, desagregando lo correspondiente a cada municipio o distrito. </w:t>
      </w:r>
    </w:p>
    <w:p w14:paraId="6023B37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4A915F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9. El gobernador podrá autorizar el giro directo de los recursos de acuerdo con lo establecido en la sección V del presente capítulo, y el artículo 13 de la Ley 1176 de 2007 o la norma que lo modifique, complemente o sustituya. </w:t>
      </w:r>
    </w:p>
    <w:p w14:paraId="75BCFCA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E363F0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10. Realizar los reportes de información al Formulario Único Territorial (FUT) del respectivo departamento discriminado por municipio, de los compromisos y la ejecución presupuestal de los recursos del Sistema General de Participaciones para Agua Potable y Saneamiento Básico. </w:t>
      </w:r>
    </w:p>
    <w:p w14:paraId="321DDD9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EC9E9A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1°. Las apropiaciones dentro de los presupuestos de las entidades territoriales descertificadas, financiadas con los recursos del Sistema General de Participaciones del sector de Agua Potable y Saneamiento Básico se reducirán en una cuantía equivalente al monto incorporado en el presupuesto del departamento hasta el momento en que la respectiva entidad territorial sea certificada, para lo cual se realizarán los ajustes presupuestales a que haya lugar. </w:t>
      </w:r>
    </w:p>
    <w:p w14:paraId="63158DA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CE8EFC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2°. El Gobernador incorporará mediante decreto en el presupuesto departamental, como capítulo separado bajo el nombre de Rentas Administradas y clasificados por municipio y/o distrito descertificado, los recursos correspondientes del Sistema General de Participaciones para Agua Potable y Saneamiento Básico. En el gasto incorporará las cuentas por pagar, las reservas presupuestales y los saldos sin ejecutar. </w:t>
      </w:r>
    </w:p>
    <w:p w14:paraId="1F44700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F8A8D3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Cuando las competencias del departamento hayan sido delegadas, los recursos se incorporarán en el presupuesto de este último siguiendo, en lo pertinente, el mismo procedimiento indicado en el inciso anterior. </w:t>
      </w:r>
    </w:p>
    <w:p w14:paraId="21594F0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A3A832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3°. El capítulo de rentas administradas por el departamento no formará parte de sus ingresos corrientes, ni computan para el cálculo de los indicadores de la Ley 358 de 1998, la Ley 617 de 2000 y la Ley 819 de 2003. El departamento dispondrá de su manejo de forma separada e independiente. </w:t>
      </w:r>
    </w:p>
    <w:p w14:paraId="6EFF02E2" w14:textId="14A88BE2"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052" w:name="ver_30076093"/>
      <w:bookmarkEnd w:id="2052"/>
    </w:p>
    <w:p w14:paraId="481E98C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2.3.5.1.2.2.15. Competencia para asegurar la prestación de los servicios de acueducto, alcantarillado y aseo a los habitantes del municipio o distrito descertificado. Los departamentos deberán asegurar la prestación eficiente de los servicios de acueducto, alcantarillado y aseo en la jurisdicción de los municipios o distritos descertificados, para lo cual ejercerán las atribuciones específicas que a continuación se describen: </w:t>
      </w:r>
    </w:p>
    <w:p w14:paraId="58D6F94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A27135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Apoyar técnica y administrativamente al municipio o distrito descertificado y a los prestadores del servicio, para lograr el cumplimiento de los requisitos establecidos en el presente capítulo o las normas que lo modifiquen, complementen o sustituyan para que los municipios y distritos sean certificados nuevamente. </w:t>
      </w:r>
    </w:p>
    <w:p w14:paraId="581D703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C6764C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Trasladar y pagar los recursos necesarios para cubrir el requerimiento de subsidios, siempre y cuando se haya adelantado el procedimiento previsto en el artículo 2.3.4.2.2. del capítulo 2 del título 4 del presente Libro para tal efecto. </w:t>
      </w:r>
    </w:p>
    <w:p w14:paraId="2592A60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w:t>
      </w:r>
    </w:p>
    <w:p w14:paraId="05F80BC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Respecto de los prestadores de servicios públicos diferentes al municipio o distrito que presten los servicios de acueducto, alcantarillado o aseo en el municipio o distrito descertificado: </w:t>
      </w:r>
    </w:p>
    <w:p w14:paraId="17E86B5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A6BD71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3.1 Representar al municipio o distrito descertificado frente a los prestadores, sin perjuicio de que el municipio participe con voz, pero sin voto. </w:t>
      </w:r>
    </w:p>
    <w:p w14:paraId="2627039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1C286B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3.2 Suscribir con los prestadores correspondientes, el convenio o contrato para el otorgamiento de subsidios de que trata el artículo 2.3.4.1.2.11 del capítulo 1 del título 4 del presente Libro, o la norma que lo modifique, complemente o sustituya con cargo al SGP-ASPB del municipio o distrito descertificado. </w:t>
      </w:r>
    </w:p>
    <w:p w14:paraId="5EB6C47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49AF21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3.3 Suscribir con los prestadores los contratos, prórrogas, adiciones y modificaciones necesarias para asegurar la prestación eficiente de los servicios de acueducto, alcantarillado y aseo. </w:t>
      </w:r>
    </w:p>
    <w:p w14:paraId="67469B1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AB9DFA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3.4. Otorgar al prestador el derecho a utilizar la infraestructura pública existente en el municipio o distrito, previa realización del proceso de selección a que se refiere la Ley 142 de 1994. </w:t>
      </w:r>
    </w:p>
    <w:p w14:paraId="67C52ED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2A35BB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Respecto del municipio prestador directo de alguno de los servicios de acueducto, alcantarillado o aseo: </w:t>
      </w:r>
    </w:p>
    <w:p w14:paraId="2001E18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336E44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4.1. Adelantar lo previsto en el artículo 6° de la Ley 142 de 1994 en caso de que no se haya agotado. </w:t>
      </w:r>
    </w:p>
    <w:p w14:paraId="6BE0032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BE6ECE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4.2. Efectuar seguimiento a la prestación de los mencionados servicios, e impartir instrucciones con el fin de mejorar la prestación de los servicios en el marco de las disposiciones legales vigentes, que deberán ser atendidas por los funcionarios o contratistas del municipio o distrito descertificado. </w:t>
      </w:r>
    </w:p>
    <w:p w14:paraId="351C428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831D7C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1°. Para garantizar la continuidad de los servicios prestados directamente por el municipio o distrito descertificado, estos seguirán prestándolos bajo la instrucción del departamento, en el marco de las disposiciones legales vigentes, hasta tanto se vincule a un nuevo prestador. El departamento efectuará el seguimiento a la prestación de los servicios prestados directamente por el municipio o distrito, e impartirá instrucciones, las cuales deberán ser atendidas por estos. </w:t>
      </w:r>
    </w:p>
    <w:p w14:paraId="4B2F4B0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05F0B2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2°. El departamento podrá vincular al municipio o distrito descertificado al Programa Agua para la Prosperidad – Plan Departamental de Agua. </w:t>
      </w:r>
    </w:p>
    <w:p w14:paraId="00464446" w14:textId="24430B4A"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053" w:name="ver_30076094"/>
      <w:bookmarkEnd w:id="2053"/>
    </w:p>
    <w:p w14:paraId="22B5E44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2.3.5.1.2.2.16. Medidas administrativas. A partir de la fecha en que quede ejecutoriado el acto administrativo expedido por la Superintendencia de Servicios Públicos Domiciliarios, mediante el cual se descertifica un municipio o distrito y en cumplimiento de lo previsto en el artículo 5° de la Ley 1176 de 2007, se adoptarán las siguientes medidas administrativas: </w:t>
      </w:r>
    </w:p>
    <w:p w14:paraId="37046AF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F894E4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El Ministerio de Vivienda, Ciudad y Territorio suspenderá el giro de los recursos del Sistema General de Participaciones para Agua Potable y Saneamiento Básico al municipio o distrito descertificado. </w:t>
      </w:r>
    </w:p>
    <w:p w14:paraId="118D59A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6B6382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2. El Ministerio de Vivienda, Ciudad y Territorio continuará efectuando los giros directos a los prestadores de los servicios de acueducto, alcantarillado y aseo, a los patrimonios autónomos o a los esquemas fiduciarios constituidos para el manejo de los recursos del Sistema General de </w:t>
      </w:r>
      <w:r w:rsidRPr="009342F9">
        <w:rPr>
          <w:rFonts w:ascii="Arial" w:eastAsia="Times New Roman" w:hAnsi="Arial" w:cs="Arial"/>
          <w:color w:val="000000"/>
          <w:lang w:eastAsia="es-CO"/>
        </w:rPr>
        <w:lastRenderedPageBreak/>
        <w:t>Participaciones para Agua Potable y Saneamiento Básico que hayan sido autorizados por el municipio o distrito descertificado, en aplicación de lo previsto en la sección 5 del presente capítulo o la norma que lo modifique, complemente o sustituya. </w:t>
      </w:r>
    </w:p>
    <w:p w14:paraId="47954F7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61668A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Dentro de los quince (15) días hábiles siguientes a la ejecutoria del acto administrativo a que se refiere este artículo, el representante legal del departamento deberá remitir al Ministerio de Vivienda, Ciudad y Territorio y al alcalde del municipio o distrito descertificado, una comunicación escrita con la identificación exacta del número de cuenta bancaria y nombre de la entidad financiera en la cual se administrarán los recursos del Sistema General de Participaciones para Agua Potable y Saneamiento Básico de cada municipio o distrito descertificado, de acuerdo con los requisitos establecidos por el Sistema Integrado de Información Financiera. Recibida la comunicación con toda la información anterior, el Ministerio de Vivienda, Ciudad y Territorio ordenará el giro de los recursos a la cuenta designada por el departamento y registrada ante el mismo, sin perjuicio de lo dispuesto en el numeral anterior. </w:t>
      </w:r>
    </w:p>
    <w:p w14:paraId="64BA12D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1713D6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El municipio o distrito descertificado transferirá a la cuenta designada por el departamento dentro de los cinco (5) días hábiles siguientes a la fecha de celebración de la reunión de empalme, los recursos del Sistema General de Participaciones para Agua Potable y Saneamiento Básico que se encuentren en las cuentas bancarias del municipio o distrito. </w:t>
      </w:r>
    </w:p>
    <w:p w14:paraId="004CC7C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C99A5D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 Dentro de los quince (15) días hábiles siguientes a la ejecutoria del acto administrativo que impone la descertificación, el municipio o distrito descertificado deberá enviar al departamento: </w:t>
      </w:r>
    </w:p>
    <w:p w14:paraId="4D7CF77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E2D57F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5.1 Copia del acto administrativo mediante el cual se aprueba el presupuesto de la vigencia y sus respectivas modificaciones o ajustes. </w:t>
      </w:r>
    </w:p>
    <w:p w14:paraId="3C951F4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FDE0AF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5.2 Demás información pertinente para el cabal cumplimiento de las funciones asignadas. </w:t>
      </w:r>
    </w:p>
    <w:p w14:paraId="4457583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5E0B99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5.3. Copia de los contratos, convenios, y demás actos mediante los cuales se han comprometido los mencionados recursos. </w:t>
      </w:r>
    </w:p>
    <w:p w14:paraId="793D57E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1624F0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6. Dentro de los quince (15) días hábiles siguientes a la ejecutoria del acto administrativo que impone la descertificación, el representante legal del municipio o distrito descertificado, enviará una comunicación escrita a cada uno de los prestadores de los servicios de acueducto, alcantarillado y aseo de su jurisdicción, a sus contratistas y demás entidades o personas administradoras de los recursos del Sistema General de Participaciones para Agua Potable y Saneamiento Básico, con el fin de informar que dichos recursos serán manejados por el departamento. En caso de que el representante legal del municipio o distrito </w:t>
      </w:r>
      <w:proofErr w:type="gramStart"/>
      <w:r w:rsidRPr="009342F9">
        <w:rPr>
          <w:rFonts w:ascii="Arial" w:eastAsia="Times New Roman" w:hAnsi="Arial" w:cs="Arial"/>
          <w:color w:val="000000"/>
          <w:lang w:eastAsia="es-CO"/>
        </w:rPr>
        <w:t>descertificado,</w:t>
      </w:r>
      <w:proofErr w:type="gramEnd"/>
      <w:r w:rsidRPr="009342F9">
        <w:rPr>
          <w:rFonts w:ascii="Arial" w:eastAsia="Times New Roman" w:hAnsi="Arial" w:cs="Arial"/>
          <w:color w:val="000000"/>
          <w:lang w:eastAsia="es-CO"/>
        </w:rPr>
        <w:t xml:space="preserve"> no envíe la comunicación dentro del término mencionado corresponderá al gobernador remitirla. </w:t>
      </w:r>
    </w:p>
    <w:p w14:paraId="13977675" w14:textId="33D2CB5E"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054" w:name="ver_30076095"/>
      <w:bookmarkEnd w:id="2054"/>
    </w:p>
    <w:p w14:paraId="34A821B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2.3.5.1.2.2.17. Obligaciones de los municipios o distritos descertificados. A partir de la fecha en que quede ejecutoriado el acto administrativo que impone la descertificación del municipio o distrito, expedido por la Superintendencia de Servicios Públicos Domiciliarios, este quedará obligado a: </w:t>
      </w:r>
    </w:p>
    <w:p w14:paraId="3121968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098DCA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1. Realizar el cierre operativo. Dentro de los tres (3) días siguientes a la fecha de ejecutoria del acto de descertificación, el municipio realizará el cierre operativo de las cuentas del Sistema General de Participaciones de Agua Potable y Saneamiento Básico con fecha de corte a la notificación del acto administrativo. El cierre tendrá como soporte la ejecución presupuestal de ingresos y gastos a la misma fecha y detallará el estado de las partidas presupuestales de ingreso y de gasto, precisando en el caso de los ingresos, la proyección inicial, los ingresos percibidos y </w:t>
      </w:r>
      <w:r w:rsidRPr="009342F9">
        <w:rPr>
          <w:rFonts w:ascii="Arial" w:eastAsia="Times New Roman" w:hAnsi="Arial" w:cs="Arial"/>
          <w:color w:val="000000"/>
          <w:lang w:eastAsia="es-CO"/>
        </w:rPr>
        <w:lastRenderedPageBreak/>
        <w:t>si las hubiere las modificaciones respectivas: en el caso del gasto, la apropiación inicial, las modificaciones presupuestales y los compromisos adquiridos, en todo caso siempre con sus respectivos soportes. Los saldos sin ejecutar, las cuentas por pagar y las reservas presupuestales, serán incorporadas como rentas administradas al presupuesto del departamento en la cuenta del municipio correspondiente. </w:t>
      </w:r>
    </w:p>
    <w:p w14:paraId="33571A6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F9C28B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Solicitar reunión de empalme. Concluido el cierre operativo, el alcalde presentará a al gobernador o quien haga sus veces, en reunión de empalme, los resultados de su ejercicio, entregando oficialmente el cierre operativo discriminado compromisos, giros y pagos, cuentas por pagar y reservas presupuestales, con sus respectivos soportes y la información adicional que considere pertinente. En caso de fuerza mayor el alcalde podrá delegar esta función en el secretario de hacienda municipal o quien haga sus veces. </w:t>
      </w:r>
    </w:p>
    <w:p w14:paraId="14D2219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C603B8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Reducir las apropiaciones financiadas con los recursos del Sistema General de Participaciones del sector de Agua Potable y Saneamiento Básico dentro de los tres (3) días siguientes a la notificación del acto administrativo de descertificación expedido por la Superintendencia de Servicios Públicos Domiciliarios. </w:t>
      </w:r>
    </w:p>
    <w:p w14:paraId="72D9A74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2F32FD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Transferir a la cuenta designada por el departamento dentro de los cinco (5) días hábiles siguientes a la reunión de empalme la totalidad de los recursos del Sistema General de Participaciones para Agua Potable y Saneamiento Básico que se encuentren en las cuentas bancarias del municipio o distrito. </w:t>
      </w:r>
    </w:p>
    <w:p w14:paraId="667E942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107A37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 Aplicar el procedimiento previsto en el capítulo 2 del título IV del presente Libro o las normas que lo modifiquen, complementen o sustituyan e informar al departamento el monto a apropiar de los recursos del Sistema General de Participaciones para Agua Potable y Saneamiento Básico para financiar subsidios a los estratos subsidiables de acuerdo con lo dispuesto en la normatividad vigente. </w:t>
      </w:r>
    </w:p>
    <w:p w14:paraId="3D16141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30EBC9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6. En los casos de prestación directa de alguno de los servicios de acueducto, alcantarillado y/o aseo, atender las instrucciones que le imparta el departamento. </w:t>
      </w:r>
    </w:p>
    <w:p w14:paraId="3765795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AEDF1C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7. Permitir al departamento el uso de la infraestructura pública existente con el fin de asegurar la prestación de los servicios públicos en la correspondiente jurisdicción. </w:t>
      </w:r>
    </w:p>
    <w:p w14:paraId="2562197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F77DBD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8. Colaborar con el departamento en todo lo que sea necesario para asegurar la prestación de los servicios públicos de acueducto, alcantarillado y aseo y para cumplir con los requisitos para obtener la certificación. </w:t>
      </w:r>
    </w:p>
    <w:p w14:paraId="7438EF3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73DE85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todo caso, los municipios y distritos descertificados conservan el deber de cumplir con las obligaciones de orden legal, tales como las previstas en los numerales 5.2 y siguientes del artículo 5° de la Ley 142 de 1994. </w:t>
      </w:r>
    </w:p>
    <w:p w14:paraId="2D07706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16F0F1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9. Entregar la información a que se refiere el artículo 2.3.5.1.2.2.16. del presente capítulo. </w:t>
      </w:r>
    </w:p>
    <w:p w14:paraId="6CA35EC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2785F5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10. Registrar y revelar en su contabilidad los hechos financieros, económicos, sociales y ambientales correspondientes a la ejecución de los recursos de que trata este capítulo, conforme a las instrucciones que imparta la Contaduría General de la Nación. </w:t>
      </w:r>
    </w:p>
    <w:p w14:paraId="6EEFA03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9E3577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11. Realizar los reportes de información al Sistema Único de Información – SUI, para lo cual el departamento remitirá la información necesaria al municipio o distrito. </w:t>
      </w:r>
    </w:p>
    <w:p w14:paraId="219F74A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w:t>
      </w:r>
    </w:p>
    <w:p w14:paraId="7D4A1CD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12. Realizar los reportes de información al Formulario Único Territorial –FUT, en los casos en que haya recibido y comprometido recursos del Sistema General de Participaciones para Agua Potable y Saneamiento Básico. </w:t>
      </w:r>
    </w:p>
    <w:p w14:paraId="5D9CEEED" w14:textId="7FDFFC8E"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055" w:name="ver_30076096"/>
      <w:bookmarkEnd w:id="2055"/>
    </w:p>
    <w:p w14:paraId="6886DDA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2.3.5.1.2.2.18. Procedimiento para la determinación de los subsidios en municipios o distritos descertificados. Los subsidios en los municipios o distritos descertificados serán definidos mediante la aplicación del siguiente procedimiento: </w:t>
      </w:r>
    </w:p>
    <w:p w14:paraId="18F31F0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1FAEA1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El municipio o distrito descertificado, dará aplicación en lo de su competencia al procedimiento previsto en los numerales 1 a 4 del artículo 2.3.4.2.2 del capítulo 2 del título 4 de este Libro. </w:t>
      </w:r>
    </w:p>
    <w:p w14:paraId="51F399A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95A439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Con base en el resultado de la aplicación del procedimiento de que trata el numeral anterior, el alcalde municipal o distrital informará a la administración departamental el monto a apropiar de los recursos del Sistema General de Participaciones para Agua Potable y Saneamiento Básico, destinados a financiar los subsidios que se otorgarán a los estratos subsidiables, teniendo en cuenta lo establecido en el parágrafo 2°del artículo 11 de la Ley 1176 de 2007. </w:t>
      </w:r>
    </w:p>
    <w:p w14:paraId="66E0640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96A4EC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La administración departamental incluirá en el proyecto de presupuesto departamental el monto informado por el alcalde municipal o distrital. Si el monto informado no se ajusta a la normatividad vigente o el municipio o distrito no lo informa, el departamento apropiará los recursos necesarios del Sistema General de Participaciones para Agua Potable y Saneamiento Básico del municipio o distrito descertificado, con el fin de garantizar el equilibrio entre subsidios y contribuciones, los cuales no podrán ser inferiores al quince por ciento (15%) de la participación para Agua Potable y Saneamiento Básico, e informará al municipio el monto apropiado. </w:t>
      </w:r>
    </w:p>
    <w:p w14:paraId="0E5C701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B45401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1°. El Concejo municipal o distrital definirá los factores de aportes solidarios y de subsidios a aplicar en el respectivo municipio o distrito teniendo en cuenta la metodología para determinación del equilibrio entre subsidios y contribuciones prevista en este capítulo y apropiará en su presupuesto los recursos provenientes de fuentes distintas al Sistema General de Participaciones para Agua Potable y Saneamiento Básico que se requieran para financiar los subsidios de los estratos subsidiables. </w:t>
      </w:r>
    </w:p>
    <w:p w14:paraId="7AB826A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5B03B1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De conformidad con lo previsto en el capítulo I del título IV del presente Libro antes, Decreto 565 de 1996 o la norma que lo modifique, complemente o sustituya, los recursos del Sistema General de Participaciones destinados a financiar subsidios deberán contabilizarse en el Fondo de Solidaridad y Redistribución de Ingresos del respectivo municipio o distrito. Para tal fin el departamento informará mensualmente al municipio o distrito los movimientos realizados. </w:t>
      </w:r>
    </w:p>
    <w:p w14:paraId="39995A6C" w14:textId="77044AF5"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056" w:name="ver_30076097"/>
      <w:bookmarkEnd w:id="2056"/>
    </w:p>
    <w:p w14:paraId="4B2EA54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2.3.5.1.2.2.19. Procedimiento de los municipios o distritos descertificados para reasumir la administración de los recursos SGP-APSB. A partir de la fecha de ejecutoría del acto administrativo expedido por la Superintendencia de Servicios Públicos Domiciliarios por el cual se certifica a un municipio o distrito descertificado, este reasumirá la administración de los recursos del Sistema General de Participaciones para Agua Potable y Saneamiento Básico y la competencia para asegurar la prestación de estos servicios. En dicho evento, el distrito o municipio dará continuidad a los compromisos asumidos con el prestador de los servicios que haya sido vinculado por el departamento en virtud de lo dispuesto en la Ley 1176 de 2007, para lo cual se adoptarán las siguientes medidas administrativas: </w:t>
      </w:r>
    </w:p>
    <w:p w14:paraId="57871F3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5C5179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1. Dentro de los cinco (5) días hábiles siguientes a la notificación del acto administrativo a que se refiere este artículo, el municipio o distrito certificado deberá remitir al Ministerio de Vivienda, </w:t>
      </w:r>
      <w:r w:rsidRPr="009342F9">
        <w:rPr>
          <w:rFonts w:ascii="Arial" w:eastAsia="Times New Roman" w:hAnsi="Arial" w:cs="Arial"/>
          <w:color w:val="000000"/>
          <w:lang w:eastAsia="es-CO"/>
        </w:rPr>
        <w:lastRenderedPageBreak/>
        <w:t>Ciudad y Territorio una comunicación escrita firmada por el alcalde con la identificación exacta del número de la cuenta bancaria y nombre de la entidad financiera en la cual se administrarán los recursos del Sistema General de Participaciones para Agua Potable y Saneamiento Básico del municipio o distrito. Recibida la comunicación con la información anterior, el Ministerio de Vivienda, Ciudad y Territorio ordenará el giro de los recursos del Sistema General de Participaciones para Agua Potable y Saneamiento Básico a la cuenta designada por el municipio o distrito certificado. </w:t>
      </w:r>
    </w:p>
    <w:p w14:paraId="25278FF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9CADDE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El saldo de los recursos de Sistema General de Participaciones para Agua Potable y Saneamiento Básico asignado al municipio o distrito que no fueron ejecutados por el departamento durante el período en que asumió la administración de estos, deberá ser consignado en la cuenta designada por el municipio o distrito dentro de los cinco (5) días hábiles siguientes al recibo de la comunicación de firmeza del acto administrativo expedido por la Superintendencia de Servicios Públicos Domiciliarios. </w:t>
      </w:r>
    </w:p>
    <w:p w14:paraId="76AFEBB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5F1BA0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El Ministerio de Vivienda, Ciudad y Territorio continuará efectuando los giros directos a los prestadores de los servicios de acueducto, alcantarillado y aseo, a los patrimonios autónomos o a los esquemas fiduciarios constituidos para el manejo de los recursos del Sistema General de Participaciones para Agua Potable y Saneamiento Básico que hayan sido autorizados por el departamento en su calidad de administrador. </w:t>
      </w:r>
    </w:p>
    <w:p w14:paraId="29E73368" w14:textId="6C12F338"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057" w:name="ver_30076098"/>
      <w:bookmarkEnd w:id="2057"/>
    </w:p>
    <w:p w14:paraId="25ABF23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2.3.5.1.2.2.20. Monitoreo, seguimiento y control. Los departamentos que ejecutan los recursos del Sistema General de Participaciones para Agua Potable y Saneamiento Básico de los municipios y distritos </w:t>
      </w:r>
      <w:proofErr w:type="gramStart"/>
      <w:r w:rsidRPr="009342F9">
        <w:rPr>
          <w:rFonts w:ascii="Arial" w:eastAsia="Times New Roman" w:hAnsi="Arial" w:cs="Arial"/>
          <w:color w:val="000000"/>
          <w:lang w:eastAsia="es-CO"/>
        </w:rPr>
        <w:t>descertificados,</w:t>
      </w:r>
      <w:proofErr w:type="gramEnd"/>
      <w:r w:rsidRPr="009342F9">
        <w:rPr>
          <w:rFonts w:ascii="Arial" w:eastAsia="Times New Roman" w:hAnsi="Arial" w:cs="Arial"/>
          <w:color w:val="000000"/>
          <w:lang w:eastAsia="es-CO"/>
        </w:rPr>
        <w:t xml:space="preserve"> estarán sometidos al monitoreo, seguimiento y control integral definidos por las normas vigentes. </w:t>
      </w:r>
    </w:p>
    <w:p w14:paraId="61ABC8BE" w14:textId="3D53619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058" w:name="ver_30076099"/>
      <w:bookmarkEnd w:id="2058"/>
    </w:p>
    <w:p w14:paraId="1640FCB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2.3.5.1.2.2.21. Régimen especial para el departamento de San Andrés, Providencia y Santa Catalina. En virtud de lo dispuesto en el artículo 8° de la Ley 47 de 1993, a la Administración Departamental del Archipiélago de San Andrés, Providencia y Santa Catalina respecto a la certificación de que trata el artículo 4º de la Ley 1176 de 2007, se le aplicará las actividades de monitoreo, seguimiento y control de los recursos del Sistema General de Participaciones para Agua Potable y Saneamiento Básico. </w:t>
      </w:r>
    </w:p>
    <w:p w14:paraId="2D961DD9" w14:textId="1ACE6268" w:rsidR="0015442F"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059" w:name="ver_30076100"/>
      <w:bookmarkEnd w:id="2059"/>
    </w:p>
    <w:p w14:paraId="7C099EFB" w14:textId="7636C0FA" w:rsidR="00FC79C1" w:rsidRPr="009342F9" w:rsidRDefault="00FC79C1" w:rsidP="0015442F">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SECCIÓN 3</w:t>
      </w:r>
    </w:p>
    <w:p w14:paraId="1825105A" w14:textId="77777777" w:rsidR="00FC79C1" w:rsidRPr="009342F9" w:rsidRDefault="00FC79C1" w:rsidP="0015442F">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EQUILIBRIO ENTRE SUBSIDIOS Y CONTRIBUCIONES DE QUE TRATA EL PARÁGRAFO 2° DEL ARTÍCULO 11 DE LA LEY 1176 DE 2007</w:t>
      </w:r>
    </w:p>
    <w:p w14:paraId="60F10843"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2060" w:name="ver_30076101"/>
      <w:bookmarkEnd w:id="2060"/>
    </w:p>
    <w:p w14:paraId="19D6DBB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2.3.5.1.3.22. Condición de Equilibrio. Para efectos de lo previsto en este capítulo se entenderá que existe equilibrio, cuando de la información reportada al Sistema Único de Información (SUI) en el formato denominado “Balance de subsidios y contribuciones”, con corte a 30 de marzo de cada vigencia se evidencie que en el año anterior, los subsidios otorgados a los estratos subsidiables para cada uno de los servicios de acueducto, alcantarillado y aseo fueron cubiertos con los recursos del Fondo de Solidaridad y Redistribución del Ingreso Municipal y los aportes solidarios recaudados por los prestadores de servicios públicos para cada uno de los servicios de acueducto, alcantarillado y aseo de la entidad territorial en la respectiva vigencia. </w:t>
      </w:r>
    </w:p>
    <w:p w14:paraId="62B6D79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B7A725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Parágrafo. Los recursos provenientes de la bolsa común para el otorgamiento de subsidios tarifarios a que se refiere el Capítulo 3 del Título 4 del presente Libro, antes decreto 4924 de 2011, o la norma que lo modifique, adicione o sustituya y aquellos correspondientes a las contribuciones por aportes solidarios que sean distribuidos entre los municipios del ámbito de </w:t>
      </w:r>
      <w:r w:rsidRPr="009342F9">
        <w:rPr>
          <w:rFonts w:ascii="Arial" w:eastAsia="Times New Roman" w:hAnsi="Arial" w:cs="Arial"/>
          <w:color w:val="000000"/>
          <w:lang w:eastAsia="es-CO"/>
        </w:rPr>
        <w:lastRenderedPageBreak/>
        <w:t>operación a que se refiere el artículo 2.3.4.3.2. del mencionado capítulo, no serán tenidos en cuenta para la determinación de la condición de equilibrio a que se refiere el presente artículo. </w:t>
      </w:r>
    </w:p>
    <w:p w14:paraId="795FB8C8"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2061" w:name="ver_30076103"/>
      <w:bookmarkEnd w:id="2061"/>
      <w:r w:rsidRPr="009342F9">
        <w:rPr>
          <w:rFonts w:ascii="Arial" w:eastAsia="Times New Roman" w:hAnsi="Arial" w:cs="Arial"/>
          <w:color w:val="000000"/>
          <w:lang w:eastAsia="es-CO"/>
        </w:rPr>
        <w:t>Artículo 2.3.5.1.3.23. Apropiación de los recursos de la participación para Agua Potable y Saneamiento Básico en los municipios calificados en categorías 2ª, 3ª, 4ª, 5ª 6a. Los municipios clasificados en categorías 2ª, 3ª 4ª, 5ª y 6ª deberán destinar en cada vigencia mínimo el quince por ciento (15%) de los recursos del Sistema General de Participaciones para Agua Potable y Saneamiento Básico a financiar los subsidios que se otorguen a los estratos subsidiables, a menos que hayan logrado la condición de equilibrio a la que se refiere el artículo 2.3.5.1.3.22. del presente capítulo, demostrando el cumplimiento de las siguientes condiciones: </w:t>
      </w:r>
    </w:p>
    <w:p w14:paraId="6840D22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9CA376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 Haber obtenido la certificación para la administración del SGP por la Superintendencia de Servicios Públicos Domiciliarios a 31 de diciembre de la vigencia anterior a la cual pretende aplicar el parágrafo 2° del artículo 11 de la Ley 1176 de 2007. </w:t>
      </w:r>
    </w:p>
    <w:p w14:paraId="7DBBFDB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002835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b) Tener creado el Fondo de Solidaridad y Redistribución de Ingresos para cada uno de los servicios de Acueducto, Alcantarillado y Aseo. </w:t>
      </w:r>
    </w:p>
    <w:p w14:paraId="6B75A3A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B1431F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 Contar con los contratos y/o convenios vigentes para la transferencia de los recursos de subsidios con cada uno de los prestadores de los servicios de acueducto, alcantarillado y, aseo en la zona urbana y rural del municipio o distrito, que figuren en el Registro Único de Prestadores de Servicios (RUPS). </w:t>
      </w:r>
    </w:p>
    <w:p w14:paraId="70CD5A3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10BFF5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Adicionalmente, cuando el municipio sea prestador directo de alguno de los servicios públicos de acueducto, alcantarillado y aseo, deberá contar con: </w:t>
      </w:r>
    </w:p>
    <w:p w14:paraId="144FD8D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63F86D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i. El acto administrativo mediante el cual se fijan las condiciones para el manejo y transferencia de los recursos destinados a otorgar subsidios, a las cuentas separadas donde se lleva la contabilidad de los servicios públicos domiciliarios que preste el municipio de manera directa. </w:t>
      </w:r>
    </w:p>
    <w:p w14:paraId="5E24461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0A28AD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ii. Las certificaciones expedidas por la Tesorería Municipal, donde consten los traslados contables de recursos destinados a otorgar subsidios, cuenta del Fondo de Solidaridad y Redistribución de Ingresos y de esta a las cuentas separadas donde se lleva la contabilidad de los servicios públicos domiciliarios que preste el municipio de manera directa y para cada uno de los mismos. </w:t>
      </w:r>
    </w:p>
    <w:p w14:paraId="66B659A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C9AA1A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d). Reportar en el Presupuesto de Gastos de Inversión del Formulario Único Territorial (FUT), los pagos realizados por la entidad territorial por concepto de subsidios en la vigencia inmediatamente anterior a la que se pretende aplicar el presente capítulo. </w:t>
      </w:r>
    </w:p>
    <w:p w14:paraId="5337734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14E6A4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e) Contar con </w:t>
      </w:r>
      <w:proofErr w:type="gramStart"/>
      <w:r w:rsidRPr="009342F9">
        <w:rPr>
          <w:rFonts w:ascii="Arial" w:eastAsia="Times New Roman" w:hAnsi="Arial" w:cs="Arial"/>
          <w:color w:val="000000"/>
          <w:lang w:eastAsia="es-CO"/>
        </w:rPr>
        <w:t>el paz</w:t>
      </w:r>
      <w:proofErr w:type="gramEnd"/>
      <w:r w:rsidRPr="009342F9">
        <w:rPr>
          <w:rFonts w:ascii="Arial" w:eastAsia="Times New Roman" w:hAnsi="Arial" w:cs="Arial"/>
          <w:color w:val="000000"/>
          <w:lang w:eastAsia="es-CO"/>
        </w:rPr>
        <w:t xml:space="preserve"> y salvo del pago de subsidios a cada uno de los prestadores de los servicios públicos de acueducto, alcantarillado y aseo en la zona urbana y rural del municipio o distrito, que figuren en el Registro Único de Prestadores de Servicios (RUPS) y que efectivamente hayan prestado el respectivo servicio. </w:t>
      </w:r>
    </w:p>
    <w:p w14:paraId="084ECB9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1E5AF2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f) Contar con el acuerdo por medio del cual el Concejo Municipal realiza la apropiación y aprobación de la destinación de los recursos para el otorgamiento de los subsidios, en la vigencia en la cual se aplicará el presente capítulo, y que cubra los porcentajes de subsidios máximos establecidos en la Ley 1450 de 2011 o la que la modifique, complemente o sustituya. </w:t>
      </w:r>
    </w:p>
    <w:p w14:paraId="737E688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37DD83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g) Contar con el acuerdo municipal para la vigencia en la cual se aplicará el presente capítulo, por medio del cual se fijan los factores de aporte solidario de los estratos 5 y 6, y de los usuarios </w:t>
      </w:r>
      <w:r w:rsidRPr="009342F9">
        <w:rPr>
          <w:rFonts w:ascii="Arial" w:eastAsia="Times New Roman" w:hAnsi="Arial" w:cs="Arial"/>
          <w:color w:val="000000"/>
          <w:lang w:eastAsia="es-CO"/>
        </w:rPr>
        <w:lastRenderedPageBreak/>
        <w:t>industriales y comerciales, los cuales deberán ajustarse a lo establecido en la Ley 1450 de 2011 o la que la modifique, complemente o sustituya total o parcialmente. </w:t>
      </w:r>
    </w:p>
    <w:p w14:paraId="1DDBAA1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F19097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h) Contar con los Decretos de adopción de las estratificaciones urbana, de los centros poblados, fincas y viviendas dispersas y haber cargado al Sistema Único de Información (SUI) el estrato asignado y aplicado a cada inmueble residencial, conforme a los actos administrativos distritales o municipales de adopción de la estratificación. </w:t>
      </w:r>
    </w:p>
    <w:p w14:paraId="4E8D4DF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DF58D0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i) Haber aplicado la metodología a que hace referencia el capítulo II del título IV del presente Libro, o la norma que lo modifique, complemente o sustituya, y que la aplicación de la misma demuestre que los recursos requeridos para el otorgamiento de subsidios con cargo a los recursos del Sistema General de Participaciones para Agua Potable y Saneamiento Básico, en la vigencia para la cual se aplicará el presente capítulo, son inferiores al quince por ciento (15%) de la respectiva asignación. </w:t>
      </w:r>
    </w:p>
    <w:p w14:paraId="702FD5C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62A034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j) Los municipios prestadores directos de alguno de los servicios de acueducto, alcantarillado y aseo, deberán tener reportado en el Sistema Único de Información (SUI), la aplicación de la metodología tarifaria prevista por la Comisión de Regulación de Agua Potable y Saneamiento Básico para el efecto. </w:t>
      </w:r>
    </w:p>
    <w:p w14:paraId="74871738" w14:textId="3DD6C9E6"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062" w:name="ver_30076111"/>
      <w:bookmarkEnd w:id="2062"/>
    </w:p>
    <w:p w14:paraId="7D92BEA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2.3.5.1.3.24. Procedimiento. Cumplidos los requisitos del artículo anterior, el representante legal del municipio que desee destinar menos del 15% de la participación del SGP-APSB al otorgamiento de subsidios, de conformidad con el parágrafo 2° del artículo 11 de la Ley 1176 de 2007, deberá expedir una certificación en la cual indique el monto a apropiar de los recursos del Sistema General de Participaciones para Agua Potable y Saneamiento Básico destinado al otorgamiento de subsidios, manifestando que cumple con los requisitos exigidos en este capítulo. </w:t>
      </w:r>
    </w:p>
    <w:p w14:paraId="01A8B12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FA1370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Dicha certificación deberá ser cargada a través del Sistema Único de Información (SUI) de acuerdo con lo establecido por la Superintendencia de Servicios Públicos Domiciliarios. </w:t>
      </w:r>
    </w:p>
    <w:p w14:paraId="46E3EA86" w14:textId="301C6463"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063" w:name="ver_30076114"/>
      <w:bookmarkEnd w:id="2063"/>
    </w:p>
    <w:p w14:paraId="30A8DE9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2.3.5.1.3.25. Monitoreo, seguimiento y control. Lo previsto en la presente sección estará sometido al monitoreo, seguimiento y control de conformidad con las normas vigentes. </w:t>
      </w:r>
    </w:p>
    <w:p w14:paraId="5C89BA6E" w14:textId="7299257F" w:rsidR="00FC79C1" w:rsidRPr="009342F9" w:rsidRDefault="00FC79C1" w:rsidP="00672CC5">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AC1F5BD" w14:textId="77777777" w:rsidR="00FC79C1" w:rsidRPr="009342F9" w:rsidRDefault="00FC79C1" w:rsidP="0015442F">
      <w:pPr>
        <w:spacing w:after="0" w:line="240" w:lineRule="auto"/>
        <w:jc w:val="center"/>
        <w:rPr>
          <w:rFonts w:ascii="Arial" w:eastAsia="Times New Roman" w:hAnsi="Arial" w:cs="Arial"/>
          <w:b/>
          <w:bCs/>
          <w:color w:val="000000"/>
          <w:lang w:eastAsia="es-CO"/>
        </w:rPr>
      </w:pPr>
      <w:bookmarkStart w:id="2064" w:name="ver_30076115"/>
      <w:bookmarkEnd w:id="2064"/>
      <w:r w:rsidRPr="009342F9">
        <w:rPr>
          <w:rFonts w:ascii="Arial" w:eastAsia="Times New Roman" w:hAnsi="Arial" w:cs="Arial"/>
          <w:b/>
          <w:bCs/>
          <w:color w:val="000000"/>
          <w:lang w:eastAsia="es-CO"/>
        </w:rPr>
        <w:t>SECCIÓN 4</w:t>
      </w:r>
    </w:p>
    <w:p w14:paraId="6DFD1D16" w14:textId="77777777" w:rsidR="00FC79C1" w:rsidRPr="009342F9" w:rsidRDefault="00FC79C1" w:rsidP="0015442F">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PASIVOS LABORALES</w:t>
      </w:r>
    </w:p>
    <w:p w14:paraId="2251D57F"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2065" w:name="ver_30076117"/>
      <w:bookmarkEnd w:id="2065"/>
    </w:p>
    <w:p w14:paraId="3878306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2.3.5.1.4.26. Ámbito de aplicación. La presente sección aplica al pago de pasivos laborales de las personas prestadoras de los servicios públicos mencionadas en los numerales 1 y 3 del artículo 15 de la Ley 142 de 1994, que vayan a ser cofinanciados con los recursos del Sistema General de Participaciones (SGP) para Agua Potable y Saneamiento Básico asignados a los departamentos y que se encuentren en el marco de un proceso de reestructuración para la prestación de los servicios públicos domiciliarios de acueducto, alcantarillado y aseo, como resultado del cual se vinculen operadores especializados dentro del PAP-PDA. </w:t>
      </w:r>
    </w:p>
    <w:p w14:paraId="75E5629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C03204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Solamente podrán cofinanciarse los pasivos laborales causados con anterioridad a la </w:t>
      </w:r>
      <w:proofErr w:type="gramStart"/>
      <w:r w:rsidRPr="009342F9">
        <w:rPr>
          <w:rFonts w:ascii="Arial" w:eastAsia="Times New Roman" w:hAnsi="Arial" w:cs="Arial"/>
          <w:color w:val="000000"/>
          <w:lang w:eastAsia="es-CO"/>
        </w:rPr>
        <w:t>entrada en vigencia</w:t>
      </w:r>
      <w:proofErr w:type="gramEnd"/>
      <w:r w:rsidRPr="009342F9">
        <w:rPr>
          <w:rFonts w:ascii="Arial" w:eastAsia="Times New Roman" w:hAnsi="Arial" w:cs="Arial"/>
          <w:color w:val="000000"/>
          <w:lang w:eastAsia="es-CO"/>
        </w:rPr>
        <w:t xml:space="preserve"> de la Ley 1176 de 2007 y por una sola vez para cada prestador de servicios públicos domiciliaros de acueducto, alcantarillado o aseo existente en el municipio o distrito que tenga pasivos laborales y frente al cual exista obligación por parte de estos en el pago de dichos pasivos. </w:t>
      </w:r>
    </w:p>
    <w:p w14:paraId="4106076A" w14:textId="52093A1B"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066" w:name="ver_30076118"/>
      <w:bookmarkEnd w:id="2066"/>
    </w:p>
    <w:p w14:paraId="1F57467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Artículo 2.3.5.1.4.27. Pago de pasivos laborales. Previa autorización expedida por el Ministerio de Vivienda, Ciudad y Territorio, por una sola vez, será posible cofinanciar con cargo a los recursos de la participación para Agua Potable y Saneamiento Básico del SGP de los departamentos, el pago de los pasivos laborales causados con anterioridad al 1° de enero de 2008, de las personas prestadoras de los servicios públicos de acueducto, alcantarillado y aseo de que tratan los numerales 1 y 3 del artículo 15 de la Ley 142 de 1994. </w:t>
      </w:r>
    </w:p>
    <w:p w14:paraId="7236748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E22501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Parágrafo. El pago de los pasivos laborales con recursos del Sistema General de Participaciones del </w:t>
      </w:r>
      <w:proofErr w:type="gramStart"/>
      <w:r w:rsidRPr="009342F9">
        <w:rPr>
          <w:rFonts w:ascii="Arial" w:eastAsia="Times New Roman" w:hAnsi="Arial" w:cs="Arial"/>
          <w:color w:val="000000"/>
          <w:lang w:eastAsia="es-CO"/>
        </w:rPr>
        <w:t>departamento,</w:t>
      </w:r>
      <w:proofErr w:type="gramEnd"/>
      <w:r w:rsidRPr="009342F9">
        <w:rPr>
          <w:rFonts w:ascii="Arial" w:eastAsia="Times New Roman" w:hAnsi="Arial" w:cs="Arial"/>
          <w:color w:val="000000"/>
          <w:lang w:eastAsia="es-CO"/>
        </w:rPr>
        <w:t xml:space="preserve"> no implicará en ningún caso la asunción o reconocimiento de las obligaciones laborales por el departamento. El municipio o la empresa, en su condición de empleadores, seguirán siendo los responsables del pago de estas obligaciones frente a los trabajadores y extrabajadores. </w:t>
      </w:r>
    </w:p>
    <w:p w14:paraId="1A87A56A" w14:textId="1CA77A7D"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067" w:name="ver_30076123"/>
      <w:bookmarkEnd w:id="2067"/>
    </w:p>
    <w:p w14:paraId="60E19E5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2.3.5.1.4.28. Criterio para determinar la contrapartida de los municipios o distritos. El monto de la contrapartida mínima se determinará de acuerdo con la capacidad fiscal de cada municipio o distrito, de forma tal que aquellos con una mayor capacidad para generar recursos propios realicen un mayor esfuerzo en la atención de sus obligaciones laborales, de acuerdo con la siguiente tabla: </w:t>
      </w:r>
    </w:p>
    <w:p w14:paraId="4A851AD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F64A29E" w14:textId="63C34BA7" w:rsidR="00FC79C1" w:rsidRPr="009342F9" w:rsidRDefault="48ABE02E" w:rsidP="00FC79C1">
      <w:pPr>
        <w:spacing w:after="0" w:line="240" w:lineRule="auto"/>
        <w:jc w:val="both"/>
        <w:rPr>
          <w:rFonts w:ascii="Arial" w:eastAsia="Times New Roman" w:hAnsi="Arial" w:cs="Arial"/>
          <w:color w:val="000000"/>
          <w:lang w:eastAsia="es-CO"/>
        </w:rPr>
      </w:pPr>
      <w:r>
        <w:rPr>
          <w:noProof/>
        </w:rPr>
        <w:drawing>
          <wp:inline distT="0" distB="0" distL="0" distR="0" wp14:anchorId="6CA5276A" wp14:editId="259FCC04">
            <wp:extent cx="5529578" cy="206184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43">
                      <a:extLst>
                        <a:ext uri="{28A0092B-C50C-407E-A947-70E740481C1C}">
                          <a14:useLocalDpi xmlns:a14="http://schemas.microsoft.com/office/drawing/2010/main" val="0"/>
                        </a:ext>
                      </a:extLst>
                    </a:blip>
                    <a:stretch>
                      <a:fillRect/>
                    </a:stretch>
                  </pic:blipFill>
                  <pic:spPr>
                    <a:xfrm>
                      <a:off x="0" y="0"/>
                      <a:ext cx="5529578" cy="2061845"/>
                    </a:xfrm>
                    <a:prstGeom prst="rect">
                      <a:avLst/>
                    </a:prstGeom>
                  </pic:spPr>
                </pic:pic>
              </a:graphicData>
            </a:graphic>
          </wp:inline>
        </w:drawing>
      </w:r>
      <w:r w:rsidR="00FC79C1" w:rsidRPr="3DD719FF">
        <w:rPr>
          <w:rFonts w:ascii="Arial" w:eastAsia="Times New Roman" w:hAnsi="Arial" w:cs="Arial"/>
          <w:color w:val="000000" w:themeColor="text1"/>
          <w:lang w:eastAsia="es-CO"/>
        </w:rPr>
        <w:t> </w:t>
      </w:r>
    </w:p>
    <w:p w14:paraId="02BF7DCA"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2068" w:name="ver_30076126"/>
      <w:bookmarkEnd w:id="2068"/>
    </w:p>
    <w:p w14:paraId="0749619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2.3.5.1.4.29. Condiciones para el pago del pasivo laboral con recursos del Sistema General de Participaciones de los departamentos. Para efectos de lo previsto en el parágrafo 1° del artículo 10 de la Ley 1176 de 2007, se requerirá que el departamento verifique el cumplimiento de las siguientes condiciones: </w:t>
      </w:r>
    </w:p>
    <w:p w14:paraId="2530871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1BC3E0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Que existe la certificación del Secretario de Hacienda Departamental o quien haga sus veces, del monto de recursos del Sistema General de Participaciones del departamento disponible para el pago de pasivos laborales de conformidad con el Plan General Estratégico de Inversiones y el Plan Anual Estratégico y de Inversiones aprobado por el Comité Directivo del respectivo PAP-PDA o la estructura operativa que haga sus veces. </w:t>
      </w:r>
    </w:p>
    <w:p w14:paraId="3DA4E06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941E4F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Que el municipio o distrito que pretende ser beneficiario de la cofinanciación esté vinculado al PAP-PDA. </w:t>
      </w:r>
    </w:p>
    <w:p w14:paraId="6FFA139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7CDD6A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3. Que el municipio o distrito se haya comprometido expresamente a adoptar los esquemas de transformación y/o fortalecimiento institucional aprobados por el Comité Directivo del PDA o la estructura operativa que haga sus veces y que este incluya las actividades para implementar el esquema de reestructuración, de acuerdo con el Plan General Estratégico de Inversiones y el </w:t>
      </w:r>
      <w:r w:rsidRPr="009342F9">
        <w:rPr>
          <w:rFonts w:ascii="Arial" w:eastAsia="Times New Roman" w:hAnsi="Arial" w:cs="Arial"/>
          <w:color w:val="000000"/>
          <w:lang w:eastAsia="es-CO"/>
        </w:rPr>
        <w:lastRenderedPageBreak/>
        <w:t>Plan Anual Estratégico de Inversiones a que se refiere el capítulo I del título III del presente Libro, o la norma que lo modifique, complemente o sustituya, debidamente aprobado por el Comité Directivo del PAP-PDA o la estructura operativa que haga sus veces. </w:t>
      </w:r>
    </w:p>
    <w:p w14:paraId="5EAFAB7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450D66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4. </w:t>
      </w:r>
      <w:proofErr w:type="gramStart"/>
      <w:r w:rsidRPr="009342F9">
        <w:rPr>
          <w:rFonts w:ascii="Arial" w:eastAsia="Times New Roman" w:hAnsi="Arial" w:cs="Arial"/>
          <w:color w:val="000000"/>
          <w:lang w:eastAsia="es-CO"/>
        </w:rPr>
        <w:t>Que</w:t>
      </w:r>
      <w:proofErr w:type="gramEnd"/>
      <w:r w:rsidRPr="009342F9">
        <w:rPr>
          <w:rFonts w:ascii="Arial" w:eastAsia="Times New Roman" w:hAnsi="Arial" w:cs="Arial"/>
          <w:color w:val="000000"/>
          <w:lang w:eastAsia="es-CO"/>
        </w:rPr>
        <w:t xml:space="preserve"> como consecuencia del proceso de reestructuración en la prestación de los servicios, en el municipio o distrito se vincule un operador especializado. </w:t>
      </w:r>
    </w:p>
    <w:p w14:paraId="7C3F25A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D93925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 Que el monto del pasivo laboral causado con anterioridad al 1° de enero de 2008, esté certificado por el representante legal y el contador o el revisor fiscal de la persona prestadora de los servicios públicos de acueducto, alcantarillado y aseo, o por el funcionario competente en el evento en que los municipios o distritos sean prestadores directos. </w:t>
      </w:r>
    </w:p>
    <w:p w14:paraId="4162E3C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9CA56D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6. Que se haya definido </w:t>
      </w:r>
      <w:proofErr w:type="gramStart"/>
      <w:r w:rsidRPr="009342F9">
        <w:rPr>
          <w:rFonts w:ascii="Arial" w:eastAsia="Times New Roman" w:hAnsi="Arial" w:cs="Arial"/>
          <w:color w:val="000000"/>
          <w:lang w:eastAsia="es-CO"/>
        </w:rPr>
        <w:t>conjuntamente con</w:t>
      </w:r>
      <w:proofErr w:type="gramEnd"/>
      <w:r w:rsidRPr="009342F9">
        <w:rPr>
          <w:rFonts w:ascii="Arial" w:eastAsia="Times New Roman" w:hAnsi="Arial" w:cs="Arial"/>
          <w:color w:val="000000"/>
          <w:lang w:eastAsia="es-CO"/>
        </w:rPr>
        <w:t xml:space="preserve"> el municipio o distrito beneficiario el esquema financiero para el manejo de los recursos destinados al pago de los pasivos laborales y que exista el compromiso de ejecutar dichos recursos de conformidad con el esquema acordado. </w:t>
      </w:r>
    </w:p>
    <w:p w14:paraId="32732DE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7B4098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7. Que el respectivo Comité Directivo del PAP-PDA o la estructura operativa que haga sus veces, haya aprobado mediante acta el esquema de priorización de municipios o distritos que recibirán cofinanciación del departamento para el pago de sus pasivos laborales, el cual deberá tener como fundamento criterios e indicadores objetivos que reflejen el cumplimiento de los compromisos de la entidad territorial beneficiara con el PAP-PDA en sus diferentes componentes. </w:t>
      </w:r>
    </w:p>
    <w:p w14:paraId="20DE2C0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64BD3E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1°. El departamento deberá indicar al gestor del PAP-PDA la asignación de recursos destinados para el pago de pasivos laborales, para que sea incluido en la distribución de recursos que se efectúe en el marco del PAP-PDA. </w:t>
      </w:r>
    </w:p>
    <w:p w14:paraId="260DD43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B93D0E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Parágrafo 2°. El departamento podrá comprometer los recursos con anterioridad a la vinculación del operador especializado, siempre y cuando la entrega de </w:t>
      </w:r>
      <w:proofErr w:type="gramStart"/>
      <w:r w:rsidRPr="009342F9">
        <w:rPr>
          <w:rFonts w:ascii="Arial" w:eastAsia="Times New Roman" w:hAnsi="Arial" w:cs="Arial"/>
          <w:color w:val="000000"/>
          <w:lang w:eastAsia="es-CO"/>
        </w:rPr>
        <w:t>los mismos</w:t>
      </w:r>
      <w:proofErr w:type="gramEnd"/>
      <w:r w:rsidRPr="009342F9">
        <w:rPr>
          <w:rFonts w:ascii="Arial" w:eastAsia="Times New Roman" w:hAnsi="Arial" w:cs="Arial"/>
          <w:color w:val="000000"/>
          <w:lang w:eastAsia="es-CO"/>
        </w:rPr>
        <w:t xml:space="preserve"> esté supeditada a la suscripción del contrato de prestación de los servicios públicos domiciliarios de acueducto, alcantarillado y/o aseo con el operador especializado. </w:t>
      </w:r>
    </w:p>
    <w:p w14:paraId="70C2C06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A5B309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Parágrafo 3°. Para efectos de lo previsto en el presente artículo, cada departamento realizará un inventario anual de pasivos laborales causados con anterioridad a la </w:t>
      </w:r>
      <w:proofErr w:type="gramStart"/>
      <w:r w:rsidRPr="009342F9">
        <w:rPr>
          <w:rFonts w:ascii="Arial" w:eastAsia="Times New Roman" w:hAnsi="Arial" w:cs="Arial"/>
          <w:color w:val="000000"/>
          <w:lang w:eastAsia="es-CO"/>
        </w:rPr>
        <w:t>entrada en vigencia</w:t>
      </w:r>
      <w:proofErr w:type="gramEnd"/>
      <w:r w:rsidRPr="009342F9">
        <w:rPr>
          <w:rFonts w:ascii="Arial" w:eastAsia="Times New Roman" w:hAnsi="Arial" w:cs="Arial"/>
          <w:color w:val="000000"/>
          <w:lang w:eastAsia="es-CO"/>
        </w:rPr>
        <w:t xml:space="preserve"> de la Ley 1176 de 2007, en el cual se incluyan los municipios o distritos que manifiesten su interés en ser beneficiarios de la cofinanciación del departamento y el monto de los pasivos laborales según la certificación de que trata el numeral 5 del presente artículo. </w:t>
      </w:r>
    </w:p>
    <w:p w14:paraId="1762F0B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9BA2FD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Dicho inventario deberá actualizarse anualmente teniendo en cuenta los municipios o distritos </w:t>
      </w:r>
      <w:proofErr w:type="gramStart"/>
      <w:r w:rsidRPr="009342F9">
        <w:rPr>
          <w:rFonts w:ascii="Arial" w:eastAsia="Times New Roman" w:hAnsi="Arial" w:cs="Arial"/>
          <w:color w:val="000000"/>
          <w:lang w:eastAsia="es-CO"/>
        </w:rPr>
        <w:t>que</w:t>
      </w:r>
      <w:proofErr w:type="gramEnd"/>
      <w:r w:rsidRPr="009342F9">
        <w:rPr>
          <w:rFonts w:ascii="Arial" w:eastAsia="Times New Roman" w:hAnsi="Arial" w:cs="Arial"/>
          <w:color w:val="000000"/>
          <w:lang w:eastAsia="es-CO"/>
        </w:rPr>
        <w:t xml:space="preserve"> habiendo manifestado su interés de acceder a la cofinanciación, cumplan con los requisitos establecidos en el presente capítulo. </w:t>
      </w:r>
    </w:p>
    <w:p w14:paraId="6EEA5140" w14:textId="36BC205C"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069" w:name="ver_30076129"/>
      <w:bookmarkEnd w:id="2069"/>
    </w:p>
    <w:p w14:paraId="2E3BEB4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2.3.5.1.4.30. Procedimiento para solicitar autorización al Ministerio de Vivienda, Ciudad y Territorio. El departamento mediante comunicación escrita suscrita por el gobernador </w:t>
      </w:r>
      <w:proofErr w:type="gramStart"/>
      <w:r w:rsidRPr="009342F9">
        <w:rPr>
          <w:rFonts w:ascii="Arial" w:eastAsia="Times New Roman" w:hAnsi="Arial" w:cs="Arial"/>
          <w:color w:val="000000"/>
          <w:lang w:eastAsia="es-CO"/>
        </w:rPr>
        <w:t>respectivo,</w:t>
      </w:r>
      <w:proofErr w:type="gramEnd"/>
      <w:r w:rsidRPr="009342F9">
        <w:rPr>
          <w:rFonts w:ascii="Arial" w:eastAsia="Times New Roman" w:hAnsi="Arial" w:cs="Arial"/>
          <w:color w:val="000000"/>
          <w:lang w:eastAsia="es-CO"/>
        </w:rPr>
        <w:t xml:space="preserve"> presentará ante el Ministerio de Vivienda, Ciudad y Territorio la solicitud de autorización para cofinanciar los pasivos laborales de los municipios o distritos beneficiarios de acuerdo con lo previsto en el artículo anterior. </w:t>
      </w:r>
    </w:p>
    <w:p w14:paraId="4BBDD35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C61948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Con la solicitud se deberán presentar los siguientes documentos: </w:t>
      </w:r>
    </w:p>
    <w:p w14:paraId="568D17A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DD0419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1. Certificación del Secretario de Hacienda Departamental o quien haga sus veces, del monto de los recursos del Sistema General de Participaciones del departamento que se destinará al pago del pasivo laboral. </w:t>
      </w:r>
    </w:p>
    <w:p w14:paraId="39724B3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0BBC6A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Copia del acto mediante el cual el departamento y el municipio o distrito beneficiario definen el esquema financiero para el manejo de los recursos. </w:t>
      </w:r>
    </w:p>
    <w:p w14:paraId="6EC100C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D47EC4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Certificación suscrita por el representante legal y el contador o el revisor fiscal de la persona prestadora de los servicios públicos de acueducto, alcantarillado y aseo, o por el funcionario competente en el evento en que los municipios o distritos sean prestadores directos, del monto del pasivo laboral causado con anterioridad al 1° de enero de 2008. </w:t>
      </w:r>
    </w:p>
    <w:p w14:paraId="4B3FF76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002BFE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4. Copia del contrato, convenio o acto mediante el cual el municipio beneficiario del pago de pasivos </w:t>
      </w:r>
      <w:proofErr w:type="gramStart"/>
      <w:r w:rsidRPr="009342F9">
        <w:rPr>
          <w:rFonts w:ascii="Arial" w:eastAsia="Times New Roman" w:hAnsi="Arial" w:cs="Arial"/>
          <w:color w:val="000000"/>
          <w:lang w:eastAsia="es-CO"/>
        </w:rPr>
        <w:t>laborales,</w:t>
      </w:r>
      <w:proofErr w:type="gramEnd"/>
      <w:r w:rsidRPr="009342F9">
        <w:rPr>
          <w:rFonts w:ascii="Arial" w:eastAsia="Times New Roman" w:hAnsi="Arial" w:cs="Arial"/>
          <w:color w:val="000000"/>
          <w:lang w:eastAsia="es-CO"/>
        </w:rPr>
        <w:t xml:space="preserve"> vinculó al operador especializado para la prestación de los servicios públicos domiciliarios de acueducto, alcantarillado y/o aseo. </w:t>
      </w:r>
    </w:p>
    <w:p w14:paraId="34899F9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EBC629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 Acta del Comité Directivo del respectivo PDA o la estructura operativa que haga sus veces, en la cual se certifique que se cumplen los requisitos establecidos en el artículo 2.4.5.1.29 del presente capítulo para la cofinanciación del pago de pasivos laborales. </w:t>
      </w:r>
    </w:p>
    <w:p w14:paraId="3C1DE7B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24EE9D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El Ministerio de Vivienda, Ciudad y Territorio, a partir de la solicitud presentada por el departamento, procederá a revisar acorde con el contenido del Plan General Estratégico de Inversiones y del Plan Anual Estratégico de Inversiones a que se refiere el capítulo I del Título II del presente Libro, la norma que lo modifique o sustituya, debidamente aprobados por el Comité Directivo del PDA o la estructura operativa que haga sus veces, el cumplimiento de las condiciones establecidas en el artículo 2.4.5.1.29 del presente capítulo. Una vez verificado el cumplimiento de lo anterior, expedirá la mencionada autorización. </w:t>
      </w:r>
    </w:p>
    <w:p w14:paraId="547460C3" w14:textId="7858E2FC"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070" w:name="ver_30076130"/>
      <w:bookmarkEnd w:id="2070"/>
    </w:p>
    <w:p w14:paraId="0FB0FAC6" w14:textId="77777777" w:rsidR="00FC79C1" w:rsidRPr="009342F9" w:rsidRDefault="00FC79C1" w:rsidP="00FC79C1">
      <w:pPr>
        <w:spacing w:after="0" w:line="240" w:lineRule="auto"/>
        <w:ind w:left="1"/>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2.3.5.1.4.31. Reportes de información. El Ministerio de Vivienda, Ciudad y Territorio no responderá por concepto de la información reportada por las entidades territoriales, con base en la cual hayan otorgado las autorizaciones correspondientes. El Ministerio de Vivienda, Ciudad y Territorio, podrá solicitar al departamento, municipio o distrito los soportes para verificar la información reportada, cuando lo considere pertinente. </w:t>
      </w:r>
    </w:p>
    <w:p w14:paraId="139140EB" w14:textId="77777777" w:rsidR="00FC79C1" w:rsidRPr="009342F9" w:rsidRDefault="00FC79C1" w:rsidP="00FC79C1">
      <w:pPr>
        <w:spacing w:after="0" w:line="240" w:lineRule="auto"/>
        <w:ind w:left="1"/>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67439AF" w14:textId="77777777" w:rsidR="00FC79C1" w:rsidRPr="009342F9" w:rsidRDefault="00FC79C1" w:rsidP="00FC79C1">
      <w:pPr>
        <w:spacing w:after="0" w:line="240" w:lineRule="auto"/>
        <w:ind w:left="1"/>
        <w:jc w:val="both"/>
        <w:rPr>
          <w:rFonts w:ascii="Arial" w:eastAsia="Times New Roman" w:hAnsi="Arial" w:cs="Arial"/>
          <w:color w:val="000000"/>
          <w:lang w:eastAsia="es-CO"/>
        </w:rPr>
      </w:pPr>
      <w:r w:rsidRPr="009342F9">
        <w:rPr>
          <w:rFonts w:ascii="Arial" w:eastAsia="Times New Roman" w:hAnsi="Arial" w:cs="Arial"/>
          <w:color w:val="000000"/>
          <w:lang w:eastAsia="es-CO"/>
        </w:rPr>
        <w:t>En consecuencia, la responsabilidad sobre la totalidad de la información reportada recae en el respectivo representante legal de la entidad territorial, a quien le corresponde resolver los requerimientos y reclamos que se presenten sobre la materia. </w:t>
      </w:r>
    </w:p>
    <w:p w14:paraId="76771331" w14:textId="2AE00556" w:rsidR="0015442F" w:rsidRPr="009342F9" w:rsidRDefault="00FC79C1" w:rsidP="00672CC5">
      <w:pPr>
        <w:spacing w:after="0" w:line="240" w:lineRule="auto"/>
        <w:ind w:left="1"/>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071" w:name="ver_30076132"/>
      <w:bookmarkEnd w:id="2071"/>
    </w:p>
    <w:p w14:paraId="01CCA211" w14:textId="7303DE61" w:rsidR="00FC79C1" w:rsidRPr="009342F9" w:rsidRDefault="00FC79C1" w:rsidP="0015442F">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SECCIÓN 5</w:t>
      </w:r>
    </w:p>
    <w:p w14:paraId="22720BCB" w14:textId="77777777" w:rsidR="00FC79C1" w:rsidRPr="009342F9" w:rsidRDefault="00FC79C1" w:rsidP="0015442F">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GIRO DE LOS RECURSOS DEL SISTEMA GENERAL DE PARTICIPACIONES PARA AGUA POTABLE Y SANEAMIENTO BÁSICO</w:t>
      </w:r>
    </w:p>
    <w:p w14:paraId="0C3B2545"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2072" w:name="ver_30076134"/>
      <w:bookmarkEnd w:id="2072"/>
    </w:p>
    <w:p w14:paraId="54118D3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2.3.5.1.5.32. Giro de los recursos del Sistema General de Participaciones (SGP) para Agua Potable y Saneamiento Básico. Corresponde al Ministerio de Vivienda, Ciudad y Territorio, girar los recursos de la participación para Agua Potable y Saneamiento Básico del Sistema General de Participaciones a los departamentos, distritos y municipios. </w:t>
      </w:r>
    </w:p>
    <w:p w14:paraId="04F42D2C" w14:textId="63694F49"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073" w:name="ver_30076135"/>
      <w:bookmarkEnd w:id="2073"/>
    </w:p>
    <w:p w14:paraId="2675A34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2.3.5.1.5.33. Destinatarios del giro directo. Cuando los departamentos, municipios y distritos lo soliciten, y previa presentación de los documentos correspondientes, el Ministerio de Vivienda, Ciudad y Territorio girará directamente los montos autorizados de los recursos que le corresponden del Sistema General de Participaciones para Agua Potable y Saneamiento Básico, </w:t>
      </w:r>
      <w:r w:rsidRPr="009342F9">
        <w:rPr>
          <w:rFonts w:ascii="Arial" w:eastAsia="Times New Roman" w:hAnsi="Arial" w:cs="Arial"/>
          <w:color w:val="000000"/>
          <w:lang w:eastAsia="es-CO"/>
        </w:rPr>
        <w:lastRenderedPageBreak/>
        <w:t>a los prestadores de los servicios de acueducto, alcantarillado y/o aseo, a los patrimonios autónomos o a los esquemas fiduciarios que se constituyan para el manejo de los recursos del Sistema General de Participaciones para Agua Potable y Saneamiento Básico, destinados a proyectos de inversión o a subsidios, en el marco de lo establecido en la Ley 1176 de 2007, previo cumplimiento del procedimiento previsto en este decreto. </w:t>
      </w:r>
    </w:p>
    <w:p w14:paraId="0A05169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0412D4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El giro de los recursos de que trata el presente artículo a los prestadores de los servicios de acueducto, alcantarillado y aseo, se llevará a cabo cuando el municipio o distrito haya vinculado uno o varios prestadores para prestar uno o varios de estos servicios y/o en los casos en que exista un convenio firmado entre el municipio o distrito y el prestador del servicio para la asignación de subsidios. </w:t>
      </w:r>
    </w:p>
    <w:p w14:paraId="5F729EA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B3D972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El giro de los recursos de que trata el presente artículo a los patrimonios autónomos o a los esquemas fiduciarios que se constituyan para la financiación de los PAP-PDA, destinados a proyectos de inversión y que obedezcan al compromiso de monto y periodo establecido, se llevará a cabo cuando el departamento, municipio o distrito, individual o conjuntamente, se haya vinculado al patrimonio autónomo o esquema fiduciario y se den las autorizaciones e instrucciones de giro a estos mecanismos, en los términos establecidos en el artículo 2.3.5.1.5.34 del presente capítulo. </w:t>
      </w:r>
    </w:p>
    <w:p w14:paraId="742BB152" w14:textId="2EC6F02F"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074" w:name="ver_30076137"/>
      <w:bookmarkEnd w:id="2074"/>
    </w:p>
    <w:p w14:paraId="4B3E8CC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2.3.5.1.5.34. Condiciones para el giro directo. El giro de los recursos del Sistema General de Participaciones para Agua Potable y Saneamiento Básico por parte del Ministerio de Vivienda, Ciudad y Territorio, a los prestadores de los servicios de acueducto, alcantarillado y aseo y/o a los patrimonios autónomos o a los esquemas fiduciarios que se constituyan para el manejo de los recursos del SGP-APSB destinados a proyectos de inversión o aquellos destinados a subsidios en el marco de lo establecido en la Ley 1176 de 2007 y 1450 de 2011, está sujeto al cumplimiento de las siguientes condiciones: </w:t>
      </w:r>
    </w:p>
    <w:p w14:paraId="39AC719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78F3F0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 Para el giro directo de recursos a los prestadores por concepto de subsidios: </w:t>
      </w:r>
    </w:p>
    <w:p w14:paraId="3D726CE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9C7AC1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1. Autorización de giro directo de los recursos suscrita por el representante legal de la entidad territorial, estableciéndose claramente el destinatario de </w:t>
      </w:r>
      <w:proofErr w:type="gramStart"/>
      <w:r w:rsidRPr="009342F9">
        <w:rPr>
          <w:rFonts w:ascii="Arial" w:eastAsia="Times New Roman" w:hAnsi="Arial" w:cs="Arial"/>
          <w:color w:val="000000"/>
          <w:lang w:eastAsia="es-CO"/>
        </w:rPr>
        <w:t>los mismos</w:t>
      </w:r>
      <w:proofErr w:type="gramEnd"/>
      <w:r w:rsidRPr="009342F9">
        <w:rPr>
          <w:rFonts w:ascii="Arial" w:eastAsia="Times New Roman" w:hAnsi="Arial" w:cs="Arial"/>
          <w:color w:val="000000"/>
          <w:lang w:eastAsia="es-CO"/>
        </w:rPr>
        <w:t>, su denominación o razón social, NIT, número de cuenta bancaria y nombre de la entidad financiera receptora del giro, así como el monto mensual de giros en documento original, en el formato que para el efecto establezca el Ministerio de Vivienda, Ciudad y Territorio. </w:t>
      </w:r>
    </w:p>
    <w:p w14:paraId="2C21923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EF454F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Copia de la cédula de ciudadanía y del acta de posesión del alcalde. </w:t>
      </w:r>
    </w:p>
    <w:p w14:paraId="1E6BD4D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9D1A29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Copia del contrato o convenio que asegura la transferencia de recursos por concepto de subsidios a los prestadores de servicios públicos del municipio, donde se identifique el valor a girar en la vigencia. </w:t>
      </w:r>
    </w:p>
    <w:p w14:paraId="6A5723D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C06D6A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Certificación bancaria en la que conste el cuentahabiente, su identificación, el número y tipo de cuenta, y si a la fecha está activa. </w:t>
      </w:r>
    </w:p>
    <w:p w14:paraId="1D65C5E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466AED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 Certificado de compromisos vigentes, en el formato que para el efecto establezca el Ministerio de Vivienda, Ciudad y Territorio. </w:t>
      </w:r>
    </w:p>
    <w:p w14:paraId="524F8D6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0F1AEC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6. Inscripción del prestador ante el Registro Único de Prestadores Públicos establecido por la Superintendencia de Servicios Públicos Domiciliarios, el cual será verificado por el Ministerio de Vivienda, Ciudad y Territorio a través del Sistema Único de Información. </w:t>
      </w:r>
    </w:p>
    <w:p w14:paraId="62CB88E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w:t>
      </w:r>
    </w:p>
    <w:p w14:paraId="3550A42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b) Para el giro directo de recursos por concepto de inversión a patrimonios autónomos o esquemas fiduciarios en el marco del PAP-PDA: </w:t>
      </w:r>
    </w:p>
    <w:p w14:paraId="71B5F42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C65999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Autorización de giro directo de los recursos suscrita por el representante legal de la entidad territorial, estableciéndose claramente el destinatario de los mismos, su denominación o razón social, NIT, número de cuenta bancaria y nombre de la entidad financiera receptora del giro; el monto mensual de giro para cada destinatario con base en los compromisos asumidos por la entidad territorial, con los patrimonios autónomos o los esquemas fiduciarios que se constituyan para el manejo de los recursos del Sistema General de Participaciones para Agua Potable y Saneamiento Básico destinados a proyectos de inversión, incluyendo los compromisos de vigencias futuras u operaciones de crédito público asumidos con cargo a estos recursos cuando aplique de conformidad con la normatividad vigente, y el tiempo durante el cual se aplicará esta autorización, en el formato que para el efecto establezca el Ministerio de Vivienda, Ciudad y Territorio. </w:t>
      </w:r>
    </w:p>
    <w:p w14:paraId="10C34DF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F93CC0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Copia del contrato o convenio suscrito con los patrimonios autónomos o esquemas fiduciarios que se constituyan para el manejo de los recursos del SGP-APSB destinados a proyectos de inversión. </w:t>
      </w:r>
    </w:p>
    <w:p w14:paraId="5407490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689E15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Copia del convenio suscrito por el municipio y/o distrito con el Gestor y el Departamento, mediante el cual se hace partícipe del PAP-PDA, o copia del acta en la que el Comité Directivo aprueba la vinculación del municipio al PAP-PDA, en los términos del artículo 2.3.3.1.3.8. del capítulo 1 del título 3 del presente Libro, antes Decreto 2246 de 2012 o el que lo modifique, adicione o sustituya. </w:t>
      </w:r>
    </w:p>
    <w:p w14:paraId="6295D4B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90E46B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Copia de la cédula de ciudadanía y del acta de posesión del alcalde. </w:t>
      </w:r>
    </w:p>
    <w:p w14:paraId="23BC03A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EE5968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 Certificado de compromisos vigentes, en el formato que para el efecto establezca el Ministerio de Vivienda, Ciudad y Territorio. </w:t>
      </w:r>
    </w:p>
    <w:p w14:paraId="48CBB57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9FD97E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 Para el giro directo de recursos a esquemas fiduciarios o patrimonios autónomos diferentes a los constituidos en el marco del PAP-PDA: </w:t>
      </w:r>
    </w:p>
    <w:p w14:paraId="20BA6F6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B50E2D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Autorización de giro directo de los recursos suscrita por el representante legal de la entidad territorial, estableciéndose claramente el destinatario de los mismos, su denominación o razón social, NIT, número de cuenta bancaria y nombre de la entidad financiera receptora del giro; el monto mensual de giro para cada destinatario con base en los compromisos asumidos por la entidad territorial, con los patrimonios autónomos o los esquemas fiduciarios que se constituyan para el manejo de los recursos del Sistema General de Participaciones para Agua Potable y Saneamiento Básico destinados a proyectos de inversión, incluyendo los compromisos de vigencias futuras u operaciones de crédito público asumidos con cargo a estos recursos, y el tiempo durante el cual se aplicará esta autorización, en el formato que para el efecto establezca el Ministerio de Vivienda, Ciudad y Territorio. </w:t>
      </w:r>
    </w:p>
    <w:p w14:paraId="591B27D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1D39BB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Copia del contrato o convenio suscrito con los patrimonios autónomos o esquemas fiduciarios que se constituyan para el manejo de los recursos del SGP-APSB destinados a proyectos de inversión. </w:t>
      </w:r>
    </w:p>
    <w:p w14:paraId="2E08F7E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91AEC2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Copia de la cédula de ciudadanía y del acta de posesión del alcalde o gobernador. </w:t>
      </w:r>
    </w:p>
    <w:p w14:paraId="08E35EF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5BF747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4. Plan de obras e inversiones donde especifique los proyectos de inversión a ejecutarse, suscrito por el representante legal de la entidad territorial, en los términos de los artículos 10 y 11 de la Ley 1176 de 2007. Para el efecto se deberá diligenciar ficha resumen de los proyectos en el formato que establezca el Ministerio de Vivienda, Ciudad y Territorio. </w:t>
      </w:r>
    </w:p>
    <w:p w14:paraId="6CE4A6D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AE07DB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 Certificación suscrita por el secretario o jefe de planeación de la entidad territorial, donde se establezca que los proyectos específicos hacen parte de Plan de Desarrollo de la entidad territorial y están incorporados en el banco de proyectos respectivo. </w:t>
      </w:r>
    </w:p>
    <w:p w14:paraId="31447F0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BC9C7F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6. Certificación de paz y salvo o acuerdo de pago del municipio por concepto de subsidios expedida por los prestadores de servicios públicos de acueducto, alcantarillado y aseo del área urbana del municipio. </w:t>
      </w:r>
    </w:p>
    <w:p w14:paraId="7709572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C622A4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7. Certificado de compromisos vigentes, en el formato que para el efecto establezca el Ministerio de Vivienda, Ciudad y Territorio. </w:t>
      </w:r>
    </w:p>
    <w:p w14:paraId="1CFC798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CCDF49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Recibida la solicitud de acuerdo con lo establecido en este artículo, el Ministerio de Vivienda, Ciudad y Territorio revisará que la misma contenga la totalidad de la información requerida, pudiendo verificar cuando lo estime necesario, su veracidad. Una vez corroborado lo anterior y recibidos los ajustes que sean necesarios, el Ministerio de Vivienda, Ciudad y Territorio realizará los giros respectivos de acuerdo con las instrucciones recibidas y su Programa Anual de Caja (PAC). </w:t>
      </w:r>
    </w:p>
    <w:p w14:paraId="242C736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8544BF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1°. En los casos en que aplique la actualización del monto de giros para subsidios correspondiente a cada vigencia deberá enviarse por el departamento, distrito o municipio al Ministerio de Vivienda, Ciudad y Territorio, a más tardar el 15 de diciembre de cada año. En caso de que el Ministerio de Vivienda, Ciudad y Territorio no reciba el monto actualizado de giros para subsidios del respectivo año se aplicará el que figure en la instrucción de giro directo suscrita por la entidad territorial o en su defecto el correspondiente a la vigencia anterior. </w:t>
      </w:r>
    </w:p>
    <w:p w14:paraId="34F37E9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C4BB58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2°. De ser necesario revocar o modificar las autorizaciones e instrucciones para el giro directo a los patrimonios autónomos o a los esquemas fiduciarios que se constituyan para el manejo de los recursos del SGP-APSB destinados a proyectos de inversión, de que trata el presente capítulo, las mismas deberán solicitarse por escrito junto con la aprobación y consentimiento del representante legal del patrimonio autónomo o del esquema fiduciario respectivo, ante el Ministerio de Vivienda, Ciudad y Territorio, previo el cumplimiento de todas las obligaciones que se encuentren respaldadas con los recursos objeto del giro o la constitución de otras garantías que tengan iguales o mejores condiciones para respaldar el cumplimiento de las obligaciones adquiridas. </w:t>
      </w:r>
    </w:p>
    <w:p w14:paraId="145CA67D" w14:textId="2C6E2FCD"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075" w:name="ver_30076139"/>
      <w:bookmarkEnd w:id="2075"/>
    </w:p>
    <w:p w14:paraId="416BC38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2.3.5.1.5.35. Reportes de información. Las entidades territoriales serán responsables de la consistencia y veracidad de la información que sirva de soporte al giro directo de los recursos del SGP-APSB. El Ministerio de Vivienda, Ciudad y Territorio podrá solicitar al departamento, municipio o distrito los soportes para verificar la información contenida en la autorización de giro, cuando lo considere pertinente. </w:t>
      </w:r>
    </w:p>
    <w:p w14:paraId="5E39F6A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0B7425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consecuencia, la responsabilidad sobre la totalidad de la información reportada en relación con los giros autorizados por los departamentos, distritos o municipios recae en el respectivo representante legal de la entidad territorial, a quien le corresponde resolver los requerimientos y reclamos que se presenten sobre la materia. </w:t>
      </w:r>
    </w:p>
    <w:p w14:paraId="0C1208A3" w14:textId="4CE9CBED" w:rsidR="0015442F" w:rsidRPr="009342F9" w:rsidRDefault="00FC79C1" w:rsidP="00672CC5">
      <w:pPr>
        <w:spacing w:after="0" w:line="240" w:lineRule="auto"/>
        <w:jc w:val="both"/>
        <w:rPr>
          <w:rFonts w:ascii="Arial" w:eastAsia="Times New Roman" w:hAnsi="Arial" w:cs="Arial"/>
          <w:b/>
          <w:bCs/>
          <w:color w:val="000000"/>
          <w:lang w:eastAsia="es-CO"/>
        </w:rPr>
      </w:pPr>
      <w:r w:rsidRPr="009342F9">
        <w:rPr>
          <w:rFonts w:ascii="Arial" w:eastAsia="Times New Roman" w:hAnsi="Arial" w:cs="Arial"/>
          <w:color w:val="000000"/>
          <w:lang w:eastAsia="es-CO"/>
        </w:rPr>
        <w:t>  </w:t>
      </w:r>
      <w:bookmarkStart w:id="2076" w:name="ver_30076140"/>
      <w:bookmarkEnd w:id="2076"/>
    </w:p>
    <w:p w14:paraId="13ED531D" w14:textId="77777777" w:rsidR="00EE4153" w:rsidRDefault="00EE4153" w:rsidP="0015442F">
      <w:pPr>
        <w:spacing w:after="0" w:line="240" w:lineRule="auto"/>
        <w:jc w:val="center"/>
        <w:rPr>
          <w:rFonts w:ascii="Arial" w:eastAsia="Times New Roman" w:hAnsi="Arial" w:cs="Arial"/>
          <w:b/>
          <w:bCs/>
          <w:color w:val="000000"/>
          <w:lang w:eastAsia="es-CO"/>
        </w:rPr>
      </w:pPr>
    </w:p>
    <w:p w14:paraId="4130A56D" w14:textId="77777777" w:rsidR="00EE4153" w:rsidRDefault="00EE4153" w:rsidP="0015442F">
      <w:pPr>
        <w:spacing w:after="0" w:line="240" w:lineRule="auto"/>
        <w:jc w:val="center"/>
        <w:rPr>
          <w:rFonts w:ascii="Arial" w:eastAsia="Times New Roman" w:hAnsi="Arial" w:cs="Arial"/>
          <w:b/>
          <w:bCs/>
          <w:color w:val="000000"/>
          <w:lang w:eastAsia="es-CO"/>
        </w:rPr>
      </w:pPr>
    </w:p>
    <w:p w14:paraId="3DAAA9B4" w14:textId="129A36AF" w:rsidR="00FC79C1" w:rsidRPr="009342F9" w:rsidRDefault="00FC79C1" w:rsidP="0015442F">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SECCIÓN 6</w:t>
      </w:r>
    </w:p>
    <w:p w14:paraId="573D220D" w14:textId="77777777" w:rsidR="00FC79C1" w:rsidRPr="009342F9" w:rsidRDefault="00FC79C1" w:rsidP="0015442F">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MONITOREO, SEGUIMIENTO Y CONTROL DE LOS RECURSOS DEL SISTEMA GENERAL DE PARTICIPACIONES</w:t>
      </w:r>
    </w:p>
    <w:p w14:paraId="7C1EEC97" w14:textId="77777777" w:rsidR="00EE4153" w:rsidRDefault="00EE4153" w:rsidP="0015442F">
      <w:pPr>
        <w:spacing w:after="0" w:line="240" w:lineRule="auto"/>
        <w:jc w:val="center"/>
        <w:rPr>
          <w:rFonts w:ascii="Arial" w:eastAsia="Times New Roman" w:hAnsi="Arial" w:cs="Arial"/>
          <w:b/>
          <w:bCs/>
          <w:color w:val="000000"/>
          <w:lang w:eastAsia="es-CO"/>
        </w:rPr>
      </w:pPr>
    </w:p>
    <w:p w14:paraId="5F502762" w14:textId="024715E0" w:rsidR="00FC79C1" w:rsidRPr="009342F9" w:rsidRDefault="00FC79C1" w:rsidP="0015442F">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SUBSECCIÓN 1</w:t>
      </w:r>
    </w:p>
    <w:p w14:paraId="2103D290" w14:textId="77777777" w:rsidR="00FC79C1" w:rsidRPr="009342F9" w:rsidRDefault="00FC79C1" w:rsidP="0015442F">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ACTIVIDADES Y RESPONSABLES</w:t>
      </w:r>
    </w:p>
    <w:p w14:paraId="2AB1B0BC"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2077" w:name="ver_30076144"/>
      <w:bookmarkEnd w:id="2077"/>
    </w:p>
    <w:p w14:paraId="7DD5EEA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2.3.5.1.6.1.36. Actividades y responsables de monitoreo de los recursos del Sistema General de Participaciones en el sector de Agua Potable y Saneamiento Básico. Las actividades de monitoreo de que trata la normatividad única para el sector de Planeación Nacional, comprenden la recopilación sistemática de información, su consolidación, análisis y verificación para el cálculo de indicadores específicos y estratégicos del sector de Agua Potable y Saneamiento Básico, que permitan identificar acciones u omisiones por parte de las entidades territoriales que puedan poner en riesgo la adecuada utilización de los recursos de la participación para Agua Potable y Saneamiento Básico (APSB) del Sistema General de Participaciones (SGP) y el cumplimiento de las metas de calidad, cobertura y continuidad en la prestación de los servicios financiados con cargo a estos recursos. </w:t>
      </w:r>
    </w:p>
    <w:p w14:paraId="1330FB5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926487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De conformidad con lo previsto en la normatividad única para el sector de Planeación Nacional y el artículo 20 de la Ley 1450 de 2011, la actividad de monitoreo estará a cargo del Ministerio de Vivienda, Ciudad y Territorio (MVCT) el cual articulará su ejercicio con la Superintendencia de Servicios Públicos Domiciliarios, en coordinación con las funciones de seguimiento y control del Ministerio de Hacienda y Crédito Público (MHCP), de la siguiente manera: </w:t>
      </w:r>
    </w:p>
    <w:p w14:paraId="2CB5CDC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5A3092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1.1. Estará a cargo del Ministerio de Vivienda, Ciudad y Territorio: </w:t>
      </w:r>
    </w:p>
    <w:p w14:paraId="6AA3052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B0A20F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1.1.1. Expedir los lineamientos y directrices de la política sectorial, la cual incluye los indicadores específicos y estratégicos y la definición de las metas de continuidad, cobertura y calidad para la prestación de los servicios de acueducto, alcantarillado y aseo, que deberán incluir las entidades territoriales en sus respectivos planes sectoriales. </w:t>
      </w:r>
    </w:p>
    <w:p w14:paraId="1E9F24C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A52D4F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1.1.2. Aplicar los indicadores específicos y estratégicos para el monitoreo de los recursos del Sistema General de Participaciones para Agua Potable y Saneamiento Básico. </w:t>
      </w:r>
    </w:p>
    <w:p w14:paraId="36C0C61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C7B7F2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1.1.3. Consolidar y evaluar de manera integral los resultados de la actividad de monitoreo y remitirlos al Ministerio de Hacienda y Crédito Público, para que se adelanten, si a ello hay lugar, las actividades de seguimiento y control integral. </w:t>
      </w:r>
    </w:p>
    <w:p w14:paraId="48CAA4A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11AB90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El monitoreo del cumplimiento de las metas de continuidad, cobertura y calidad en la prestación de los servicios de acueducto, alcantarillado y </w:t>
      </w:r>
      <w:proofErr w:type="gramStart"/>
      <w:r w:rsidRPr="009342F9">
        <w:rPr>
          <w:rFonts w:ascii="Arial" w:eastAsia="Times New Roman" w:hAnsi="Arial" w:cs="Arial"/>
          <w:color w:val="000000"/>
          <w:lang w:eastAsia="es-CO"/>
        </w:rPr>
        <w:t>aseo,</w:t>
      </w:r>
      <w:proofErr w:type="gramEnd"/>
      <w:r w:rsidRPr="009342F9">
        <w:rPr>
          <w:rFonts w:ascii="Arial" w:eastAsia="Times New Roman" w:hAnsi="Arial" w:cs="Arial"/>
          <w:color w:val="000000"/>
          <w:lang w:eastAsia="es-CO"/>
        </w:rPr>
        <w:t xml:space="preserve"> se efectuará con base en las metas definidas en los planes sectoriales que deberán elaborar las entidades territoriales. </w:t>
      </w:r>
    </w:p>
    <w:p w14:paraId="1939747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C36168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1.1.4. Elaborar los reportes de la información suministrada por las entidades territoriales que administren o ejecuten recursos del Sistema General de Participaciones para Agua Potable y Saneamiento Básico; así como reportar la información adicional que en virtud de sus labores de monitoreo considere relevante para tal efecto. </w:t>
      </w:r>
    </w:p>
    <w:p w14:paraId="520A36D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CE5D59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1.1.5. Priorizar de acuerdo con la metodología que establezca el Ministerio de Vivienda, Ciudad y Territorio, las entidades territoriales que serán objeto de las actividades de seguimiento. Sin </w:t>
      </w:r>
      <w:r w:rsidRPr="009342F9">
        <w:rPr>
          <w:rFonts w:ascii="Arial" w:eastAsia="Times New Roman" w:hAnsi="Arial" w:cs="Arial"/>
          <w:color w:val="000000"/>
          <w:lang w:eastAsia="es-CO"/>
        </w:rPr>
        <w:lastRenderedPageBreak/>
        <w:t>perjuicio de la mencionada priorización, el Ministerio de Hacienda y Crédito Público podrá realizar las actividades de seguimiento de oficio o a petición de parte. </w:t>
      </w:r>
    </w:p>
    <w:p w14:paraId="4840617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8E7067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1.2. Estará a cargo de la Superintendencia de Servicios Públicos Domiciliarios: </w:t>
      </w:r>
    </w:p>
    <w:p w14:paraId="01F0CC7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DE0D00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1.2.1. Recopilar y consolidar la información que deben reportar las entidades territoriales y las empresas de servicios públicos que ejecuten recursos de la participación para Agua Potable y Saneamiento Básico del Sistema General de Participaciones a través del Sistema Único de Información (SUI). </w:t>
      </w:r>
    </w:p>
    <w:p w14:paraId="0498FAA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BD5ABC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1.2.2. Verificar que la información haya sido remitida en los plazos, condiciones y formatos establecidos por la Superintendencia de Servicios Públicos Domiciliarios para el efecto, y reportar al Ministerio de Vivienda, Ciudad y Territorio cualquier incumplimiento de las entidades territoriales relacionado con la remisión de la información. </w:t>
      </w:r>
    </w:p>
    <w:p w14:paraId="4F2C68A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5B6D94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1.2.3. Previa concertación con el Ministerio de Vivienda, Ciudad y Territorio, elaborar los reportes de la información suministrada al SUI por las entidades territoriales y las empresas de servicios públicos que ejecuten recursos del Sistema General de Participaciones; así como de la información adicional que, en virtud de sus labores de vigilancia y control sea relevante para las labores de monitoreo, seguimiento y control. </w:t>
      </w:r>
    </w:p>
    <w:p w14:paraId="02B97A9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0A1B75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1.2.4. Participar en la aplicación de la medida de plan de desempeño en los términos establecidos en el presente capítulo. </w:t>
      </w:r>
    </w:p>
    <w:p w14:paraId="7704854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37A473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1.3. Estará a cargo del Ministerio de Hacienda y Crédito Público: </w:t>
      </w:r>
    </w:p>
    <w:p w14:paraId="0509FE7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B72EE2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1.3.1. Coordinar con el Ministerio de Vivienda, Ciudad y Territorio las labores de implementación y ejecución de la estrategia de monitoreo. </w:t>
      </w:r>
    </w:p>
    <w:p w14:paraId="3326EB0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712CFB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1.3.2. Consolidar los resultados de la actividad de monitoreo realizada por el Ministerio de Vivienda, Ciudad y Territorio con los resultados de los demás sectores. </w:t>
      </w:r>
    </w:p>
    <w:p w14:paraId="4584482C" w14:textId="26CAF944"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078" w:name="ver_30076146"/>
      <w:bookmarkEnd w:id="2078"/>
    </w:p>
    <w:p w14:paraId="7ED1908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2.3.5.1.6.1.37. Actividades de seguimiento y control integral. Conforme con lo dispuesto por la normatividad única para el sector de Planeación Nacional y el Artículo 20 de la Ley 1450 de 2011, las actividades de seguimiento y control integral al gasto que ejecutan las entidades territoriales con los recursos del Sistema General de Participaciones para Agua Potable y Saneamiento Básico, o a los mecanismos o instrumentos financieros encargados de ejecutar y/o administrar, a cualquier título jurídico estos recursos, estarán a cargo del Ministerio de Hacienda y Crédito Público para lo cual ejercerá además de las medidas previstas en las disposiciones vigentes, las siguientes: </w:t>
      </w:r>
    </w:p>
    <w:p w14:paraId="48A2955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048D04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Realizar las actividades a que se refiere el numeral 3.2 del artículo 3° del Decreto 028 de 2008. </w:t>
      </w:r>
    </w:p>
    <w:p w14:paraId="2469FB5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0DB4AF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Realizar las auditorías de que tratan la normatividad única para el sector de Planeación Nacional, con el propósito de verificar de la adecua utilización de los recursos y del cumplimiento de las metas de continuidad, cobertura y calidad en la prestación de los servicios. </w:t>
      </w:r>
    </w:p>
    <w:p w14:paraId="47D8895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91A196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Adoptar las medidas preventivas y/o correctivas, de que trata la normatividad única para el sector de Planeación Nacional. </w:t>
      </w:r>
    </w:p>
    <w:p w14:paraId="3AC50799" w14:textId="75BB1340"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079" w:name="ver_30076148"/>
      <w:bookmarkEnd w:id="2079"/>
    </w:p>
    <w:p w14:paraId="33C15A3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Artículo 2.3.5.1.6.1.38. Planes de desempeño en el sector de agua potable y saneamiento básico. De conformidad con lo previsto en la normatividad única para el sector de Planeación Nacional, la formulación, aprobación y evaluación del Plan de Desempeño de que trata el presente artículo, se armonizará con los Acuerdos de Mejoramiento y/o programas de gestión suscritos con la Superintendencia de Servicios Públicos Domiciliarios cuando se trate de prestadores directos, de la siguiente forma: </w:t>
      </w:r>
    </w:p>
    <w:p w14:paraId="1BAEBD7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9A7044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La aprobación y evaluación del Plan de Desempeño de las entidades territoriales que se refiera a eventos de riesgo relacionados con el uso y destinación de los recursos del Sistema General de Participaciones del </w:t>
      </w:r>
      <w:proofErr w:type="gramStart"/>
      <w:r w:rsidRPr="009342F9">
        <w:rPr>
          <w:rFonts w:ascii="Arial" w:eastAsia="Times New Roman" w:hAnsi="Arial" w:cs="Arial"/>
          <w:color w:val="000000"/>
          <w:lang w:eastAsia="es-CO"/>
        </w:rPr>
        <w:t>sector,</w:t>
      </w:r>
      <w:proofErr w:type="gramEnd"/>
      <w:r w:rsidRPr="009342F9">
        <w:rPr>
          <w:rFonts w:ascii="Arial" w:eastAsia="Times New Roman" w:hAnsi="Arial" w:cs="Arial"/>
          <w:color w:val="000000"/>
          <w:lang w:eastAsia="es-CO"/>
        </w:rPr>
        <w:t xml:space="preserve"> estará a cargo del Ministerio de Hacienda y Crédito Público. </w:t>
      </w:r>
    </w:p>
    <w:p w14:paraId="375CCCC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E298B3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La aprobación y evaluación del Plan de Desempeño de las entidades territoriales que se refiera a eventos de riesgo relacionados con el uso y destinación de los recursos del Sistema General de Participaciones del </w:t>
      </w:r>
      <w:proofErr w:type="gramStart"/>
      <w:r w:rsidRPr="009342F9">
        <w:rPr>
          <w:rFonts w:ascii="Arial" w:eastAsia="Times New Roman" w:hAnsi="Arial" w:cs="Arial"/>
          <w:color w:val="000000"/>
          <w:lang w:eastAsia="es-CO"/>
        </w:rPr>
        <w:t>sector,</w:t>
      </w:r>
      <w:proofErr w:type="gramEnd"/>
      <w:r w:rsidRPr="009342F9">
        <w:rPr>
          <w:rFonts w:ascii="Arial" w:eastAsia="Times New Roman" w:hAnsi="Arial" w:cs="Arial"/>
          <w:color w:val="000000"/>
          <w:lang w:eastAsia="es-CO"/>
        </w:rPr>
        <w:t xml:space="preserve"> estará a cargo del Ministerio de Hacienda y Crédito Público en coordinación con la Superintendencia de Servicios Públicos Domiciliarios, según los temas de su competencia. </w:t>
      </w:r>
    </w:p>
    <w:p w14:paraId="1ACFC14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F35E50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Los municipios o distritos que al 6 de agosto de 2014 les sea aplicada la medida preventiva, plan de desempeño o aquellos a los que les sea aplicada la medida correctiva de asunción temporal de competencia por parte del departamento o la Nación, establecidas en la normatividad única para el sector de Planeación Nacional, no serán objeto del proceso de certificación reglamentado en el presente capítulo, hasta que se supere el evento de riesgo. </w:t>
      </w:r>
    </w:p>
    <w:p w14:paraId="3C5A6123" w14:textId="7B16F39B" w:rsidR="0015442F"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080" w:name="ver_30076150"/>
      <w:bookmarkEnd w:id="2080"/>
    </w:p>
    <w:p w14:paraId="3BFB6542" w14:textId="2AE20805" w:rsidR="00FC79C1" w:rsidRPr="009342F9" w:rsidRDefault="00FC79C1" w:rsidP="0015442F">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SUBSECCIÓN 2</w:t>
      </w:r>
    </w:p>
    <w:p w14:paraId="36687483" w14:textId="77777777" w:rsidR="00FC79C1" w:rsidRPr="009342F9" w:rsidRDefault="00FC79C1" w:rsidP="0015442F">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PRESENTACIÓN DE METAS Y RECOPILACIÓN DE INFORMACIÓN SOBRE EL GASTO DE LOS RECURSOS DEL SISTEMA GENERAL DE PARTICIPACIONES EN EL SECTOR DE AGUA POTABLE Y</w:t>
      </w:r>
    </w:p>
    <w:p w14:paraId="604A8FC4" w14:textId="77777777" w:rsidR="00FC79C1" w:rsidRPr="009342F9" w:rsidRDefault="00FC79C1" w:rsidP="0015442F">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SANEAMIENTO BÁSICO</w:t>
      </w:r>
    </w:p>
    <w:p w14:paraId="277A4BAA"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2081" w:name="ver_30076152"/>
      <w:bookmarkEnd w:id="2081"/>
    </w:p>
    <w:p w14:paraId="19B57D1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2.3.5.1.6.2.39. Presentación de metas. La administración municipal y/o departamental presentará ante el Consejo Municipal o Departamental de Política Social y el Consejo Territorial de Planeación, las metas de continuidad, cobertura y calidad en la prestación de los servicios definidas en los respectivos planes sectoriales, a alcanzar anualmente y durante el respectivo período de gobierno, conforme con la política que defina el Ministerio de Vivienda, Ciudad y Territorio. </w:t>
      </w:r>
    </w:p>
    <w:p w14:paraId="7ECDB664" w14:textId="3ACD4170"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082" w:name="ver_30076154"/>
      <w:bookmarkEnd w:id="2082"/>
    </w:p>
    <w:p w14:paraId="34DB19B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2.3.5.1.6.2.40. Recopilación de información. Los prestadores de los servicios públicos domiciliarios de acueducto, alcantarillado y aseo, los Gestores de los Planes Departamentales de Agua y las empresas de servicios públicos que administren y/o ejecuten recursos del Sistema General de Participaciones para Agua Potable y Saneamiento Básico, deberán reportar la información requerida para el ejercicio de las actividades de monitoreo a través del Sistema Único de Información (SUI) y aquella de carácter presupuestal de las entidades territoriales que administren y/o ejecuten los recursos para del Sistema General de Participaciones para Agua Potable y Saneamiento Básico a través del Formulario Único Territorial (FUT). </w:t>
      </w:r>
    </w:p>
    <w:p w14:paraId="5476068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EE43CD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Sin perjuicio de lo anterior, el Ministerio de Vivienda, Ciudad y Territorio podrá solicitar en cualquier momento a los responsables del reporte de información señalados en el inciso anterior, la información que estime necesaria para adelantar las actividades monitoreo. </w:t>
      </w:r>
    </w:p>
    <w:p w14:paraId="7AF86EAB" w14:textId="598A4524" w:rsidR="00FC79C1" w:rsidRPr="009342F9" w:rsidRDefault="00FC79C1" w:rsidP="00672CC5">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B95DD3C" w14:textId="77777777" w:rsidR="0015442F" w:rsidRPr="009342F9" w:rsidRDefault="0015442F" w:rsidP="00FC79C1">
      <w:pPr>
        <w:spacing w:after="0" w:line="240" w:lineRule="auto"/>
        <w:jc w:val="both"/>
        <w:rPr>
          <w:rFonts w:ascii="Arial" w:eastAsia="Times New Roman" w:hAnsi="Arial" w:cs="Arial"/>
          <w:color w:val="000000"/>
          <w:lang w:eastAsia="es-CO"/>
        </w:rPr>
      </w:pPr>
    </w:p>
    <w:p w14:paraId="27BA84F1" w14:textId="77777777" w:rsidR="00FC79C1" w:rsidRPr="009342F9" w:rsidRDefault="00FC79C1" w:rsidP="0015442F">
      <w:pPr>
        <w:spacing w:after="0" w:line="240" w:lineRule="auto"/>
        <w:jc w:val="center"/>
        <w:rPr>
          <w:rFonts w:ascii="Arial" w:eastAsia="Times New Roman" w:hAnsi="Arial" w:cs="Arial"/>
          <w:b/>
          <w:bCs/>
          <w:color w:val="000000"/>
          <w:lang w:eastAsia="es-CO"/>
        </w:rPr>
      </w:pPr>
      <w:bookmarkStart w:id="2083" w:name="ver_30076156"/>
      <w:bookmarkEnd w:id="2083"/>
      <w:r w:rsidRPr="009342F9">
        <w:rPr>
          <w:rFonts w:ascii="Arial" w:eastAsia="Times New Roman" w:hAnsi="Arial" w:cs="Arial"/>
          <w:b/>
          <w:bCs/>
          <w:color w:val="000000"/>
          <w:lang w:eastAsia="es-CO"/>
        </w:rPr>
        <w:t>SUBSECCIÓN 3</w:t>
      </w:r>
    </w:p>
    <w:p w14:paraId="398ADDE7" w14:textId="77777777" w:rsidR="00FC79C1" w:rsidRPr="009342F9" w:rsidRDefault="00FC79C1" w:rsidP="0015442F">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lastRenderedPageBreak/>
        <w:t>CRITERIOS, INDICADORES Y CALIFICACIÓN PARA EL ANÁLISIS DE LOS EVENTOS DE RIESGO</w:t>
      </w:r>
    </w:p>
    <w:p w14:paraId="1F6FC448"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2084" w:name="ver_30076158"/>
      <w:bookmarkEnd w:id="2084"/>
    </w:p>
    <w:p w14:paraId="1DC9BE1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2.3.5.1.6.3.41. Criterios, indicadores y calificación para el análisis de los eventos de riesgo. Para la adopción de acciones preventivas y/o la aplicación de medidas preventivas y/o correctivas, las actividades de seguimiento y control al gasto que se desarrollen sobre los recursos del Sistema General de Participaciones para el sector de Agua Potable y Saneamiento </w:t>
      </w:r>
      <w:proofErr w:type="gramStart"/>
      <w:r w:rsidRPr="009342F9">
        <w:rPr>
          <w:rFonts w:ascii="Arial" w:eastAsia="Times New Roman" w:hAnsi="Arial" w:cs="Arial"/>
          <w:color w:val="000000"/>
          <w:lang w:eastAsia="es-CO"/>
        </w:rPr>
        <w:t>Básico,</w:t>
      </w:r>
      <w:proofErr w:type="gramEnd"/>
      <w:r w:rsidRPr="009342F9">
        <w:rPr>
          <w:rFonts w:ascii="Arial" w:eastAsia="Times New Roman" w:hAnsi="Arial" w:cs="Arial"/>
          <w:color w:val="000000"/>
          <w:lang w:eastAsia="es-CO"/>
        </w:rPr>
        <w:t xml:space="preserve"> se desarrollarán teniendo en cuenta los siguientes criterios, indicadores y calificación: </w:t>
      </w:r>
    </w:p>
    <w:p w14:paraId="5F8D900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4DC48EB" w14:textId="41570CD6" w:rsidR="00FC79C1" w:rsidRPr="009342F9" w:rsidRDefault="48ABE02E" w:rsidP="00FC79C1">
      <w:pPr>
        <w:spacing w:after="0" w:line="240" w:lineRule="auto"/>
        <w:jc w:val="both"/>
        <w:rPr>
          <w:rFonts w:ascii="Arial" w:eastAsia="Times New Roman" w:hAnsi="Arial" w:cs="Arial"/>
          <w:color w:val="000000"/>
          <w:lang w:eastAsia="es-CO"/>
        </w:rPr>
      </w:pPr>
      <w:r>
        <w:rPr>
          <w:noProof/>
        </w:rPr>
        <w:drawing>
          <wp:inline distT="0" distB="0" distL="0" distR="0" wp14:anchorId="16E5F13D" wp14:editId="7616656F">
            <wp:extent cx="5546723" cy="497713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44">
                      <a:extLst>
                        <a:ext uri="{28A0092B-C50C-407E-A947-70E740481C1C}">
                          <a14:useLocalDpi xmlns:a14="http://schemas.microsoft.com/office/drawing/2010/main" val="0"/>
                        </a:ext>
                      </a:extLst>
                    </a:blip>
                    <a:stretch>
                      <a:fillRect/>
                    </a:stretch>
                  </pic:blipFill>
                  <pic:spPr>
                    <a:xfrm>
                      <a:off x="0" y="0"/>
                      <a:ext cx="5546723" cy="4977130"/>
                    </a:xfrm>
                    <a:prstGeom prst="rect">
                      <a:avLst/>
                    </a:prstGeom>
                  </pic:spPr>
                </pic:pic>
              </a:graphicData>
            </a:graphic>
          </wp:inline>
        </w:drawing>
      </w:r>
      <w:r w:rsidR="00FC79C1" w:rsidRPr="3DD719FF">
        <w:rPr>
          <w:rFonts w:ascii="Arial" w:eastAsia="Times New Roman" w:hAnsi="Arial" w:cs="Arial"/>
          <w:color w:val="000000" w:themeColor="text1"/>
          <w:lang w:eastAsia="es-CO"/>
        </w:rPr>
        <w:t> </w:t>
      </w:r>
    </w:p>
    <w:p w14:paraId="21E6456D" w14:textId="0AF10F62" w:rsidR="00FC79C1" w:rsidRPr="009342F9" w:rsidRDefault="48ABE02E" w:rsidP="00FC79C1">
      <w:pPr>
        <w:spacing w:after="0" w:line="240" w:lineRule="auto"/>
        <w:jc w:val="both"/>
        <w:rPr>
          <w:rFonts w:ascii="Arial" w:eastAsia="Times New Roman" w:hAnsi="Arial" w:cs="Arial"/>
          <w:color w:val="000000"/>
          <w:lang w:eastAsia="es-CO"/>
        </w:rPr>
      </w:pPr>
      <w:r>
        <w:rPr>
          <w:noProof/>
        </w:rPr>
        <w:lastRenderedPageBreak/>
        <w:drawing>
          <wp:inline distT="0" distB="0" distL="0" distR="0" wp14:anchorId="0E648203" wp14:editId="2E6F229A">
            <wp:extent cx="5581013" cy="3631565"/>
            <wp:effectExtent l="0" t="0" r="635"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45">
                      <a:extLst>
                        <a:ext uri="{28A0092B-C50C-407E-A947-70E740481C1C}">
                          <a14:useLocalDpi xmlns:a14="http://schemas.microsoft.com/office/drawing/2010/main" val="0"/>
                        </a:ext>
                      </a:extLst>
                    </a:blip>
                    <a:stretch>
                      <a:fillRect/>
                    </a:stretch>
                  </pic:blipFill>
                  <pic:spPr>
                    <a:xfrm>
                      <a:off x="0" y="0"/>
                      <a:ext cx="5581013" cy="3631565"/>
                    </a:xfrm>
                    <a:prstGeom prst="rect">
                      <a:avLst/>
                    </a:prstGeom>
                  </pic:spPr>
                </pic:pic>
              </a:graphicData>
            </a:graphic>
          </wp:inline>
        </w:drawing>
      </w:r>
      <w:r w:rsidR="00FC79C1" w:rsidRPr="3DD719FF">
        <w:rPr>
          <w:rFonts w:ascii="Arial" w:eastAsia="Times New Roman" w:hAnsi="Arial" w:cs="Arial"/>
          <w:color w:val="000000" w:themeColor="text1"/>
          <w:lang w:eastAsia="es-CO"/>
        </w:rPr>
        <w:t> </w:t>
      </w:r>
    </w:p>
    <w:p w14:paraId="1A022936" w14:textId="69D9B5FE" w:rsidR="00FC79C1" w:rsidRPr="009342F9" w:rsidRDefault="48ABE02E" w:rsidP="00FC79C1">
      <w:pPr>
        <w:spacing w:after="0" w:line="240" w:lineRule="auto"/>
        <w:jc w:val="both"/>
        <w:rPr>
          <w:rFonts w:ascii="Arial" w:eastAsia="Times New Roman" w:hAnsi="Arial" w:cs="Arial"/>
          <w:color w:val="000000"/>
          <w:lang w:eastAsia="es-CO"/>
        </w:rPr>
      </w:pPr>
      <w:r>
        <w:rPr>
          <w:noProof/>
        </w:rPr>
        <w:drawing>
          <wp:inline distT="0" distB="0" distL="0" distR="0" wp14:anchorId="40DC6031" wp14:editId="43E33E24">
            <wp:extent cx="5581013" cy="4209415"/>
            <wp:effectExtent l="0" t="0" r="635"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46">
                      <a:extLst>
                        <a:ext uri="{28A0092B-C50C-407E-A947-70E740481C1C}">
                          <a14:useLocalDpi xmlns:a14="http://schemas.microsoft.com/office/drawing/2010/main" val="0"/>
                        </a:ext>
                      </a:extLst>
                    </a:blip>
                    <a:stretch>
                      <a:fillRect/>
                    </a:stretch>
                  </pic:blipFill>
                  <pic:spPr>
                    <a:xfrm>
                      <a:off x="0" y="0"/>
                      <a:ext cx="5581013" cy="4209415"/>
                    </a:xfrm>
                    <a:prstGeom prst="rect">
                      <a:avLst/>
                    </a:prstGeom>
                  </pic:spPr>
                </pic:pic>
              </a:graphicData>
            </a:graphic>
          </wp:inline>
        </w:drawing>
      </w:r>
      <w:r w:rsidR="00FC79C1" w:rsidRPr="3DD719FF">
        <w:rPr>
          <w:rFonts w:ascii="Arial" w:eastAsia="Times New Roman" w:hAnsi="Arial" w:cs="Arial"/>
          <w:color w:val="000000" w:themeColor="text1"/>
          <w:lang w:eastAsia="es-CO"/>
        </w:rPr>
        <w:t> </w:t>
      </w:r>
    </w:p>
    <w:p w14:paraId="5FF3C273" w14:textId="3D9BBDFA" w:rsidR="00FC79C1" w:rsidRPr="009342F9" w:rsidRDefault="48ABE02E" w:rsidP="00FC79C1">
      <w:pPr>
        <w:spacing w:after="0" w:line="240" w:lineRule="auto"/>
        <w:jc w:val="both"/>
        <w:rPr>
          <w:rFonts w:ascii="Arial" w:eastAsia="Times New Roman" w:hAnsi="Arial" w:cs="Arial"/>
          <w:color w:val="000000"/>
          <w:lang w:eastAsia="es-CO"/>
        </w:rPr>
      </w:pPr>
      <w:r>
        <w:rPr>
          <w:noProof/>
        </w:rPr>
        <w:lastRenderedPageBreak/>
        <w:drawing>
          <wp:inline distT="0" distB="0" distL="0" distR="0" wp14:anchorId="61630CFE" wp14:editId="20E1F919">
            <wp:extent cx="5598794" cy="6383655"/>
            <wp:effectExtent l="0" t="0" r="190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47">
                      <a:extLst>
                        <a:ext uri="{28A0092B-C50C-407E-A947-70E740481C1C}">
                          <a14:useLocalDpi xmlns:a14="http://schemas.microsoft.com/office/drawing/2010/main" val="0"/>
                        </a:ext>
                      </a:extLst>
                    </a:blip>
                    <a:stretch>
                      <a:fillRect/>
                    </a:stretch>
                  </pic:blipFill>
                  <pic:spPr>
                    <a:xfrm>
                      <a:off x="0" y="0"/>
                      <a:ext cx="5598794" cy="6383655"/>
                    </a:xfrm>
                    <a:prstGeom prst="rect">
                      <a:avLst/>
                    </a:prstGeom>
                  </pic:spPr>
                </pic:pic>
              </a:graphicData>
            </a:graphic>
          </wp:inline>
        </w:drawing>
      </w:r>
      <w:r w:rsidR="00FC79C1" w:rsidRPr="3DD719FF">
        <w:rPr>
          <w:rFonts w:ascii="Arial" w:eastAsia="Times New Roman" w:hAnsi="Arial" w:cs="Arial"/>
          <w:color w:val="000000" w:themeColor="text1"/>
          <w:lang w:eastAsia="es-CO"/>
        </w:rPr>
        <w:t> </w:t>
      </w:r>
    </w:p>
    <w:p w14:paraId="25779AB5" w14:textId="1146FDC6" w:rsidR="00FC79C1" w:rsidRPr="009342F9" w:rsidRDefault="48ABE02E" w:rsidP="00FC79C1">
      <w:pPr>
        <w:spacing w:after="0" w:line="240" w:lineRule="auto"/>
        <w:jc w:val="both"/>
        <w:rPr>
          <w:rFonts w:ascii="Arial" w:eastAsia="Times New Roman" w:hAnsi="Arial" w:cs="Arial"/>
          <w:color w:val="000000"/>
          <w:lang w:eastAsia="es-CO"/>
        </w:rPr>
      </w:pPr>
      <w:r>
        <w:rPr>
          <w:noProof/>
        </w:rPr>
        <w:lastRenderedPageBreak/>
        <w:drawing>
          <wp:inline distT="0" distB="0" distL="0" distR="0" wp14:anchorId="2FF65A45" wp14:editId="0644AAE8">
            <wp:extent cx="5598794" cy="6530338"/>
            <wp:effectExtent l="0" t="0" r="1905"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48">
                      <a:extLst>
                        <a:ext uri="{28A0092B-C50C-407E-A947-70E740481C1C}">
                          <a14:useLocalDpi xmlns:a14="http://schemas.microsoft.com/office/drawing/2010/main" val="0"/>
                        </a:ext>
                      </a:extLst>
                    </a:blip>
                    <a:stretch>
                      <a:fillRect/>
                    </a:stretch>
                  </pic:blipFill>
                  <pic:spPr>
                    <a:xfrm>
                      <a:off x="0" y="0"/>
                      <a:ext cx="5598794" cy="6530338"/>
                    </a:xfrm>
                    <a:prstGeom prst="rect">
                      <a:avLst/>
                    </a:prstGeom>
                  </pic:spPr>
                </pic:pic>
              </a:graphicData>
            </a:graphic>
          </wp:inline>
        </w:drawing>
      </w:r>
      <w:r w:rsidR="00FC79C1" w:rsidRPr="3DD719FF">
        <w:rPr>
          <w:rFonts w:ascii="Arial" w:eastAsia="Times New Roman" w:hAnsi="Arial" w:cs="Arial"/>
          <w:color w:val="000000" w:themeColor="text1"/>
          <w:lang w:eastAsia="es-CO"/>
        </w:rPr>
        <w:t> </w:t>
      </w:r>
    </w:p>
    <w:p w14:paraId="290ED7C6" w14:textId="56033914"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085" w:name="ver_30076166"/>
      <w:bookmarkEnd w:id="2085"/>
    </w:p>
    <w:p w14:paraId="3978832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2.3.5.1.6.3.42. Asistencia técnica. Previo a la aplicación de las medidas de que trata la presente sección y para mitigar los eventos de riesgo encontrados en las entidades territoriales, el Ministerio de Vivienda, Ciudad y Territorio, dentro del ámbito de sus competencias, brindará asistencia técnica a los ejecutores del SGP cuando lo considere pertinente. </w:t>
      </w:r>
    </w:p>
    <w:p w14:paraId="2D044E09" w14:textId="07C169CD" w:rsidR="00FC79C1" w:rsidRPr="009342F9" w:rsidRDefault="00FC79C1" w:rsidP="00672CC5">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CB88294" w14:textId="77777777" w:rsidR="0015442F" w:rsidRPr="009342F9" w:rsidRDefault="0015442F" w:rsidP="00FC79C1">
      <w:pPr>
        <w:spacing w:after="0" w:line="240" w:lineRule="auto"/>
        <w:jc w:val="both"/>
        <w:rPr>
          <w:rFonts w:ascii="Arial" w:eastAsia="Times New Roman" w:hAnsi="Arial" w:cs="Arial"/>
          <w:color w:val="000000"/>
          <w:lang w:eastAsia="es-CO"/>
        </w:rPr>
      </w:pPr>
    </w:p>
    <w:p w14:paraId="193283CB" w14:textId="77777777" w:rsidR="00FC79C1" w:rsidRPr="009342F9" w:rsidRDefault="00FC79C1" w:rsidP="0015442F">
      <w:pPr>
        <w:spacing w:after="0" w:line="240" w:lineRule="auto"/>
        <w:jc w:val="center"/>
        <w:rPr>
          <w:rFonts w:ascii="Arial" w:eastAsia="Times New Roman" w:hAnsi="Arial" w:cs="Arial"/>
          <w:b/>
          <w:bCs/>
          <w:color w:val="000000"/>
          <w:lang w:eastAsia="es-CO"/>
        </w:rPr>
      </w:pPr>
      <w:bookmarkStart w:id="2086" w:name="ver_30076167"/>
      <w:bookmarkEnd w:id="2086"/>
      <w:r w:rsidRPr="009342F9">
        <w:rPr>
          <w:rFonts w:ascii="Arial" w:eastAsia="Times New Roman" w:hAnsi="Arial" w:cs="Arial"/>
          <w:b/>
          <w:bCs/>
          <w:color w:val="000000"/>
          <w:lang w:eastAsia="es-CO"/>
        </w:rPr>
        <w:t>SUBSECCIÓN 4</w:t>
      </w:r>
    </w:p>
    <w:p w14:paraId="41F6B207" w14:textId="77777777" w:rsidR="00FC79C1" w:rsidRPr="009342F9" w:rsidRDefault="00FC79C1" w:rsidP="0015442F">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DISPOSICIONES COMUNES</w:t>
      </w:r>
    </w:p>
    <w:p w14:paraId="3018819F"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2087" w:name="ver_30076168"/>
      <w:bookmarkEnd w:id="2087"/>
    </w:p>
    <w:p w14:paraId="37318AC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Artículo 2.3.5.1.6.4.43. Otras disposiciones aplicables. Para el ejercicio de las actividades de monitoreo, seguimiento y control de que trata la normatividad única para el sector de Planeación Nacional sobre los recursos del Sistema General de Participaciones, correspondientes al sector de Agua Potable y Saneamiento Básico, se aplicará en lo pertinente, lo dispuesto en la normatividad única para el sector de Planeación Nacional y de Hacienda y Crédito Público y en las normas que los adicionen, modifiquen o sustituyan. </w:t>
      </w:r>
    </w:p>
    <w:p w14:paraId="19F3E105" w14:textId="3754BF76"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088" w:name="ver_30076169"/>
      <w:bookmarkEnd w:id="2088"/>
    </w:p>
    <w:p w14:paraId="3C0C322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2.3.5.1.6.4.44. Coordinación con otras autoridades. Para el ejercicio de las actividades de monitoreo a su cargo, el Ministerio de Vivienda, Ciudad y Territorio se apoyará en la información suministrada por la Superintendencia de Servicios Públicos Domiciliarios, la Comisión de Regulación de Agua Potable y Saneamiento Básico, el Departamento Nacional de Planeación, el Departamento Nacional de Estadística, el Ministerio de Hacienda y Crédito Público, el Ministerio de Salud, el Instituto Geográfico Agustín Codazzi, la Contraloría General de la República, la Procuraduría General de la Nación, la Contaduría General de la Nación, así como los reportes efectuados por los Vocales de Control de Comités de Desarrollo y Control Social de que trata la Ley 142 de 1994, los Comités Permanentes de Estratificación de que trata el artículo 6° de la Ley 732 de 2002, o la ciudadanía. </w:t>
      </w:r>
    </w:p>
    <w:p w14:paraId="69C76D68" w14:textId="34B3E9CB"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089" w:name="ver_30076171"/>
      <w:bookmarkEnd w:id="2089"/>
    </w:p>
    <w:p w14:paraId="22BD2B5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2.3.5.1.6.4.45. Actividades de los departamentos. En desarrollo de sus competencias los departamentos brindarán apoyo al Ministerio de Vivienda, Ciudad y Territorio y al Ministerio de Hacienda y Crédito Público, para la implementación de la estrategia de monitoreo, seguimiento y control, respecto de los municipios y distritos ubicados en su jurisdicción, mediante la recopilación, procesamiento, análisis, consolidación y remisión de la información relacionada con la ejecución de los recursos del Sistema General de Participaciones para agua potable y saneamiento. Para el ejercicio de esta actividad el departamento contará con el soporte del Gestor del Plan Departamental de Agua. </w:t>
      </w:r>
    </w:p>
    <w:p w14:paraId="4E33718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698381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El Ministerio de Vivienda, Ciudad y Territorio podrá determinar las actividades en las cuales los departamentos brindarán apoyo en el desarrollo de las medidas preventivas y correctivas. </w:t>
      </w:r>
    </w:p>
    <w:p w14:paraId="04B6B5E4" w14:textId="36A72F18"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090" w:name="ver_30076172"/>
      <w:bookmarkEnd w:id="2090"/>
    </w:p>
    <w:p w14:paraId="706C974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2.3.5.1.6.4.46. Verificación. El Ministerio de Vivienda, Ciudad y Territorio, podrá realizar visitas de campo con el fin de confrontar la información suministrada sobre la ejecución de los recursos del Sistema General de Participaciones y brindar asistencia técnica para mejorar la consistencia y calidad de la información reportada. </w:t>
      </w:r>
    </w:p>
    <w:p w14:paraId="7928A24C" w14:textId="7FA5DC91"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091" w:name="ver_30076173"/>
      <w:bookmarkEnd w:id="2091"/>
    </w:p>
    <w:p w14:paraId="26E724C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2.3.5.1.6.4.47. Ejercicio de competencias. El ejercicio de las actividades de monitoreo, seguimiento y control por parte del Ministerio de Vivienda, Ciudad y Territorio y del Ministerio de Hacienda y Crédito Público, se ejercerá sin perjuicio de las competencias asignadas a la Superintendencia de Servicios Públicos Domiciliarios en relación con las empresas de servicios públicos y demás prestadores, así como en materia del proceso certificación a que se refiere la Ley 1176 de 2007. Para este efecto los responsables de las actividades de monitoreo, seguimiento y </w:t>
      </w:r>
      <w:proofErr w:type="gramStart"/>
      <w:r w:rsidRPr="009342F9">
        <w:rPr>
          <w:rFonts w:ascii="Arial" w:eastAsia="Times New Roman" w:hAnsi="Arial" w:cs="Arial"/>
          <w:color w:val="000000"/>
          <w:lang w:eastAsia="es-CO"/>
        </w:rPr>
        <w:t>control</w:t>
      </w:r>
      <w:proofErr w:type="gramEnd"/>
      <w:r w:rsidRPr="009342F9">
        <w:rPr>
          <w:rFonts w:ascii="Arial" w:eastAsia="Times New Roman" w:hAnsi="Arial" w:cs="Arial"/>
          <w:color w:val="000000"/>
          <w:lang w:eastAsia="es-CO"/>
        </w:rPr>
        <w:t xml:space="preserve"> así como la Superintendencia de Servicios Públicos Domiciliarios coordinarán dentro del marco de sus competencias la ejecución de las actividades a su cargo. </w:t>
      </w:r>
    </w:p>
    <w:p w14:paraId="0C7B118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85B5D9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Las actividades de monitoreo, seguimiento y control se ejercerán sobre las entidades territoriales, así como sobre los mecanismos o instrumentos financieros encargados de ejecutar y/o administrar a cualquier título jurídico los recursos del Sistema General de Participaciones destinados al sector de Agua Potable y Saneamiento Básico. </w:t>
      </w:r>
    </w:p>
    <w:p w14:paraId="176A7B30" w14:textId="33FC795E"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092" w:name="ver_30076174"/>
      <w:bookmarkEnd w:id="2092"/>
    </w:p>
    <w:p w14:paraId="6B04A0F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2.3.5.1.6.4.48. Periodicidad. La periodicidad en el ejercicio de las actividades de monitoreo en el sector de Agua Potable y Saneamiento Básico, así como su reporte al Ministerio </w:t>
      </w:r>
      <w:r w:rsidRPr="009342F9">
        <w:rPr>
          <w:rFonts w:ascii="Arial" w:eastAsia="Times New Roman" w:hAnsi="Arial" w:cs="Arial"/>
          <w:color w:val="000000"/>
          <w:lang w:eastAsia="es-CO"/>
        </w:rPr>
        <w:lastRenderedPageBreak/>
        <w:t>de Hacienda y Crédito Público, se realizarán conforme lo dispone la normatividad única para el sector de Planeación Nacional o las normas que lo modifiquen, complementen o sustituyan. Sin perjuicio de lo anterior, cuando el Ministerio de Vivienda, Ciudad y Territorio lo considere necesario para adelantar labores de seguimiento o control, remitirá al Ministerio de Hacienda y Crédito Público el reporte de las actividades de monitoreo, el cual deberá comprender como mínimo, el resultado de las mismas, respecto de aquellas entidades territoriales en las que se evidencien acciones u omisiones que puedan poner en riesgo la adecuada utilización de los recursos del Sistema General de Participaciones, de acuerdo con los criterios de evaluación definidos por el Ministerio de Vivienda, Ciudad y Territorio y atendiendo a lo dispuesto en el presente capítulo. </w:t>
      </w:r>
    </w:p>
    <w:p w14:paraId="208F7274" w14:textId="2BA76182"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093" w:name="ver_30076175"/>
      <w:bookmarkEnd w:id="2093"/>
    </w:p>
    <w:p w14:paraId="3A2698F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2.3.5.1.6.4.49. Término para consulta. La adopción de medidas preventivas o correctivas por parte del Ministerio de Hacienda y Crédito Público, se realizará previa consulta al Ministerio de Vivienda, Ciudad y Territorio. Una vez efectuada la consulta previa, el Ministerio de Vivienda, Ciudad y Territorio dispondrá de un término máximo de diez (10) días hábiles contados a partir del día siguiente a su radicación, para pronunciarse sobre la medida a adoptar. Si transcurrido este término el Ministerio de Vivienda, Ciudad y Territorio no se ha pronunciado, el Ministerio de Hacienda y Crédito Público adoptará la medida preventiva o correctiva a que haya lugar. </w:t>
      </w:r>
    </w:p>
    <w:p w14:paraId="75C6365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02034F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ningún caso, el contenido de la respuesta dada por el Ministerio de Vivienda, Ciudad y Territorio resulta obligatorio para el Ministerio de Hacienda y Crédito Público, quien en caso de no estar de acuerdo deberá expresar las razones por la cuales acepta o rechaza la respuesta dada por el Ministerio de Vivienda, Ciudad y Territorio. </w:t>
      </w:r>
    </w:p>
    <w:p w14:paraId="5966E2B2" w14:textId="558B3783"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094" w:name="ver_30076176"/>
      <w:bookmarkEnd w:id="2094"/>
    </w:p>
    <w:p w14:paraId="5B13A2D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2.3.5.1.6.4.50. Continuidad de medidas. Las medidas de control previstas en el Decreto 028 de 2008, adoptadas por el Ministerio de Hacienda y Crédito Público con anterioridad a la entrada en vigencia del Decreto 1484 de 2014, así como los Acuerdos de Mejoramiento o las medidas de inspección, control y/o vigilancia adoptadas por la Superintendencia de Servicios Públicos Domiciliarios, continuarán aplicándose hasta tanto se verifique el cumplimiento de los compromisos adquiridos por las entidades territoriales para superar los eventos de riesgo, de acuerdo con los informes del Ministerio de Vivienda, Ciudad y Territorio, Ministerio de Hacienda y Crédito Público, así como el reporte que para el efecto expida la Superintendencia de Servicios Públicos Domiciliarios. </w:t>
      </w:r>
    </w:p>
    <w:p w14:paraId="2F84DC68" w14:textId="3CFEB849"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095" w:name="ver_30076177"/>
      <w:bookmarkEnd w:id="2095"/>
    </w:p>
    <w:p w14:paraId="1708538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2.3.5.1.6.4.51. Medidas complementarias. En aquellos aspectos no previstos en el presente capítulo se aplicarán, respecto del ejercicio de las actividades de monitoreo, seguimiento y control en el sector de Agua Potable y Saneamiento Básico, en lo pertinente, las disposiciones contenidas en la normatividad única para el sector de Planeación Nacional y de Hacienda y Crédito Público, o las demás normas que los modifiquen, complementen o sustituyan. </w:t>
      </w:r>
    </w:p>
    <w:p w14:paraId="3068BED2" w14:textId="69A48323" w:rsidR="0015442F"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096" w:name="ver_30076178"/>
      <w:bookmarkEnd w:id="2096"/>
    </w:p>
    <w:p w14:paraId="64C667CE" w14:textId="2D765A08" w:rsidR="00FC79C1" w:rsidRPr="009342F9" w:rsidRDefault="00FC79C1" w:rsidP="0015442F">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SECCIÓN 7</w:t>
      </w:r>
    </w:p>
    <w:p w14:paraId="2A8938A8" w14:textId="77777777" w:rsidR="00FC79C1" w:rsidRDefault="00FC79C1" w:rsidP="0015442F">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DISPOSICIONES FINALES</w:t>
      </w:r>
    </w:p>
    <w:p w14:paraId="1C6AA1BA" w14:textId="77777777" w:rsidR="00DF7F30" w:rsidRPr="009342F9" w:rsidRDefault="00DF7F30" w:rsidP="0015442F">
      <w:pPr>
        <w:spacing w:after="0" w:line="240" w:lineRule="auto"/>
        <w:jc w:val="center"/>
        <w:rPr>
          <w:rFonts w:ascii="Arial" w:eastAsia="Times New Roman" w:hAnsi="Arial" w:cs="Arial"/>
          <w:b/>
          <w:bCs/>
          <w:color w:val="000000"/>
          <w:lang w:eastAsia="es-CO"/>
        </w:rPr>
      </w:pPr>
    </w:p>
    <w:p w14:paraId="6D4F514E" w14:textId="77777777" w:rsidR="00FC79C1" w:rsidRPr="009342F9" w:rsidRDefault="00FC79C1" w:rsidP="0015442F">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SUBSECCIÓN 1</w:t>
      </w:r>
    </w:p>
    <w:p w14:paraId="16EF1A18" w14:textId="77777777" w:rsidR="00FC79C1" w:rsidRPr="009342F9" w:rsidRDefault="00FC79C1" w:rsidP="0015442F">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RÉGIMEN DE TRANSICIÓN DE QUE TRATA EL PARÁGRAFO DEL ARTÍCULO 9° DE LA LEY 1176 DE 2007</w:t>
      </w:r>
    </w:p>
    <w:p w14:paraId="6DC8CED3" w14:textId="77777777" w:rsidR="00FC79C1" w:rsidRPr="009342F9" w:rsidRDefault="00FC79C1" w:rsidP="0015442F">
      <w:pPr>
        <w:spacing w:after="0" w:line="240" w:lineRule="auto"/>
        <w:jc w:val="center"/>
        <w:rPr>
          <w:rFonts w:ascii="Arial" w:eastAsia="Times New Roman" w:hAnsi="Arial" w:cs="Arial"/>
          <w:b/>
          <w:bCs/>
          <w:color w:val="000000"/>
          <w:lang w:eastAsia="es-CO"/>
        </w:rPr>
      </w:pPr>
      <w:bookmarkStart w:id="2097" w:name="ver_30076179"/>
      <w:bookmarkEnd w:id="2097"/>
    </w:p>
    <w:p w14:paraId="4BB3792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2.3.5.1.7.1.52. Ámbito de aplicación de la transición de que trata el parágrafo del artículo 9° de la Ley 1176 de 2007. La presente subsección aplica a los municipios o distritos que en cumplimiento de lo establecido en el parágrafo del artículo 9° de la Ley 1176 de 2007, al 6 de marzo de 2015, informaron al Ministerio de Ambiente, Vivienda y Desarrollo Territorial, hoy </w:t>
      </w:r>
      <w:r w:rsidRPr="009342F9">
        <w:rPr>
          <w:rFonts w:ascii="Arial" w:eastAsia="Times New Roman" w:hAnsi="Arial" w:cs="Arial"/>
          <w:color w:val="000000"/>
          <w:lang w:eastAsia="es-CO"/>
        </w:rPr>
        <w:lastRenderedPageBreak/>
        <w:t>Ministerio de Vivienda, Ciudad y Territorio, la existencia de montos comprometidos antes de la expedición de la Ley 1176 de 2007 con cargo a los recursos de la participación para Agua Potable y Saneamiento Básico del Sistema General de Participaciones, destinados a pagar créditos o compromisos derivados de la estructuración financiera de un contrato con un tercero, que tengan como propósito garantizar la prestación de estos servicios. </w:t>
      </w:r>
    </w:p>
    <w:p w14:paraId="5478776F" w14:textId="2FBB2F19"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098" w:name="ver_30076180"/>
      <w:bookmarkEnd w:id="2098"/>
    </w:p>
    <w:p w14:paraId="2C8AC68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2.3.5.1.7.1.53. Garantía para pago de compromisos. En la distribución de los recursos para la participación de Agua Potable y Saneamiento Básico del Sistema General de Participaciones correspondiente a municipios y distritos, se garantizará a las entidades territoriales, el monto correspondiente a los compromisos informados de que trata el artículo anterior. </w:t>
      </w:r>
    </w:p>
    <w:p w14:paraId="62EEDD6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0B12A7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todo caso, a los municipios clasificados en categorías 2, 3, 4, 5 y 6, de acuerdo con lo establecido en el parágrafo 2° del artículo 11 de la Ley 1176 de 2007, se les respetará el 15% de la asignación destinada al otorgamiento de subsidios; el 85% restante de la asignación en tales municipios, corresponderá como mínimo, al monto reportado de recursos requeridos para el pago de estos compromisos. </w:t>
      </w:r>
    </w:p>
    <w:p w14:paraId="27B5D8F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65234A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el evento en que el 85% de la asignación sea insuficiente para atender los compromisos reportados, se realizará el correspondiente ajuste en la participación para Agua Potable y Saneamiento Básico. </w:t>
      </w:r>
    </w:p>
    <w:p w14:paraId="599D214E" w14:textId="45DBDAE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099" w:name="ver_30076181"/>
      <w:bookmarkEnd w:id="2099"/>
    </w:p>
    <w:p w14:paraId="7C1381A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2.3.5.1.7.1.54. Término de la transición. El régimen de transición de que trata el parágrafo del artículo 9° de la Ley 1176 de 2007 se aplicará hasta el 31 de diciembre del año 2016 de acuerdo con la relación de los municipios y distritos consolidada por el Ministerio de Vivienda, Ciudad y Territorio, y el monto requerido para atender créditos o compromisos derivados de la estructuración financiera de un contrato con un tercero, que tengan como propósito asegurar la prestación de los servicios públicos domiciliarios de acueducto, alcantarillado y aseo, previsto en dicha relación en las condiciones previstas en la normatividad única para el sector de Planeación Nacional o en la norma que lo modifique, adicione o sustituya. </w:t>
      </w:r>
    </w:p>
    <w:p w14:paraId="26ACBDBB" w14:textId="708A1E7F" w:rsidR="0015442F"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100" w:name="ver_30210158"/>
      <w:bookmarkEnd w:id="2100"/>
    </w:p>
    <w:p w14:paraId="1631D87A" w14:textId="3D6D56EE" w:rsidR="00FC79C1" w:rsidRPr="009342F9" w:rsidRDefault="00FC79C1" w:rsidP="0015442F">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CAPÍTULO 2</w:t>
      </w:r>
    </w:p>
    <w:p w14:paraId="114A8422" w14:textId="0F2A24FC" w:rsidR="00FC79C1" w:rsidRPr="009342F9" w:rsidRDefault="00DF7F30" w:rsidP="0015442F">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USO DE LOS RECURSOS DEL SISTEMA GENERAL DE PARTICIPACIONES PARA AGUA POTABLE Y SANEAMIENTO BÁSICO DESTINADOS AL PAGO DEL SERVICIO DE ENERGÍA EN MUNICIPIOS PRESTADORES DIRECTOS</w:t>
      </w:r>
    </w:p>
    <w:p w14:paraId="29F14036" w14:textId="77777777" w:rsidR="00FC79C1" w:rsidRPr="009342F9" w:rsidRDefault="00FC79C1" w:rsidP="00DF7F30">
      <w:pPr>
        <w:spacing w:after="0" w:line="240" w:lineRule="auto"/>
        <w:jc w:val="center"/>
        <w:rPr>
          <w:rFonts w:ascii="Arial" w:eastAsia="Times New Roman" w:hAnsi="Arial" w:cs="Arial"/>
          <w:color w:val="000000"/>
          <w:lang w:eastAsia="es-CO"/>
        </w:rPr>
      </w:pPr>
      <w:bookmarkStart w:id="2101" w:name="ver_30210159"/>
      <w:bookmarkEnd w:id="2101"/>
    </w:p>
    <w:p w14:paraId="27392AD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2.3.5.2.1. Condiciones para el pago del costo de energía con recursos del Sistema General de Participaciones para Agua Potable y Saneamiento Básico. Los municipios de categoría 5 o 6 que presten directamente los servicios públicos domiciliarios de acueducto y alcantarillado y que vayan a destinar recursos del Sistema General de Participaciones para Agua Potable y Saneamiento Básico (SGP-APSB) para el pago del costo del servicio de energía por concepto de operación de los sistemas de acueducto y alcantarillado, deberán cumplir con las siguientes condiciones:  </w:t>
      </w:r>
    </w:p>
    <w:p w14:paraId="7097B8FF" w14:textId="77777777" w:rsidR="0015442F" w:rsidRPr="009342F9" w:rsidRDefault="0015442F" w:rsidP="00FC79C1">
      <w:pPr>
        <w:spacing w:after="0" w:line="240" w:lineRule="auto"/>
        <w:jc w:val="both"/>
        <w:rPr>
          <w:rFonts w:ascii="Arial" w:eastAsia="Times New Roman" w:hAnsi="Arial" w:cs="Arial"/>
          <w:color w:val="000000"/>
          <w:lang w:eastAsia="es-CO"/>
        </w:rPr>
      </w:pPr>
    </w:p>
    <w:p w14:paraId="572E328E" w14:textId="4BF77D88"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Haber calculado las tarifas conforme a la metodología vigente establecida por la Comisión de Regulación de Agua Potable y Saneamiento Básico (CRA) para los servicios públicos de acueducto y alcantarillado y que estas se encuentren aprobadas por la Entidad Tarifaria Local.  </w:t>
      </w:r>
    </w:p>
    <w:p w14:paraId="49589921" w14:textId="77777777" w:rsidR="0015442F" w:rsidRPr="009342F9" w:rsidRDefault="0015442F" w:rsidP="00FC79C1">
      <w:pPr>
        <w:spacing w:after="0" w:line="240" w:lineRule="auto"/>
        <w:jc w:val="both"/>
        <w:rPr>
          <w:rFonts w:ascii="Arial" w:eastAsia="Times New Roman" w:hAnsi="Arial" w:cs="Arial"/>
          <w:color w:val="000000"/>
          <w:lang w:eastAsia="es-CO"/>
        </w:rPr>
      </w:pPr>
    </w:p>
    <w:p w14:paraId="22565C5C" w14:textId="07A112BD"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No incluir en la tarifa final cobrada al usuario, el costo del servicio de energía por concepto de operación de los sistemas de acueducto y alcantarillado, de acuerdo con las condiciones que defina la Comisión de Regulación de Agua Potable y Saneamiento Básico (CRA).  </w:t>
      </w:r>
    </w:p>
    <w:p w14:paraId="38E6323C" w14:textId="77777777" w:rsidR="0015442F" w:rsidRPr="009342F9" w:rsidRDefault="0015442F" w:rsidP="00FC79C1">
      <w:pPr>
        <w:spacing w:after="0" w:line="240" w:lineRule="auto"/>
        <w:jc w:val="both"/>
        <w:rPr>
          <w:rFonts w:ascii="Arial" w:eastAsia="Times New Roman" w:hAnsi="Arial" w:cs="Arial"/>
          <w:color w:val="000000"/>
          <w:lang w:eastAsia="es-CO"/>
        </w:rPr>
      </w:pPr>
    </w:p>
    <w:p w14:paraId="6622090A" w14:textId="66F750DE"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Apropiar recursos en el presupuesto de la entidad territorial para el pago de sub</w:t>
      </w:r>
      <w:r w:rsidRPr="009342F9">
        <w:rPr>
          <w:rFonts w:ascii="Arial" w:eastAsia="Times New Roman" w:hAnsi="Arial" w:cs="Arial"/>
          <w:color w:val="000000"/>
          <w:lang w:eastAsia="es-CO"/>
        </w:rPr>
        <w:softHyphen/>
        <w:t>sidios de los servicios de acueducto, alcantarillado y aseo, acorde con la metodo</w:t>
      </w:r>
      <w:r w:rsidRPr="009342F9">
        <w:rPr>
          <w:rFonts w:ascii="Arial" w:eastAsia="Times New Roman" w:hAnsi="Arial" w:cs="Arial"/>
          <w:color w:val="000000"/>
          <w:lang w:eastAsia="es-CO"/>
        </w:rPr>
        <w:softHyphen/>
        <w:t>logía para determinar el balance entre subsidios y contribuciones.  </w:t>
      </w:r>
    </w:p>
    <w:p w14:paraId="1CE5048E" w14:textId="77777777" w:rsidR="0015442F" w:rsidRPr="009342F9" w:rsidRDefault="0015442F" w:rsidP="00FC79C1">
      <w:pPr>
        <w:spacing w:after="0" w:line="240" w:lineRule="auto"/>
        <w:jc w:val="both"/>
        <w:rPr>
          <w:rFonts w:ascii="Arial" w:eastAsia="Times New Roman" w:hAnsi="Arial" w:cs="Arial"/>
          <w:color w:val="000000"/>
          <w:lang w:eastAsia="es-CO"/>
        </w:rPr>
      </w:pPr>
    </w:p>
    <w:p w14:paraId="42C1B9BF" w14:textId="7DC0F275" w:rsidR="00FC79C1"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Determinar el costo de energía por concepto de la operación de los sistemas de acueducto y alcantarillado objeto de financiación con los recursos de Siste</w:t>
      </w:r>
      <w:r w:rsidRPr="009342F9">
        <w:rPr>
          <w:rFonts w:ascii="Arial" w:eastAsia="Times New Roman" w:hAnsi="Arial" w:cs="Arial"/>
          <w:color w:val="000000"/>
          <w:lang w:eastAsia="es-CO"/>
        </w:rPr>
        <w:softHyphen/>
        <w:t>ma General de Participaciones para Agua Potable y Saneamiento Básico (SGP APSB) de acuerdo con las metodologías tarifarias vigentes establecidas por la Comisión de Regulación de Agua Potable y Saneamiento Básico (CRA).  </w:t>
      </w:r>
    </w:p>
    <w:p w14:paraId="6E226A50" w14:textId="77777777" w:rsidR="00672CC5" w:rsidRPr="009342F9" w:rsidRDefault="00672CC5" w:rsidP="00FC79C1">
      <w:pPr>
        <w:spacing w:after="0" w:line="240" w:lineRule="auto"/>
        <w:jc w:val="both"/>
        <w:rPr>
          <w:rFonts w:ascii="Arial" w:eastAsia="Times New Roman" w:hAnsi="Arial" w:cs="Arial"/>
          <w:color w:val="000000"/>
          <w:lang w:eastAsia="es-CO"/>
        </w:rPr>
      </w:pPr>
    </w:p>
    <w:p w14:paraId="1CFFAA8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1°. En ningún caso podrán emplearse los recursos del Sistema General de Participaciones para Agua Potable y Saneamiento Básico (SG-APSB), para financiar el costo del servicio de energía del municipio prestador, diferente al relacionado directamente con la operación de los sistemas de acueducto y alcantarillado.  </w:t>
      </w:r>
    </w:p>
    <w:p w14:paraId="42817E12" w14:textId="77777777" w:rsidR="0015442F" w:rsidRPr="009342F9" w:rsidRDefault="0015442F" w:rsidP="00FC79C1">
      <w:pPr>
        <w:spacing w:after="0" w:line="240" w:lineRule="auto"/>
        <w:jc w:val="both"/>
        <w:rPr>
          <w:rFonts w:ascii="Arial" w:eastAsia="Times New Roman" w:hAnsi="Arial" w:cs="Arial"/>
          <w:color w:val="000000"/>
          <w:lang w:eastAsia="es-CO"/>
        </w:rPr>
      </w:pPr>
    </w:p>
    <w:p w14:paraId="173EDF15" w14:textId="18EC7642"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2°. Los municipios de categoría 5 y 6 que presten directamente los servicios públicos domiciliarios de acueducto y alcantarillado no podrán financiar de manera retroactiva el costo del servicio de energía por concepto de operación de los sistemas de acueducto y alcantarillado con los recursos del Sistema General de Participaciones para Agua Potable y Saneamiento Básico (SGP-APSB).  </w:t>
      </w:r>
    </w:p>
    <w:p w14:paraId="43DC0A49" w14:textId="105DFA62"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102" w:name="ver_30210160"/>
      <w:bookmarkEnd w:id="2102"/>
    </w:p>
    <w:p w14:paraId="6B83645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2.3.5.2.2. Monitoreo a los recursos del Sistema General de Participaciones para Agua Potable y Saneamiento Básico. El cumplimiento de lo establecido en el presente capítulo será objeto de la actividad de monitoreo por parte del Ministerio de Vivienda, Ciudad y Territorio, sin perjuicio de las funciones de vigilancia y control que adelante la Superintendencia de Servicios Públicos Domiciliarios”. </w:t>
      </w:r>
    </w:p>
    <w:p w14:paraId="45079DD6" w14:textId="77777777" w:rsidR="0015442F" w:rsidRPr="009342F9" w:rsidRDefault="0015442F" w:rsidP="00FC79C1">
      <w:pPr>
        <w:spacing w:after="0" w:line="240" w:lineRule="auto"/>
        <w:jc w:val="both"/>
        <w:rPr>
          <w:rFonts w:ascii="Arial" w:eastAsia="Times New Roman" w:hAnsi="Arial" w:cs="Arial"/>
          <w:color w:val="000000"/>
          <w:lang w:eastAsia="es-CO"/>
        </w:rPr>
      </w:pPr>
      <w:bookmarkStart w:id="2103" w:name="ver_30076182"/>
      <w:bookmarkEnd w:id="2103"/>
    </w:p>
    <w:p w14:paraId="5B579392" w14:textId="005B2E30" w:rsidR="00FC79C1" w:rsidRPr="009342F9" w:rsidRDefault="00FC79C1" w:rsidP="0015442F">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TÍTULO 6</w:t>
      </w:r>
    </w:p>
    <w:p w14:paraId="49C52F37" w14:textId="77777777" w:rsidR="00FC79C1" w:rsidRDefault="00FC79C1" w:rsidP="0015442F">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DISPOSICIONES APLICABLES A TODOS LOS SERVICIOS</w:t>
      </w:r>
    </w:p>
    <w:p w14:paraId="0375246F" w14:textId="77777777" w:rsidR="004E79A7" w:rsidRPr="009342F9" w:rsidRDefault="004E79A7" w:rsidP="0015442F">
      <w:pPr>
        <w:spacing w:after="0" w:line="240" w:lineRule="auto"/>
        <w:jc w:val="center"/>
        <w:rPr>
          <w:rFonts w:ascii="Arial" w:eastAsia="Times New Roman" w:hAnsi="Arial" w:cs="Arial"/>
          <w:b/>
          <w:bCs/>
          <w:color w:val="000000"/>
          <w:lang w:eastAsia="es-CO"/>
        </w:rPr>
      </w:pPr>
    </w:p>
    <w:p w14:paraId="2CB12F64" w14:textId="77777777" w:rsidR="00FC79C1" w:rsidRPr="009342F9" w:rsidRDefault="00FC79C1" w:rsidP="0015442F">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CAPÍTULO 1</w:t>
      </w:r>
    </w:p>
    <w:p w14:paraId="2473E413" w14:textId="77777777" w:rsidR="00FC79C1" w:rsidRPr="009342F9" w:rsidRDefault="00FC79C1" w:rsidP="0015442F">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CONTROL SOCIAL</w:t>
      </w:r>
    </w:p>
    <w:p w14:paraId="0D017117"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2104" w:name="ver_30076183"/>
      <w:bookmarkEnd w:id="2104"/>
    </w:p>
    <w:p w14:paraId="0B5C3E1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2.3.6.1.1. Deber de Conformación de los Comités de Desarrollo y Control Social. Con el objeto de organizar la participación comunitaria en la vigilancia de la gestión y en la fiscalización de las entidades de carácter privado, oficial, o mixto, que presten los servicios públicos domiciliarios de acueducto, alcantarillado, aseo, energía eléctrica, distribución de gas combustible por red, telefonía fija pública básica conmutada y telefonía local móvil en el sector rural, y de acuerdo con lo establecido por el artículo 62 de la Ley 142 de 1994, se conformarán a iniciativa de un número plural de usuarios, suscriptores o suscriptores potenciales de uno o varios de los citados servicios públicos domiciliarios, en todos los municipios, uno o varios « Comités de Desarrollo y Control Social de los Servicios Públicos Domiciliarios”. </w:t>
      </w:r>
    </w:p>
    <w:p w14:paraId="6CC613A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5ECC2B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Para efectos del presente capítulo se define “usuarios”, “suscriptor” y “suscriptor potencial”, en los siguientes términos: </w:t>
      </w:r>
    </w:p>
    <w:p w14:paraId="66F6A04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E6E92D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Usuario: Persona natural o jurídica que se beneficia con la prestación de un servicio público, bien como propietario del inmueble donde éste se presta, o como receptor directo del servicio. A este último usuario se denomina también consumidor. </w:t>
      </w:r>
    </w:p>
    <w:p w14:paraId="13030E0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73EF66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Suscriptor: Persona natural o jurídica con la cual se ha celebrado un contrato de condiciones uniformes de servicios públicos. </w:t>
      </w:r>
    </w:p>
    <w:p w14:paraId="45803DB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3CC5D0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Suscriptor potencial: Persona que ha iniciado consultas para convertirse en usuario de los servicios públicos. </w:t>
      </w:r>
    </w:p>
    <w:p w14:paraId="321A0E0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C9890F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 participación del usuario, suscriptor o suscriptor potencial, en la asamblea constitutiva, en el correspondiente Comité de Desarrollo y Control Social y en la asamblea de usuarios, es personal e indelegable. </w:t>
      </w:r>
    </w:p>
    <w:p w14:paraId="5DA376D2" w14:textId="6DA0BF50"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105" w:name="ver_30076184"/>
      <w:bookmarkEnd w:id="2105"/>
    </w:p>
    <w:p w14:paraId="6312416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2.3.6.1.2. Convocatoria de las Asambleas Constitutivas. Por iniciativa de los usuarios, suscriptores o suscriptores potenciales, manifestada públicamente a través de los medios de comunicación de carácter local, que permitan y aseguren una adecuada y amplia difusión entre la población o a través de los organismos de participación comunitaria u Organizaciones No Gubernamentales - ONG - existentes en el municipio, se convocará a una asamblea de usuarios con el fin de constituir cada Comité de Desarrollo y Control Social, cuya integración y funcionamiento se regirá por las siguientes normas: </w:t>
      </w:r>
    </w:p>
    <w:p w14:paraId="4E6535C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BCD408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 La asamblea constitutiva del comité se reunirá en la fecha, hora y lugar que determinen quienes tomen la iniciativa de convocación. La convocatoria deberá realizarse con una antelación no menor a diez (10) días hábiles; </w:t>
      </w:r>
    </w:p>
    <w:p w14:paraId="2C31531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B4D36E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b) El registro de los usuarios, suscriptores o suscriptores potenciales, que deseen participar en la Asamblea Constitutiva deberá contener como mínimo la siguiente información: </w:t>
      </w:r>
    </w:p>
    <w:p w14:paraId="5C3F1EF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C92EF3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Nombre del departamento y del municipio donde funcionará el Comité, nombres y apellidos completos de los asistentes, documento de identificación, dirección, número de la última factura de cobro del respectivo servicio o documento que acredite su calidad de usuario o suscriptor potencial y firma; </w:t>
      </w:r>
    </w:p>
    <w:p w14:paraId="2BF0383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9A9A65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c) La elección del </w:t>
      </w:r>
      <w:proofErr w:type="gramStart"/>
      <w:r w:rsidRPr="009342F9">
        <w:rPr>
          <w:rFonts w:ascii="Arial" w:eastAsia="Times New Roman" w:hAnsi="Arial" w:cs="Arial"/>
          <w:color w:val="000000"/>
          <w:lang w:eastAsia="es-CO"/>
        </w:rPr>
        <w:t>Presidente</w:t>
      </w:r>
      <w:proofErr w:type="gramEnd"/>
      <w:r w:rsidRPr="009342F9">
        <w:rPr>
          <w:rFonts w:ascii="Arial" w:eastAsia="Times New Roman" w:hAnsi="Arial" w:cs="Arial"/>
          <w:color w:val="000000"/>
          <w:lang w:eastAsia="es-CO"/>
        </w:rPr>
        <w:t xml:space="preserve"> y Secretario de la Asamblea se hará por mayoría simple de los asistentes. El </w:t>
      </w:r>
      <w:proofErr w:type="gramStart"/>
      <w:r w:rsidRPr="009342F9">
        <w:rPr>
          <w:rFonts w:ascii="Arial" w:eastAsia="Times New Roman" w:hAnsi="Arial" w:cs="Arial"/>
          <w:color w:val="000000"/>
          <w:lang w:eastAsia="es-CO"/>
        </w:rPr>
        <w:t>Presidente</w:t>
      </w:r>
      <w:proofErr w:type="gramEnd"/>
      <w:r w:rsidRPr="009342F9">
        <w:rPr>
          <w:rFonts w:ascii="Arial" w:eastAsia="Times New Roman" w:hAnsi="Arial" w:cs="Arial"/>
          <w:color w:val="000000"/>
          <w:lang w:eastAsia="es-CO"/>
        </w:rPr>
        <w:t xml:space="preserve"> y el Secretario deberán verificar la calidad y el número mínimo de asistentes; </w:t>
      </w:r>
    </w:p>
    <w:p w14:paraId="3C603ED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356832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d) Para que la Asamblea Constitutiva del Comité de Desarrollo y Control Social pueda sesionar deberá contar con el número mínimo de usuarios, suscriptores o suscriptores potenciales necesarios para conformar un comité en el respectivo municipio; </w:t>
      </w:r>
    </w:p>
    <w:p w14:paraId="38F28E5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C4A8BC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e) Para la elección de los miembros del Comité de Desarrollo y Control Social se </w:t>
      </w:r>
      <w:proofErr w:type="gramStart"/>
      <w:r w:rsidRPr="009342F9">
        <w:rPr>
          <w:rFonts w:ascii="Arial" w:eastAsia="Times New Roman" w:hAnsi="Arial" w:cs="Arial"/>
          <w:color w:val="000000"/>
          <w:lang w:eastAsia="es-CO"/>
        </w:rPr>
        <w:t>empleara</w:t>
      </w:r>
      <w:proofErr w:type="gramEnd"/>
      <w:r w:rsidRPr="009342F9">
        <w:rPr>
          <w:rFonts w:ascii="Arial" w:eastAsia="Times New Roman" w:hAnsi="Arial" w:cs="Arial"/>
          <w:color w:val="000000"/>
          <w:lang w:eastAsia="es-CO"/>
        </w:rPr>
        <w:t xml:space="preserve"> el sistema de cociente electoral, teniendo en cuenta que los candidatos cumplan con las calidades para ser miembros y que el número de los mismos sea el señalado en los artículos 5 y 6 respectivamente de este capítulo. De igual manera se elegirá un número de miembros suplentes equivalente al 10% del número de miembros principales. Los miembros suplentes se elegirán en la misma plancha de los principales y serán numéricos. Reemplazarán a los principales solo en el caso de la no aceptación del cargo por parte de estos, o de su falta absoluta. </w:t>
      </w:r>
    </w:p>
    <w:p w14:paraId="62E0F64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B56043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El cociente será el número que resulte de dividir el total de los votos válidos por el de los puestos por proveer. La adjudicación de puestos a cada lista se hará en el número de veces que el cociente quepa en el respectivo número de votos válidos. Si quedaren puestos por proveer se </w:t>
      </w:r>
      <w:proofErr w:type="gramStart"/>
      <w:r w:rsidRPr="009342F9">
        <w:rPr>
          <w:rFonts w:ascii="Arial" w:eastAsia="Times New Roman" w:hAnsi="Arial" w:cs="Arial"/>
          <w:color w:val="000000"/>
          <w:lang w:eastAsia="es-CO"/>
        </w:rPr>
        <w:t>adjuntaran</w:t>
      </w:r>
      <w:proofErr w:type="gramEnd"/>
      <w:r w:rsidRPr="009342F9">
        <w:rPr>
          <w:rFonts w:ascii="Arial" w:eastAsia="Times New Roman" w:hAnsi="Arial" w:cs="Arial"/>
          <w:color w:val="000000"/>
          <w:lang w:eastAsia="es-CO"/>
        </w:rPr>
        <w:t xml:space="preserve"> a los mayores recibos en orden descendente. </w:t>
      </w:r>
    </w:p>
    <w:p w14:paraId="5DEBE7A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E22C45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Los miembros del Comité serán elegidos para un período de dos años que se iniciará el día de su elección. Estos seguirán ejerciendo sus funciones mientras se realiza una nueva elección, la cual debe efectuarse dentro de los seis (6) meses siguientes al vencimiento del respectivo período; </w:t>
      </w:r>
    </w:p>
    <w:p w14:paraId="56D2185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4FB9A7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f) Los comités, el día de su elección, se instalarán y elegirán al Vocal de Control y a la Junta Directiva. Si ello no fuere posible, la asamblea señalará la fecha para la instalación del comité dentro de los ocho (8) días siguientes a su elección. </w:t>
      </w:r>
    </w:p>
    <w:p w14:paraId="1F08BD57" w14:textId="13DEEFE9"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106" w:name="ver_30076185"/>
      <w:bookmarkEnd w:id="2106"/>
    </w:p>
    <w:p w14:paraId="2D54791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2.3.6.1.3. Contenido del Acta de la Asamblea Constitutiva de los Comités. El acta de la asamblea constitutiva de los Comités de Desarrollo y Control </w:t>
      </w:r>
      <w:proofErr w:type="gramStart"/>
      <w:r w:rsidRPr="009342F9">
        <w:rPr>
          <w:rFonts w:ascii="Arial" w:eastAsia="Times New Roman" w:hAnsi="Arial" w:cs="Arial"/>
          <w:color w:val="000000"/>
          <w:lang w:eastAsia="es-CO"/>
        </w:rPr>
        <w:t>Social,</w:t>
      </w:r>
      <w:proofErr w:type="gramEnd"/>
      <w:r w:rsidRPr="009342F9">
        <w:rPr>
          <w:rFonts w:ascii="Arial" w:eastAsia="Times New Roman" w:hAnsi="Arial" w:cs="Arial"/>
          <w:color w:val="000000"/>
          <w:lang w:eastAsia="es-CO"/>
        </w:rPr>
        <w:t xml:space="preserve"> contemplará al menos los siguientes aspectos: </w:t>
      </w:r>
    </w:p>
    <w:p w14:paraId="1CB7247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8FE449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 Lugar, fecha y hora en que se realizó la asamblea; </w:t>
      </w:r>
    </w:p>
    <w:p w14:paraId="0D9A358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003C89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b) Determinación del servicio o servicios objeto de fiscalización por parte del comité; </w:t>
      </w:r>
    </w:p>
    <w:p w14:paraId="5C3244A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F81B78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 Nombre, apellido e identificación de los asistentes, tratándose de personas naturales, o nombre, naturaleza jurídica y representación legal cuando se trate de personas jurídicas; </w:t>
      </w:r>
    </w:p>
    <w:p w14:paraId="7E6A9A9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AB9B04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d) Elección de los miembros del comité; </w:t>
      </w:r>
    </w:p>
    <w:p w14:paraId="20AC85C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59447E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 Firma del presidente y del secretario de la asamblea. </w:t>
      </w:r>
    </w:p>
    <w:p w14:paraId="74966BD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9B4D10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Parágrafo. El presidente de la asamblea constitutiva tendrá la obligación de custodiar el acta y hacer entrega de </w:t>
      </w:r>
      <w:proofErr w:type="gramStart"/>
      <w:r w:rsidRPr="009342F9">
        <w:rPr>
          <w:rFonts w:ascii="Arial" w:eastAsia="Times New Roman" w:hAnsi="Arial" w:cs="Arial"/>
          <w:color w:val="000000"/>
          <w:lang w:eastAsia="es-CO"/>
        </w:rPr>
        <w:t>la misma</w:t>
      </w:r>
      <w:proofErr w:type="gramEnd"/>
      <w:r w:rsidRPr="009342F9">
        <w:rPr>
          <w:rFonts w:ascii="Arial" w:eastAsia="Times New Roman" w:hAnsi="Arial" w:cs="Arial"/>
          <w:color w:val="000000"/>
          <w:lang w:eastAsia="es-CO"/>
        </w:rPr>
        <w:t xml:space="preserve"> al Vocal de Control, una vez sea elegido. </w:t>
      </w:r>
    </w:p>
    <w:p w14:paraId="2F8DE295" w14:textId="5C9DAFEA"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107" w:name="ver_30076186"/>
      <w:bookmarkEnd w:id="2107"/>
    </w:p>
    <w:p w14:paraId="713A4B6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2.3.6.1.4. Asamblea de Usuarios. Con el objeto de garantizar la participación comunitaria en la vigilancia de la gestión y en la fiscalización de los servicios públicos domiciliarios, se conformará una asamblea de usuarios de la cual podrán hacer parte los asistentes a las asambleas anteriores y cualquier usuario, suscriptor o suscriptor potencial que desee sumarse a ella. La asamblea así conformada no podrá sesionar con un número inferior al establecido en el literal d) del artículo 2 del presente capítulo. Esta se reunirá: </w:t>
      </w:r>
    </w:p>
    <w:p w14:paraId="646C00D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E682D9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 Ordinariamente una vez al año, para considerar el informe del Comité de Desarrollo y Control Social, evaluar su gestión y proponer las acciones que considere pertinentes y que correspondan a las funciones de éste; y para elegir los miembros del comité cuando haya lugar a ello por vencimiento del período de éstos; </w:t>
      </w:r>
    </w:p>
    <w:p w14:paraId="1DA8CCC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FC48B2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b) Extraordinariamente cuando sea convocada a instancia Vocal de Control, de las dos terceras partes de la Junta Directiva del Comité o de un número equivalente a la quinta parte de los asistentes a la última asamblea, entre otros aspectos, para conformar el comité en caso de que éste haya sido disuelto por causal establecida en su reglamento; </w:t>
      </w:r>
    </w:p>
    <w:p w14:paraId="621ABB4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690169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 Por derecho propio, cuando no haya sido convocada a reunión ordinaria o cuando no haya sido posible realizar dicha reunión por falta de quórum, evento en el cual podrá deliberar con cualquier número plural de asistentes. En todo caso para la elección de un nuevo comité se requerirá el mínimo de asistentes previstos en el literal d) del artículo 2.3.6.1.2. del presente capítulo. </w:t>
      </w:r>
    </w:p>
    <w:p w14:paraId="4D7576A3" w14:textId="0B77FE8F"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108" w:name="ver_30076187"/>
      <w:bookmarkEnd w:id="2108"/>
    </w:p>
    <w:p w14:paraId="2E5535D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2.3.6.1.5. Miembros del Comité. Para ser miembro de un Comité de Desarrollo y Control Social, se requiere ser usuario, suscriptor o suscriptor potencial de uno de los servicios públicos </w:t>
      </w:r>
      <w:r w:rsidRPr="009342F9">
        <w:rPr>
          <w:rFonts w:ascii="Arial" w:eastAsia="Times New Roman" w:hAnsi="Arial" w:cs="Arial"/>
          <w:color w:val="000000"/>
          <w:lang w:eastAsia="es-CO"/>
        </w:rPr>
        <w:lastRenderedPageBreak/>
        <w:t>domiciliarios de que trata la Ley 142 de 1994, lo cual se acreditará ante la asamblea, con la última factura de cobro, o en el caso de los suscriptores potenciales, con la solicitud debidamente radicada ante la respectiva entidad prestadora de los servicios domiciliarios de que trata la Ley 142 de 1994. </w:t>
      </w:r>
    </w:p>
    <w:p w14:paraId="15FF3EC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C18A25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Cuando el usuario no disponga de la última factura de cobro, podrá acreditar su condición mediante una constancia de residencia. </w:t>
      </w:r>
    </w:p>
    <w:p w14:paraId="581A124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B3CA3C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No podrán hacer parte de los Comités de Desarrollo y Control Social de los servicios públicos domiciliarios, los funcionarios de las entidades prestadoras del servicio público a que se refiera el correspondiente comité, los de la Comisión de Regulación respectiva, y en ningún caso los de la Superintendencia de Servicios Públicos Domiciliarios. </w:t>
      </w:r>
    </w:p>
    <w:p w14:paraId="6064160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AAD295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Tampoco podrán ser miembros de los comités quienes reciban el servicio en forma fraudulenta ni aquellos que soliciten la conexión en áreas en donde las condiciones sanitarias, ambientales o de alto riesgo para las personas, definidas por la oficina de planeación municipal o la que haga sus veces, impidan la prestación del servicio por consideraciones de interés general. </w:t>
      </w:r>
    </w:p>
    <w:p w14:paraId="42BD0727" w14:textId="1C53957F"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109" w:name="ver_30076188"/>
      <w:bookmarkEnd w:id="2109"/>
    </w:p>
    <w:p w14:paraId="68C82B7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2.3.6.1.6. Número de Miembros del Comité. El número de miembros de los comités será el que resulte de dividir la población del respectivo municipio o distrito, según el censo de población oficial vigente por diez mil (10.000), pero no podrá ser inferior a cincuenta (50). Para el Distrito Capital de Santa Fe de Bogotá, el número mínimo de miembros será de doscientos (200). En caso de </w:t>
      </w:r>
      <w:proofErr w:type="gramStart"/>
      <w:r w:rsidRPr="009342F9">
        <w:rPr>
          <w:rFonts w:ascii="Arial" w:eastAsia="Times New Roman" w:hAnsi="Arial" w:cs="Arial"/>
          <w:color w:val="000000"/>
          <w:lang w:eastAsia="es-CO"/>
        </w:rPr>
        <w:t>que</w:t>
      </w:r>
      <w:proofErr w:type="gramEnd"/>
      <w:r w:rsidRPr="009342F9">
        <w:rPr>
          <w:rFonts w:ascii="Arial" w:eastAsia="Times New Roman" w:hAnsi="Arial" w:cs="Arial"/>
          <w:color w:val="000000"/>
          <w:lang w:eastAsia="es-CO"/>
        </w:rPr>
        <w:t xml:space="preserve"> al aplicar el factor de representatividad poblacional mencionada, el resultado sea inferior a cincuenta (50), el número de miembros del comité se deberá ajustar a este mínimo señalado en la ley. </w:t>
      </w:r>
    </w:p>
    <w:p w14:paraId="6238A5A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238230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El Alcalde Municipal con el objeto de asegurar la participación de los usuarios en la vigilancia de la gestión y en la fiscalización de las entidades prestadoras de servicios públicos domiciliarios, velará por el cumplimiento de lo previsto en este artículo. </w:t>
      </w:r>
    </w:p>
    <w:p w14:paraId="6204F94C" w14:textId="56301268"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110" w:name="ver_30076189"/>
      <w:bookmarkEnd w:id="2110"/>
    </w:p>
    <w:p w14:paraId="73DCBC9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2.3.6.1.7. Faltas Absolutas. Serán faltas absolutas de los miembros del Comité de Desarrollo y Control Social. </w:t>
      </w:r>
    </w:p>
    <w:p w14:paraId="763AC5F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7CA677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 La muerte; </w:t>
      </w:r>
    </w:p>
    <w:p w14:paraId="3AF0BB2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049202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b) La renuncia; </w:t>
      </w:r>
    </w:p>
    <w:p w14:paraId="50639FE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8FB61E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 La incapacidad física permanente. </w:t>
      </w:r>
    </w:p>
    <w:p w14:paraId="16140017" w14:textId="34463A12"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111" w:name="ver_30076190"/>
      <w:bookmarkEnd w:id="2111"/>
    </w:p>
    <w:p w14:paraId="1854278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2.3.6.1.8. Normas de Funcionamiento de los Comités. Para garantizar el adecuado funcionamiento de los comités, estos tendrán las siguientes facultades: </w:t>
      </w:r>
    </w:p>
    <w:p w14:paraId="6F7E4B1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B13059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 Elegir al Vocal de Control. Cada comité elegirá entre sus miembros y por decisión </w:t>
      </w:r>
      <w:proofErr w:type="spellStart"/>
      <w:r w:rsidRPr="009342F9">
        <w:rPr>
          <w:rFonts w:ascii="Arial" w:eastAsia="Times New Roman" w:hAnsi="Arial" w:cs="Arial"/>
          <w:color w:val="000000"/>
          <w:lang w:eastAsia="es-CO"/>
        </w:rPr>
        <w:t>mayoritaría</w:t>
      </w:r>
      <w:proofErr w:type="spellEnd"/>
      <w:r w:rsidRPr="009342F9">
        <w:rPr>
          <w:rFonts w:ascii="Arial" w:eastAsia="Times New Roman" w:hAnsi="Arial" w:cs="Arial"/>
          <w:color w:val="000000"/>
          <w:lang w:eastAsia="es-CO"/>
        </w:rPr>
        <w:t xml:space="preserve"> del comité en pleno, a un Vocal de Control para un período no inferior a un (1) año, quien actuará como su representante ante las entidades prestadoras de los servicios públicos domiciliarios y las entidades territoriales correspondientes y ante las autoridades nacionales, en lo que tiene que ver con la vigilancia de la gestión y la fiscalización de dichos servicios; </w:t>
      </w:r>
    </w:p>
    <w:p w14:paraId="03CA956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DD33E1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b) Elegir su Junta Directiva, la cual estará integrada por un Vocal de Control, quien la presidirá, un secretario, un tesorero, un fiscal, y un número de miembros no mayor de cinco (5) según lo establezca su reglamento. La elección de los miembros de la Junta Directiva, con excepción del </w:t>
      </w:r>
      <w:r w:rsidRPr="009342F9">
        <w:rPr>
          <w:rFonts w:ascii="Arial" w:eastAsia="Times New Roman" w:hAnsi="Arial" w:cs="Arial"/>
          <w:color w:val="000000"/>
          <w:lang w:eastAsia="es-CO"/>
        </w:rPr>
        <w:lastRenderedPageBreak/>
        <w:t xml:space="preserve">Vocal de Control, se hará por el sistema de </w:t>
      </w:r>
      <w:proofErr w:type="spellStart"/>
      <w:r w:rsidRPr="009342F9">
        <w:rPr>
          <w:rFonts w:ascii="Arial" w:eastAsia="Times New Roman" w:hAnsi="Arial" w:cs="Arial"/>
          <w:color w:val="000000"/>
          <w:lang w:eastAsia="es-CO"/>
        </w:rPr>
        <w:t>cuociente</w:t>
      </w:r>
      <w:proofErr w:type="spellEnd"/>
      <w:r w:rsidRPr="009342F9">
        <w:rPr>
          <w:rFonts w:ascii="Arial" w:eastAsia="Times New Roman" w:hAnsi="Arial" w:cs="Arial"/>
          <w:color w:val="000000"/>
          <w:lang w:eastAsia="es-CO"/>
        </w:rPr>
        <w:t xml:space="preserve"> electoral a través de planchas en las cuales deberán aparecer los candidatos en el siguiente orden: </w:t>
      </w:r>
      <w:proofErr w:type="gramStart"/>
      <w:r w:rsidRPr="009342F9">
        <w:rPr>
          <w:rFonts w:ascii="Arial" w:eastAsia="Times New Roman" w:hAnsi="Arial" w:cs="Arial"/>
          <w:color w:val="000000"/>
          <w:lang w:eastAsia="es-CO"/>
        </w:rPr>
        <w:t>Secretario</w:t>
      </w:r>
      <w:proofErr w:type="gramEnd"/>
      <w:r w:rsidRPr="009342F9">
        <w:rPr>
          <w:rFonts w:ascii="Arial" w:eastAsia="Times New Roman" w:hAnsi="Arial" w:cs="Arial"/>
          <w:color w:val="000000"/>
          <w:lang w:eastAsia="es-CO"/>
        </w:rPr>
        <w:t>, tesorero, fiscal y el número impar de miembros que corresponda; </w:t>
      </w:r>
    </w:p>
    <w:p w14:paraId="7C016A0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D4E0D9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 Los vocales de control y los miembros de la Junta Directiva de los Comités de Desarrollo y Control Social, el día de su elección tomarán posesión ante los comités; </w:t>
      </w:r>
    </w:p>
    <w:p w14:paraId="166C8C1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D47ECB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d) Dictar su propio reglamento, el cual contendrá como mínimo disposiciones sobre los siguientes aspectos: determinación del servicio o servicios objeto de fiscalización por parte del comité, mecanismos para acreditar la calidad de los miembros del comité, derechos, deberes y prohibiciones de sus miembros, estructura y funciones de la Junta Directiva, clases de reuniones, su convocatoria y quórum, procedimientos para modificar el reglamento, período de elección y causales de remoción del Vocal de Control y causales de disolución del comité; </w:t>
      </w:r>
    </w:p>
    <w:p w14:paraId="2B51A49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624FD5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Remover en cualquier tiempo, al Vocal de Control por decisión tomada por la mayoría absoluta de los miembros del comité, según las causales que se establezcan en su reglamento. </w:t>
      </w:r>
    </w:p>
    <w:p w14:paraId="0417D87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1D6EE7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e) Reglamentar la destinación de los fondos que sean adjudicados al Comité de Desarrollo y Control Social, cuando éste a través de su Vocal de Control o alguno de los miembros de su Junta Directiva, haya iniciado, impulsado o colaborado en un procedimiento administrativo de que trata el numeral 11 del </w:t>
      </w:r>
      <w:proofErr w:type="spellStart"/>
      <w:r w:rsidRPr="009342F9">
        <w:rPr>
          <w:rFonts w:ascii="Arial" w:eastAsia="Times New Roman" w:hAnsi="Arial" w:cs="Arial"/>
          <w:color w:val="000000"/>
          <w:lang w:eastAsia="es-CO"/>
        </w:rPr>
        <w:t>articulo</w:t>
      </w:r>
      <w:proofErr w:type="spellEnd"/>
      <w:r w:rsidRPr="009342F9">
        <w:rPr>
          <w:rFonts w:ascii="Arial" w:eastAsia="Times New Roman" w:hAnsi="Arial" w:cs="Arial"/>
          <w:color w:val="000000"/>
          <w:lang w:eastAsia="es-CO"/>
        </w:rPr>
        <w:t xml:space="preserve"> 79 de la Ley 142 de 1994, dentro de los parámetros establecidos por la citada norma, de conformidad con la reglamentación que sobre el particular expida la Superintendencia de Servicios Públicos. </w:t>
      </w:r>
    </w:p>
    <w:p w14:paraId="4D874AC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A4BD42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Los comités fijarán en su reglamento la destinación de los fondos de que trata el presente literal, procurando que la orientación de dichos recursos contribuya a la solución de los problemas relacionados con la prestación de los servicios públicos domiciliarios en el municipio correspondiente. </w:t>
      </w:r>
    </w:p>
    <w:p w14:paraId="2A17010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F8E9AF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f) Establecer las formas que el comité deba utilizar para la consecución de recursos destinados al cubrimiento de los gastos de funcionamiento </w:t>
      </w:r>
      <w:proofErr w:type="gramStart"/>
      <w:r w:rsidRPr="009342F9">
        <w:rPr>
          <w:rFonts w:ascii="Arial" w:eastAsia="Times New Roman" w:hAnsi="Arial" w:cs="Arial"/>
          <w:color w:val="000000"/>
          <w:lang w:eastAsia="es-CO"/>
        </w:rPr>
        <w:t>del mismo</w:t>
      </w:r>
      <w:proofErr w:type="gramEnd"/>
      <w:r w:rsidRPr="009342F9">
        <w:rPr>
          <w:rFonts w:ascii="Arial" w:eastAsia="Times New Roman" w:hAnsi="Arial" w:cs="Arial"/>
          <w:color w:val="000000"/>
          <w:lang w:eastAsia="es-CO"/>
        </w:rPr>
        <w:t>; </w:t>
      </w:r>
    </w:p>
    <w:p w14:paraId="2CDAFB0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7DBF49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g) Proponer ante las entidades de servicios públicos domiciliarios los planes y programas que consideren necesarios para resolver las deficiencias en la prestación de los servicios públicos domiciliarios; </w:t>
      </w:r>
    </w:p>
    <w:p w14:paraId="7C43D4B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1438A3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h) Procurar que la comunidad dentro de sus posibilidades aporte los recursos logísticos o de cualquier otro orden, para </w:t>
      </w:r>
      <w:proofErr w:type="gramStart"/>
      <w:r w:rsidRPr="009342F9">
        <w:rPr>
          <w:rFonts w:ascii="Arial" w:eastAsia="Times New Roman" w:hAnsi="Arial" w:cs="Arial"/>
          <w:color w:val="000000"/>
          <w:lang w:eastAsia="es-CO"/>
        </w:rPr>
        <w:t>que</w:t>
      </w:r>
      <w:proofErr w:type="gramEnd"/>
      <w:r w:rsidRPr="009342F9">
        <w:rPr>
          <w:rFonts w:ascii="Arial" w:eastAsia="Times New Roman" w:hAnsi="Arial" w:cs="Arial"/>
          <w:color w:val="000000"/>
          <w:lang w:eastAsia="es-CO"/>
        </w:rPr>
        <w:t xml:space="preserve"> mediante la acción concertada de la comunidad con los municipios y las entidades, promuevan la expansión o el mejoramiento de los servicios públicos domiciliarios. </w:t>
      </w:r>
    </w:p>
    <w:p w14:paraId="2719C92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345C17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i) Solicitar la modificación o reforma, en primera instancia ante los comités de estratificación y en segunda instancia ante la Superintendencia de Servicios Públicos Domiciliarios, de las decisiones que se adopten en materia de estratificación; </w:t>
      </w:r>
    </w:p>
    <w:p w14:paraId="461BE13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69B3BB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j) Estudiar y analizar el monto de los subsidios que debe conceder el municipio con arreglo a la ley, examinar los criterios y mecanismos de reparto de esos subsidios; y proponer las medidas que sean pertinentes para tal efecto; </w:t>
      </w:r>
    </w:p>
    <w:p w14:paraId="7C4FB62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90CA12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k) Solicitar al personero municipal la imposición de multas hasta de diez (10) salarios mínimos mensuales, a las entidades que presten servicios públicos domiciliarios en el territorio de su </w:t>
      </w:r>
      <w:r w:rsidRPr="009342F9">
        <w:rPr>
          <w:rFonts w:ascii="Arial" w:eastAsia="Times New Roman" w:hAnsi="Arial" w:cs="Arial"/>
          <w:color w:val="000000"/>
          <w:lang w:eastAsia="es-CO"/>
        </w:rPr>
        <w:lastRenderedPageBreak/>
        <w:t>competencia, por las infracciones a la Ley 142 de 1994 o por violación a las normas especiales a las que deben estar sujetas, cuando de ellas se deriven perjuicios para los usuarios; </w:t>
      </w:r>
    </w:p>
    <w:p w14:paraId="148E659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5DC8D0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 Colaborar con las entidades prestadoras de los servicios públicos domiciliarios, con las autoridades del Gobierno Nacional, y con las demás organizaciones cívicas y comunitarias de la entidad territorial en la realización de programas y campañas de racionalización del uso de los servicios; </w:t>
      </w:r>
    </w:p>
    <w:p w14:paraId="691B155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F0E959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m) Colaborar con los organismos de control, en sus actuaciones de forma tal que se represente a la comunidad, se cumpla con el principio de celeridad y economía de la función administrativa, y se coadyuve a las entidades prestadoras de los servicios públicos domiciliarios a mejorar aquellos aspectos en la prestación del servicio en los que existan deficiencias; </w:t>
      </w:r>
    </w:p>
    <w:p w14:paraId="7D8E1D7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00D6D5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n) Velar porque los mecanismos creados para una adecuada información a los usuarios, sobre las actividades y el funcionamiento de las entidades prestadoras de los servicios públicos domiciliarios, así como de los derechos y obligaciones que les asisten, sean efectivos y cumplan su cometido; </w:t>
      </w:r>
    </w:p>
    <w:p w14:paraId="2E28A06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79EB50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o) Recibir y evaluar el informe trimestral que de su gestión presente Vocal de Control; </w:t>
      </w:r>
    </w:p>
    <w:p w14:paraId="4E92F7E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73D1B2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 Rendir un informe anual a la asamblea de usuarios; </w:t>
      </w:r>
    </w:p>
    <w:p w14:paraId="7E4796E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B7455B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q) Las demás que le sean asignadas por la ley. </w:t>
      </w:r>
    </w:p>
    <w:p w14:paraId="5908F97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857159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1º. Las funciones contenidas en los literales a), b), c), d), e), f), g), del presente artículo son indelegables. Las demás podrán delegarse en el Vocal de Control, Junta Directiva o comisiones de su seno. </w:t>
      </w:r>
    </w:p>
    <w:p w14:paraId="4FE4D12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839541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2º. De acuerdo con lo establecido en el inciso 1 del artículo 62 de la Ley 142 de 1994, el ejercicio de las funciones de los miembros del comité no causa honorarios a su favor. </w:t>
      </w:r>
    </w:p>
    <w:p w14:paraId="6A5C88D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AF9A12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3º. Los aspectos relativos a la aprobación del reglamento, a la elección del Vocal de Control y a la de miembros de la Junta Directiva del Comité, deberán constar por escrito en su acta. </w:t>
      </w:r>
    </w:p>
    <w:p w14:paraId="01693299" w14:textId="3413FF93"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112" w:name="ver_30076191"/>
      <w:bookmarkEnd w:id="2112"/>
    </w:p>
    <w:p w14:paraId="3BC6CEA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2.3.6.1.9. Derechos y deberes de los miembros de los Comités de Desarrollo y Control Social. Todo miembro de un comité tendrá los siguientes derechos y deberes: </w:t>
      </w:r>
    </w:p>
    <w:p w14:paraId="54F2C9E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138F4D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 Elegir y ser elegido Vocal de Control o miembro de la Junta Directiva del Comité; </w:t>
      </w:r>
    </w:p>
    <w:p w14:paraId="0116C0D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0F0C9E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b) Asistir con voz y voto a las sesiones del comité; </w:t>
      </w:r>
    </w:p>
    <w:p w14:paraId="107F7BE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5C1F0C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 Participar activamente en el desempeño de las funciones de los comités; </w:t>
      </w:r>
    </w:p>
    <w:p w14:paraId="7C3E557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E625E6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d) Actuar dentro del marco de los principios jurídicos democráticos y participativos, mediante la presentación de peticiones respetuosas ante las autoridades y entidades prestadoras de los servicios públicos domiciliarios, conforme a la ley, y obtener respuesta a las mismas por parte de las autoridades competentes; </w:t>
      </w:r>
    </w:p>
    <w:p w14:paraId="1ECD302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0BBFBD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 Apoyar al Vocal de Control en el ejercicio de sus funciones; </w:t>
      </w:r>
    </w:p>
    <w:p w14:paraId="06B9342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A11CBB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f) Exigir en las reuniones del comité la rendición de los informes correspondientes por parte del Vocal de Control, secretario, tesorero, fiscal y además miembros de la Junta Directiva. </w:t>
      </w:r>
    </w:p>
    <w:p w14:paraId="0083D62D" w14:textId="73D7ECFC"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113" w:name="ver_30076192"/>
      <w:bookmarkEnd w:id="2113"/>
    </w:p>
    <w:p w14:paraId="5CBC1C0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2.3.6.1.10. Impugnación del Vocal de Control. La elección del Vocal de Control podrá impugnarse ante el Personero del municipio donde se realice ésta. Las decisiones del Personero sobre dicha </w:t>
      </w:r>
      <w:proofErr w:type="gramStart"/>
      <w:r w:rsidRPr="009342F9">
        <w:rPr>
          <w:rFonts w:ascii="Arial" w:eastAsia="Times New Roman" w:hAnsi="Arial" w:cs="Arial"/>
          <w:color w:val="000000"/>
          <w:lang w:eastAsia="es-CO"/>
        </w:rPr>
        <w:t>impugnación,</w:t>
      </w:r>
      <w:proofErr w:type="gramEnd"/>
      <w:r w:rsidRPr="009342F9">
        <w:rPr>
          <w:rFonts w:ascii="Arial" w:eastAsia="Times New Roman" w:hAnsi="Arial" w:cs="Arial"/>
          <w:color w:val="000000"/>
          <w:lang w:eastAsia="es-CO"/>
        </w:rPr>
        <w:t xml:space="preserve"> serán apelables ante la Superintendencia de Servicios Públicos Domiciliarios. </w:t>
      </w:r>
    </w:p>
    <w:p w14:paraId="378CA57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9B4B8D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Será causal de mala conducta para cualquier servidor público y en general, para cualquier funcionario de una entidad prestadora de uno o varios de los servicios públicos domiciliarios, entorpecer o dilatar la elección de los mencionados vocales, así como coartar la libertad de los electores o intervenir de cualquier forma en favor o en contra de los candidatos. </w:t>
      </w:r>
    </w:p>
    <w:p w14:paraId="4E441F11" w14:textId="3889CA6F"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114" w:name="ver_30076193"/>
      <w:bookmarkEnd w:id="2114"/>
    </w:p>
    <w:p w14:paraId="2668B28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2.3.6.1.11. Procedimientos de Impugnación. La impugnación de la elección de un Vocal de </w:t>
      </w:r>
      <w:proofErr w:type="gramStart"/>
      <w:r w:rsidRPr="009342F9">
        <w:rPr>
          <w:rFonts w:ascii="Arial" w:eastAsia="Times New Roman" w:hAnsi="Arial" w:cs="Arial"/>
          <w:color w:val="000000"/>
          <w:lang w:eastAsia="es-CO"/>
        </w:rPr>
        <w:t>Control,</w:t>
      </w:r>
      <w:proofErr w:type="gramEnd"/>
      <w:r w:rsidRPr="009342F9">
        <w:rPr>
          <w:rFonts w:ascii="Arial" w:eastAsia="Times New Roman" w:hAnsi="Arial" w:cs="Arial"/>
          <w:color w:val="000000"/>
          <w:lang w:eastAsia="es-CO"/>
        </w:rPr>
        <w:t xml:space="preserve"> podrá ser intentada dentro de los dos meses siguientes a la misma y se tramitará ante el personero del municipio en cuya jurisdicción va a funcionar el comité, con sujeción a las reglas previstas en el Código de Procedimiento Administrativo y de lo Contencioso Administrativo para el ejercicio del derecho de petición en interés general. </w:t>
      </w:r>
    </w:p>
    <w:p w14:paraId="7B6B726D" w14:textId="7B6856CE"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115" w:name="ver_30076194"/>
      <w:bookmarkEnd w:id="2115"/>
    </w:p>
    <w:p w14:paraId="6411BED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2.3.6.1.12. Funciones de los Vocales de Control. Los Vocales de Control ejercerán las siguientes funciones: </w:t>
      </w:r>
    </w:p>
    <w:p w14:paraId="17D28EF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3C3DCF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 Solicitar la inscripción del Comité de Desarrollo y Control Social ante el </w:t>
      </w:r>
      <w:proofErr w:type="gramStart"/>
      <w:r w:rsidRPr="009342F9">
        <w:rPr>
          <w:rFonts w:ascii="Arial" w:eastAsia="Times New Roman" w:hAnsi="Arial" w:cs="Arial"/>
          <w:color w:val="000000"/>
          <w:lang w:eastAsia="es-CO"/>
        </w:rPr>
        <w:t>Alcalde</w:t>
      </w:r>
      <w:proofErr w:type="gramEnd"/>
      <w:r w:rsidRPr="009342F9">
        <w:rPr>
          <w:rFonts w:ascii="Arial" w:eastAsia="Times New Roman" w:hAnsi="Arial" w:cs="Arial"/>
          <w:color w:val="000000"/>
          <w:lang w:eastAsia="es-CO"/>
        </w:rPr>
        <w:t>. Para ello deberá presentar copia del acta de la respectiva asamblea constitutiva en los términos del artículo 2.3.6.1.3 de este capítulo. Igual trámite se surtirá con la inscripción del Vocal de Control, para lo cual adjuntará el acta de la reunión del comité en que se efectuó su elección. El reconocimiento e inscripción ante las entidades prestadoras de los servicios públicos domiciliarios objeto de su fiscalización, se hará de conformidad con lo dispuesto en el artículo 2.3.6.1.16 de este capítulo. </w:t>
      </w:r>
    </w:p>
    <w:p w14:paraId="0C01E3C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F8B10A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Así mismo, informará a la Superintendencia de Servicios Públicos Domiciliarios de la conformación del comité y de su elección como Vocal de Control. Para ello deberá presentar copia del acto administrativo de reconocimiento del comité, expedido por el Alcalde Municipal y copia del acta de la reunión del comité en que se efectuó su elección como Vocal de Control; </w:t>
      </w:r>
    </w:p>
    <w:p w14:paraId="550B5AB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FA5171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b) Informar a la comunidad acerca de sus derechos y deberes en materia de servicios públicos domiciliarios, y ayudarlos a defender aquéllos y a cumplir éstos; </w:t>
      </w:r>
    </w:p>
    <w:p w14:paraId="6B72E48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1B60AD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 Recibir informes de los usuarios, suscriptores o suscriptores potenciales del respectivo servicio, acerca del funcionamiento de las entidades prestadoras de los servicios públicos domiciliarios objeto de su fiscalización, evaluarlos y promover ante éstas y frente a las autoridades municipales, departamentales y nacionales las medidas correctivas, que sean competencia de cada una de ellas; </w:t>
      </w:r>
    </w:p>
    <w:p w14:paraId="2FCA1D3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7CEA0C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d) Dar atención oportuna a todas las consultas y tramitar las quejas y denuncias que le formulen al comité; </w:t>
      </w:r>
    </w:p>
    <w:p w14:paraId="4CFB43D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E67776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 Rendir trimestralmente al comité, informe de las labores adelantadas en ejercicio de sus funciones y recibir del mismo sus observaciones; </w:t>
      </w:r>
    </w:p>
    <w:p w14:paraId="425DCAB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336D62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f) Custodiar y llevar el registro de los usuarios, suscriptores o suscriptores potenciales que cumplan con los requisitos de ley y que hayan asistido a la asamblea constitutiva, o que con posterioridad a ella desean participar en la asamblea de usuarios; </w:t>
      </w:r>
    </w:p>
    <w:p w14:paraId="09C3545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586645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g) Presidir las asambleas de usuarios y la Junta Directiva del comité; </w:t>
      </w:r>
    </w:p>
    <w:p w14:paraId="2FC4514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96F957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h) Ser miembro, de las juntas directivas de las empresas oficiales de servicios públicos domiciliarios del orden municipal, o del comité de estratificación local, cuando sea asignado por el </w:t>
      </w:r>
      <w:proofErr w:type="gramStart"/>
      <w:r w:rsidRPr="009342F9">
        <w:rPr>
          <w:rFonts w:ascii="Arial" w:eastAsia="Times New Roman" w:hAnsi="Arial" w:cs="Arial"/>
          <w:color w:val="000000"/>
          <w:lang w:eastAsia="es-CO"/>
        </w:rPr>
        <w:t>Alcalde</w:t>
      </w:r>
      <w:proofErr w:type="gramEnd"/>
      <w:r w:rsidRPr="009342F9">
        <w:rPr>
          <w:rFonts w:ascii="Arial" w:eastAsia="Times New Roman" w:hAnsi="Arial" w:cs="Arial"/>
          <w:color w:val="000000"/>
          <w:lang w:eastAsia="es-CO"/>
        </w:rPr>
        <w:t>; </w:t>
      </w:r>
    </w:p>
    <w:p w14:paraId="68C5F3A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D2176C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i) Ejercer las funciones que le delegue el comité en pleno; </w:t>
      </w:r>
    </w:p>
    <w:p w14:paraId="57D6AF1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2072C4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j) Someter a la vigilancia del fiscal los libros de cuentas de la Tesorería del comité; </w:t>
      </w:r>
    </w:p>
    <w:p w14:paraId="483A07A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544F23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k) Las demás que le asigne la ley. </w:t>
      </w:r>
    </w:p>
    <w:p w14:paraId="72A231C9" w14:textId="19ABA20E"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116" w:name="ver_30076195"/>
      <w:bookmarkEnd w:id="2116"/>
    </w:p>
    <w:p w14:paraId="535CE32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2.3.6.1.13. Prohibición a los Vocales de Control. El Vocal de Control no podrá invocar su calidad de tal para obtener beneficio personal, ni actuar motivado por intereses políticos o ajenos a sus funciones, ni efectuar cobros a sus representados por realizar gestiones ante las entidades prestadoras de servicios públicos domiciliarios. </w:t>
      </w:r>
    </w:p>
    <w:p w14:paraId="2D83482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074CD9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 contravención a esta prohibición dará lugar a las correspondientes sanciones de carácter legal y será causal de su remoción por parte del comité. </w:t>
      </w:r>
    </w:p>
    <w:p w14:paraId="248690D6" w14:textId="08B1B92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117" w:name="ver_30076196"/>
      <w:bookmarkEnd w:id="2117"/>
    </w:p>
    <w:p w14:paraId="596F1D0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2.3.6.1.14. Incompatibilidades e Inhabilidades de los Vocales de Control. Las personas que cumplan la función de Vocales de Control de los comités de desarrollo y control social de los servicios públicos domiciliarios, sus cónyuges y compañeros permanentes y sus parientes dentro del tercer grado de consanguinidad, segundo de afinidad, y primero civil, así como quienes sean sus socios en sociedades de personas, no podrán ser socios ni participar en la administración de las empresas de servicios públicos que desarrollen sus actividades en el respectivo municipio, ni contratar con ella, con las Comisiones de Regulación, ni con la Superintendencia de Servicios Públicos Domiciliarios. </w:t>
      </w:r>
    </w:p>
    <w:p w14:paraId="16B8C99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A19927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 incompatibilidad e inhabilidad se extenderá hasta dos años después de haber cesado el hecho que le dio origen. </w:t>
      </w:r>
    </w:p>
    <w:p w14:paraId="5214FAC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9E5A7C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 celebración de los contratos de servicios públicos o, en general, de los que se celebren en igualdad de condiciones con quien los solicite, no dar lugar a aplicar estas incompatibilidades o inhabilidades. </w:t>
      </w:r>
    </w:p>
    <w:p w14:paraId="09F77302" w14:textId="0C4B2F76"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118" w:name="ver_30076197"/>
      <w:bookmarkEnd w:id="2118"/>
    </w:p>
    <w:p w14:paraId="7503B79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2.3.6.1.15. Interacción de los </w:t>
      </w:r>
      <w:proofErr w:type="gramStart"/>
      <w:r w:rsidRPr="009342F9">
        <w:rPr>
          <w:rFonts w:ascii="Arial" w:eastAsia="Times New Roman" w:hAnsi="Arial" w:cs="Arial"/>
          <w:color w:val="000000"/>
          <w:lang w:eastAsia="es-CO"/>
        </w:rPr>
        <w:t>Alcaldes</w:t>
      </w:r>
      <w:proofErr w:type="gramEnd"/>
      <w:r w:rsidRPr="009342F9">
        <w:rPr>
          <w:rFonts w:ascii="Arial" w:eastAsia="Times New Roman" w:hAnsi="Arial" w:cs="Arial"/>
          <w:color w:val="000000"/>
          <w:lang w:eastAsia="es-CO"/>
        </w:rPr>
        <w:t xml:space="preserve"> con los Comités. Corresponde a los </w:t>
      </w:r>
      <w:proofErr w:type="gramStart"/>
      <w:r w:rsidRPr="009342F9">
        <w:rPr>
          <w:rFonts w:ascii="Arial" w:eastAsia="Times New Roman" w:hAnsi="Arial" w:cs="Arial"/>
          <w:color w:val="000000"/>
          <w:lang w:eastAsia="es-CO"/>
        </w:rPr>
        <w:t>Alcaldes</w:t>
      </w:r>
      <w:proofErr w:type="gramEnd"/>
      <w:r w:rsidRPr="009342F9">
        <w:rPr>
          <w:rFonts w:ascii="Arial" w:eastAsia="Times New Roman" w:hAnsi="Arial" w:cs="Arial"/>
          <w:color w:val="000000"/>
          <w:lang w:eastAsia="es-CO"/>
        </w:rPr>
        <w:t>: </w:t>
      </w:r>
    </w:p>
    <w:p w14:paraId="2AA8027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A734F9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 Velar por la conformación de los comités en la entidad territorial de su jurisdicción. Para tal efecto el </w:t>
      </w:r>
      <w:proofErr w:type="gramStart"/>
      <w:r w:rsidRPr="009342F9">
        <w:rPr>
          <w:rFonts w:ascii="Arial" w:eastAsia="Times New Roman" w:hAnsi="Arial" w:cs="Arial"/>
          <w:color w:val="000000"/>
          <w:lang w:eastAsia="es-CO"/>
        </w:rPr>
        <w:t>Alcalde</w:t>
      </w:r>
      <w:proofErr w:type="gramEnd"/>
      <w:r w:rsidRPr="009342F9">
        <w:rPr>
          <w:rFonts w:ascii="Arial" w:eastAsia="Times New Roman" w:hAnsi="Arial" w:cs="Arial"/>
          <w:color w:val="000000"/>
          <w:lang w:eastAsia="es-CO"/>
        </w:rPr>
        <w:t xml:space="preserve"> apoyará a los usuarios en la convocatoria de las asambleas constitutivas de los Comités de Desarrollo y Control Social del territorio de su jurisdicción. </w:t>
      </w:r>
    </w:p>
    <w:p w14:paraId="04C1553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7EDB32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b) Reconocer dentro de los ocho (8) días hábiles siguientes, contados desde la fecha de radicación de la solicitud, a los comités que solicite su inscripción. No habrá lugar al reconocimiento por parte del </w:t>
      </w:r>
      <w:proofErr w:type="gramStart"/>
      <w:r w:rsidRPr="009342F9">
        <w:rPr>
          <w:rFonts w:ascii="Arial" w:eastAsia="Times New Roman" w:hAnsi="Arial" w:cs="Arial"/>
          <w:color w:val="000000"/>
          <w:lang w:eastAsia="es-CO"/>
        </w:rPr>
        <w:t>Alcalde</w:t>
      </w:r>
      <w:proofErr w:type="gramEnd"/>
      <w:r w:rsidRPr="009342F9">
        <w:rPr>
          <w:rFonts w:ascii="Arial" w:eastAsia="Times New Roman" w:hAnsi="Arial" w:cs="Arial"/>
          <w:color w:val="000000"/>
          <w:lang w:eastAsia="es-CO"/>
        </w:rPr>
        <w:t xml:space="preserve">, en el evento en que el comité cuyo reconocimiento se solicita, no cumpla con los requisitos legales que para su constitución que se encuentran establecidos en la Ley 142 de 1994 y en este capítulo. El acto administrativo correspondiente </w:t>
      </w:r>
      <w:r w:rsidRPr="009342F9">
        <w:rPr>
          <w:rFonts w:ascii="Arial" w:eastAsia="Times New Roman" w:hAnsi="Arial" w:cs="Arial"/>
          <w:color w:val="000000"/>
          <w:lang w:eastAsia="es-CO"/>
        </w:rPr>
        <w:lastRenderedPageBreak/>
        <w:t>estará sujeto al recurso de reposición en los términos del Código de Procedimiento Administrativo y de lo Contencioso Administrativo. </w:t>
      </w:r>
    </w:p>
    <w:p w14:paraId="44FFD40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5754AF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Cuando la solicitud no reúna los requisitos de ley, previa la expedición del acto administrativo que decida sobre el reconocimiento e inscripción del comité, el </w:t>
      </w:r>
      <w:proofErr w:type="gramStart"/>
      <w:r w:rsidRPr="009342F9">
        <w:rPr>
          <w:rFonts w:ascii="Arial" w:eastAsia="Times New Roman" w:hAnsi="Arial" w:cs="Arial"/>
          <w:color w:val="000000"/>
          <w:lang w:eastAsia="es-CO"/>
        </w:rPr>
        <w:t>Alcalde</w:t>
      </w:r>
      <w:proofErr w:type="gramEnd"/>
      <w:r w:rsidRPr="009342F9">
        <w:rPr>
          <w:rFonts w:ascii="Arial" w:eastAsia="Times New Roman" w:hAnsi="Arial" w:cs="Arial"/>
          <w:color w:val="000000"/>
          <w:lang w:eastAsia="es-CO"/>
        </w:rPr>
        <w:t xml:space="preserve"> concederá un plazo de cinco (5) días hábiles para que los interesados corrijan o adicionen su solicitud con los requisitos faltantes; </w:t>
      </w:r>
    </w:p>
    <w:p w14:paraId="1FC8967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D41B67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 Llevar un registro actualizado de los Comités de Desarrollo y Control Social que sean reconocidos e inscritos por la alcaldía municipal, así como de los respectivos Vocales de Control; </w:t>
      </w:r>
    </w:p>
    <w:p w14:paraId="0D02B00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B27D57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d) Colaborar con los comités mediante su capacitación y asesoría permanente; </w:t>
      </w:r>
    </w:p>
    <w:p w14:paraId="0235C0D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333432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 Escoger entre los Vocales de Control de los Comités de Desarrollo y Control Social del respectivo servicio, registrados ante la alcaldía, aquellos Vocales que conformarán la tercera parte de los miembros de la Junta Directiva de las empresas oficiales de servicios públicos domiciliarios del orden municipal. La escogencia deberá ser comunicada por escrito a los respectivos Vocales de Control. </w:t>
      </w:r>
    </w:p>
    <w:p w14:paraId="40A3391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0D1C14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ejercicio de sus funciones, el Superintendente de Servicios Públicos y demás autoridades competentes, podrán imponer las sanciones contempladas en la ley, cuando dicha escogencia no haya sido realizada con estricta observancia de los principios contenidos en el artículo 27 numerales 3 y 5 de la Ley 142 de 1994 y del presente capítulo. </w:t>
      </w:r>
    </w:p>
    <w:p w14:paraId="19F0BB2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348926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Para estos efectos, la superintendencia remitirá a las demás autoridades competentes los documentos relacionados con la investigación que adelante, para que éstas tomen las medidas que estimen pertinentes. </w:t>
      </w:r>
    </w:p>
    <w:p w14:paraId="5225149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394C8C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f) Las demás que les asigne la ley. </w:t>
      </w:r>
    </w:p>
    <w:p w14:paraId="495064F8" w14:textId="462D68E6"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119" w:name="ver_30076198"/>
      <w:bookmarkEnd w:id="2119"/>
    </w:p>
    <w:p w14:paraId="2C3E6D3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2.3.6.1.16. Interacción de las entidades prestadoras de los servicios públicos domiciliarios con los Comités. Corresponde a las entidades prestadoras de los servicios públicos domiciliarios: </w:t>
      </w:r>
    </w:p>
    <w:p w14:paraId="71F098C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621837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 Reconocer de oficio e inscribir los Comités de Desarrollo de Control Social conformados para fiscalizar el respectivo servicio o servicios, así como a los respectivos Vocales de Control, cuando estos presenten el acto administrativo mediante el cual fueron reconocidos e inscritos ante la alcaldía y el acta en que conste la elección del Vocal de Control; </w:t>
      </w:r>
    </w:p>
    <w:p w14:paraId="3EBDA4E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C6D0E7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b) Dar atención oportuna a las consultas y solicitudes de información que formulen los Vocales de Control y tramitar las quejas y denuncias que éstos planteen ante la empresa; </w:t>
      </w:r>
    </w:p>
    <w:p w14:paraId="4ED1849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6D84AA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 Llevar un registro actualizado de los comités inscritos y de sus correspondientes Vocales de Control; </w:t>
      </w:r>
    </w:p>
    <w:p w14:paraId="42B4D28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DFDEB3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d) Las demás que les asigne la ley. </w:t>
      </w:r>
    </w:p>
    <w:p w14:paraId="1BDD71CD" w14:textId="05841D9C"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120" w:name="ver_30076199"/>
      <w:bookmarkEnd w:id="2120"/>
    </w:p>
    <w:p w14:paraId="196378D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2.3.6.1.17. Interacción de los gobernadores con los comités. Corresponde a los gobernadores: </w:t>
      </w:r>
    </w:p>
    <w:p w14:paraId="181F562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5385B3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a) Promover y coordinar la participación de la población en la constitución de los comités, mediante una acción extensiva en todo el territorio de su jurisdicción; </w:t>
      </w:r>
    </w:p>
    <w:p w14:paraId="5E10FF2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D1A328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b) Apoyar y promover asociaciones departamentales de comités; </w:t>
      </w:r>
    </w:p>
    <w:p w14:paraId="0111710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5293F4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 Asegurar en coordinación con los municipios y con la Superintendencia de Servicios Públicos Domiciliarios, la capacitación de los Vocales de Control dotándolos de instrumentos básicos que les permitan organizar mejor su trabajo y contar con la información necesaria para representar a los comités; </w:t>
      </w:r>
    </w:p>
    <w:p w14:paraId="6A6C7F2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F57A92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d) Las demás que les asigne la ley. </w:t>
      </w:r>
    </w:p>
    <w:p w14:paraId="23A33FB8" w14:textId="4B254450"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121" w:name="ver_30076200"/>
      <w:bookmarkEnd w:id="2121"/>
    </w:p>
    <w:p w14:paraId="48D044E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2.3.6.1.18. Interacción de la Superintendencia de Servicios Públicos Domiciliarios con los comités. Corresponde a la Superintendencia de Servicios Públicos Domiciliarios: </w:t>
      </w:r>
    </w:p>
    <w:p w14:paraId="78EFD0D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32CC00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 En coordinación con los departamentos y municipios, asegurar la capacitación de los vocales dotándolos de instrumentos básicos que les permitan organizar mejor su trabajo y contar con la información necesaria para representar a los comités; </w:t>
      </w:r>
    </w:p>
    <w:p w14:paraId="06CF64E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D5E804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b) Diseñar y poner en funcionamiento un sistema de vigilancia y control que permita apoyar las tareas de los Comités de Desarrollo y Control Social. Con tal fin la Superintendencia deberá proporcionar a las autoridades territoriales, el apoyo técnico necesario, la capacitación, orientación y los elementos de difusión necesarias para la promoción de la participación de la comunidad; </w:t>
      </w:r>
    </w:p>
    <w:p w14:paraId="0D6D056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A743A4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 Llevar un sistema de información actualizado de los comités existentes y de su correspondiente vocal; </w:t>
      </w:r>
    </w:p>
    <w:p w14:paraId="47ED4A3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544898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d) Decidir los recursos de apelación en relación con las disposiciones que en primera instancia adoptes los personeros sobre la impugnación de la elección de los Vocales de Control; </w:t>
      </w:r>
    </w:p>
    <w:p w14:paraId="615BE0D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CCCB2B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 Sancionar a las empresas que no respondan en forma oportuna y adecuada las quejas de los usuarios; </w:t>
      </w:r>
    </w:p>
    <w:p w14:paraId="73F16C9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FE114E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f) Las demás que les sean asignan por la ley. </w:t>
      </w:r>
    </w:p>
    <w:p w14:paraId="48EBFFF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0C69D7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Parágrafo 1º. De conformidad con lo establecido en el numeral 4 del artículo 105 de la Ley 142 de 1994, la Superintendencia podrá delegar el ejercicio de todas o algunas de las funciones contenidas en el presente artículo en otras autoridades administrativas del orden departamental o municipal, así como celebrar contratos con otras entidades públicas o privadas para el mejor cumplimiento de </w:t>
      </w:r>
      <w:proofErr w:type="gramStart"/>
      <w:r w:rsidRPr="009342F9">
        <w:rPr>
          <w:rFonts w:ascii="Arial" w:eastAsia="Times New Roman" w:hAnsi="Arial" w:cs="Arial"/>
          <w:color w:val="000000"/>
          <w:lang w:eastAsia="es-CO"/>
        </w:rPr>
        <w:t>las mismas</w:t>
      </w:r>
      <w:proofErr w:type="gramEnd"/>
      <w:r w:rsidRPr="009342F9">
        <w:rPr>
          <w:rFonts w:ascii="Arial" w:eastAsia="Times New Roman" w:hAnsi="Arial" w:cs="Arial"/>
          <w:color w:val="000000"/>
          <w:lang w:eastAsia="es-CO"/>
        </w:rPr>
        <w:t>. </w:t>
      </w:r>
    </w:p>
    <w:p w14:paraId="7E939AB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FA28EE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2º. La Superintendencia de Servicios Públicos Domiciliarios, reglamentará los procedimientos y términos para el adecuado desarrollo de este artículo. </w:t>
      </w:r>
    </w:p>
    <w:p w14:paraId="5782BE66" w14:textId="2EA0B7B8"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122" w:name="ver_30076201"/>
      <w:bookmarkEnd w:id="2122"/>
    </w:p>
    <w:p w14:paraId="4DCF2CA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2.3.6.1.19. Definición de Apoyo técnico y dotación de instrumentos básicos. Para los efectos de las funciones consagradas en los artículos anteriores, se entiende por “Apoyo técnico y dotación de instrumentos básicos”, el suministro de material pedagógico, bibliográfico, ayudas audiovisuales y didácticas que le permitan tanto a las autoridades territoriales, como a los Vocales de Control inscritos ante la Superintendencia, el adecuado ejercicio de sus funciones y derechos, así como el cumplimiento de sus deberes, dentro del marco de las disposiciones contenidas en </w:t>
      </w:r>
      <w:r w:rsidRPr="009342F9">
        <w:rPr>
          <w:rFonts w:ascii="Arial" w:eastAsia="Times New Roman" w:hAnsi="Arial" w:cs="Arial"/>
          <w:color w:val="000000"/>
          <w:lang w:eastAsia="es-CO"/>
        </w:rPr>
        <w:lastRenderedPageBreak/>
        <w:t>la Ley 142 de 1994, en este capítulo y en las resoluciones que expidan las entidades de regulación. </w:t>
      </w:r>
    </w:p>
    <w:p w14:paraId="48D29A36" w14:textId="4085502D"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123" w:name="ver_30076202"/>
      <w:bookmarkEnd w:id="2123"/>
    </w:p>
    <w:p w14:paraId="5272E51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2.3.6.1.20. Coordinación Interinstitucional. La Superintendencia de Servicios Públicos Domiciliarios, el Ministerio de Vivienda, Ciudad y Desarrollo el Ministerio de Minas y Energía, el Ministerio de Tecnologías de la Información y las Comunicaciones y las Comisiones de Regulación de los Servicios Públicos, coordinarán e integrarán sus esfuerzos y recursos humanos y presupuestales con el propósito de cumplir de forma eficiente, integral y efectiva las funciones que la ley 142 de 1994 asignó en materia de participación comunitaria a las mencionadas entidades. </w:t>
      </w:r>
    </w:p>
    <w:p w14:paraId="4A00313F" w14:textId="0BCF7881" w:rsidR="0015442F"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124" w:name="ver_30076203"/>
      <w:bookmarkEnd w:id="2124"/>
    </w:p>
    <w:p w14:paraId="721CF958" w14:textId="197C20BA" w:rsidR="00FC79C1" w:rsidRPr="009342F9" w:rsidRDefault="00FC79C1" w:rsidP="0015442F">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CAPÍTULO 2</w:t>
      </w:r>
    </w:p>
    <w:p w14:paraId="5C969655" w14:textId="77777777" w:rsidR="00FC79C1" w:rsidRPr="009342F9" w:rsidRDefault="00FC79C1" w:rsidP="0015442F">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FACTURACIÓN CONJUNTA</w:t>
      </w:r>
    </w:p>
    <w:p w14:paraId="18123457"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2125" w:name="ver_30076204"/>
      <w:bookmarkEnd w:id="2125"/>
    </w:p>
    <w:p w14:paraId="0D6EB1F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2.3.6.2.1. Ámbito de aplicación. El presente capítulo se aplica a todas las entidades prestadoras de los servicios públicos domiciliarios de las que trata la Ley 142 de 1994. </w:t>
      </w:r>
    </w:p>
    <w:p w14:paraId="2D9046A2" w14:textId="09E903EE"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126" w:name="ver_30076205"/>
      <w:bookmarkEnd w:id="2126"/>
    </w:p>
    <w:p w14:paraId="12F28DD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2.3.6.2.2. Liquidación del servicio de facturación. Las entidades prestadoras de los servicios públicos </w:t>
      </w:r>
      <w:proofErr w:type="gramStart"/>
      <w:r w:rsidRPr="009342F9">
        <w:rPr>
          <w:rFonts w:ascii="Arial" w:eastAsia="Times New Roman" w:hAnsi="Arial" w:cs="Arial"/>
          <w:color w:val="000000"/>
          <w:lang w:eastAsia="es-CO"/>
        </w:rPr>
        <w:t>domiciliarios,</w:t>
      </w:r>
      <w:proofErr w:type="gramEnd"/>
      <w:r w:rsidRPr="009342F9">
        <w:rPr>
          <w:rFonts w:ascii="Arial" w:eastAsia="Times New Roman" w:hAnsi="Arial" w:cs="Arial"/>
          <w:color w:val="000000"/>
          <w:lang w:eastAsia="es-CO"/>
        </w:rPr>
        <w:t xml:space="preserve"> sólo podrán cobrar a la empresa solicitante del servicio de facturación conjunta, el valor de los costos directos marginales que signifique la incorporación de la facturación del servicio de aseo y alcantarillado generados por causa de la modificación del sistema existente. </w:t>
      </w:r>
    </w:p>
    <w:p w14:paraId="7E394F6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7A7B60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 determinación de dichos costos, se harán con base en los análisis de costos unitarios. </w:t>
      </w:r>
    </w:p>
    <w:p w14:paraId="77FFDAF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D8082F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1°. No se podrán dar por terminado los convenios de facturación conjunta vigentes, hasta tanto no se garantice la celebración de un nuevo contrato con otra empresa prestadora de servicios públicos. </w:t>
      </w:r>
    </w:p>
    <w:p w14:paraId="362CDEA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2656FF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2°. Costos directos de facturación. Son los costos en que incurre la entidad prestadora del servicio público domiciliario para generar la factura, distribuirla a sus usuarios y hacer el recaudo por todo concepto. </w:t>
      </w:r>
    </w:p>
    <w:p w14:paraId="3D63CA54" w14:textId="5ED1DFD3"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127" w:name="ver_30076206"/>
      <w:bookmarkEnd w:id="2127"/>
    </w:p>
    <w:p w14:paraId="3855C82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2.3.6.2.3. Libertad de elección. Para estos efectos la facultad de elección de empresa solicitante la facturación es absolutamente potestativa de la empresa prestadora del servicio de saneamiento básico. </w:t>
      </w:r>
    </w:p>
    <w:p w14:paraId="4DECD05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100A43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Parágrafo 1°. Empresa solicitante. Es la entidad que presta el o los servicios de saneamiento básico y que requiere facturar en forma conjunta con otra empresa </w:t>
      </w:r>
      <w:proofErr w:type="gramStart"/>
      <w:r w:rsidRPr="009342F9">
        <w:rPr>
          <w:rFonts w:ascii="Arial" w:eastAsia="Times New Roman" w:hAnsi="Arial" w:cs="Arial"/>
          <w:color w:val="000000"/>
          <w:lang w:eastAsia="es-CO"/>
        </w:rPr>
        <w:t>de acuerdo a</w:t>
      </w:r>
      <w:proofErr w:type="gramEnd"/>
      <w:r w:rsidRPr="009342F9">
        <w:rPr>
          <w:rFonts w:ascii="Arial" w:eastAsia="Times New Roman" w:hAnsi="Arial" w:cs="Arial"/>
          <w:color w:val="000000"/>
          <w:lang w:eastAsia="es-CO"/>
        </w:rPr>
        <w:t xml:space="preserve"> lo establecido en el artículo 147 de la Ley 142/94. </w:t>
      </w:r>
    </w:p>
    <w:p w14:paraId="60A7D3C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1753DC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2°. Empresa concedente. Es la empresa que a juicio de la empresa solicitante brinda o tiene las condiciones para poder facturar en forma conjunta. </w:t>
      </w:r>
    </w:p>
    <w:p w14:paraId="5510A654" w14:textId="0AFD35BE"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128" w:name="ver_30076207"/>
      <w:bookmarkEnd w:id="2128"/>
    </w:p>
    <w:p w14:paraId="7AC9C32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2.3.6.2.4. Obligaciones. Será obligatorio para las entidades prestadoras de servicios públicos domiciliarios facturar los servicios de alcantarillado y aseo, suscribir el convenio de facturación conjunta, distribución y/o recaudo de pagos; así como garantizar la continuidad </w:t>
      </w:r>
      <w:proofErr w:type="gramStart"/>
      <w:r w:rsidRPr="009342F9">
        <w:rPr>
          <w:rFonts w:ascii="Arial" w:eastAsia="Times New Roman" w:hAnsi="Arial" w:cs="Arial"/>
          <w:color w:val="000000"/>
          <w:lang w:eastAsia="es-CO"/>
        </w:rPr>
        <w:t>del mismo</w:t>
      </w:r>
      <w:proofErr w:type="gramEnd"/>
      <w:r w:rsidRPr="009342F9">
        <w:rPr>
          <w:rFonts w:ascii="Arial" w:eastAsia="Times New Roman" w:hAnsi="Arial" w:cs="Arial"/>
          <w:color w:val="000000"/>
          <w:lang w:eastAsia="es-CO"/>
        </w:rPr>
        <w:t>, si son del caso, salvo que existan razones técnicas insalvables comprobables que justifiquen la imposibilidad de hacerlo. Esta justificación se acreditará ante la Superintendencia de Servicios Públicos Domiciliarios. </w:t>
      </w:r>
    </w:p>
    <w:p w14:paraId="2950727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E43AA7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El prestador que asuma estos procesos, por libre elección del prestador del servicio de aseo y/o alcantarillado, no podrá imponer condiciones que atenten contra la libre competencia ni abusar de una posible posición dominante. </w:t>
      </w:r>
    </w:p>
    <w:p w14:paraId="11068FEC" w14:textId="79D3A659" w:rsidR="0015442F"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129" w:name="ver_30076208"/>
      <w:bookmarkEnd w:id="2129"/>
    </w:p>
    <w:p w14:paraId="4EEF5DAB" w14:textId="046E2824" w:rsidR="00FC79C1" w:rsidRPr="009342F9" w:rsidRDefault="00FC79C1" w:rsidP="0015442F">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CAPÍTULO 3</w:t>
      </w:r>
    </w:p>
    <w:p w14:paraId="4FE947C1" w14:textId="77777777" w:rsidR="00FC79C1" w:rsidRDefault="00FC79C1" w:rsidP="0015442F">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REGLAS MÍNIMAS PARA GARANTIZAR LA DIVULGACIÓN Y LA PARTICIPACIÓN EN LAS ACTUACIONES DE LAS COMISIONES DE REGULACIÓN</w:t>
      </w:r>
    </w:p>
    <w:p w14:paraId="5B1350C5" w14:textId="77777777" w:rsidR="004E79A7" w:rsidRPr="009342F9" w:rsidRDefault="004E79A7" w:rsidP="0015442F">
      <w:pPr>
        <w:spacing w:after="0" w:line="240" w:lineRule="auto"/>
        <w:jc w:val="center"/>
        <w:rPr>
          <w:rFonts w:ascii="Arial" w:eastAsia="Times New Roman" w:hAnsi="Arial" w:cs="Arial"/>
          <w:b/>
          <w:bCs/>
          <w:color w:val="000000"/>
          <w:lang w:eastAsia="es-CO"/>
        </w:rPr>
      </w:pPr>
    </w:p>
    <w:p w14:paraId="4372A0C3" w14:textId="77777777" w:rsidR="00FC79C1" w:rsidRPr="009342F9" w:rsidRDefault="00FC79C1" w:rsidP="0015442F">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SECCION 1</w:t>
      </w:r>
    </w:p>
    <w:p w14:paraId="1F8E3707" w14:textId="77777777" w:rsidR="00FC79C1" w:rsidRPr="009342F9" w:rsidRDefault="00FC79C1" w:rsidP="0015442F">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ACCESO A LA INFORMACIÓN</w:t>
      </w:r>
    </w:p>
    <w:p w14:paraId="2DE1C762"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2130" w:name="ver_30076209"/>
      <w:bookmarkEnd w:id="2130"/>
    </w:p>
    <w:p w14:paraId="49AACB2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2.3.6.3.1.1. Información pública obligatoria. Las Comisiones deben informar al público acerca de los siguientes asuntos: </w:t>
      </w:r>
    </w:p>
    <w:p w14:paraId="384054C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7007C2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1.1 Normas básicas que determinan su competencia y funciones. </w:t>
      </w:r>
    </w:p>
    <w:p w14:paraId="08A7D0A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8FCE43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1.2 Organigrama y nombre de quienes desempeñan los cargos de Expertos Comisionados y de Director Ejecutivo. </w:t>
      </w:r>
    </w:p>
    <w:p w14:paraId="08CB353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6C5842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1.3 Procedimientos y trámites a que están sujetas las actuaciones de los particulares ante la respectiva Comisión, precisando de manera detallada los documentos que deben ser suministrados, así como las dependencias responsables y los plazos indicativos en que se deberá cumplir con las etapas previstas en cada caso. </w:t>
      </w:r>
    </w:p>
    <w:p w14:paraId="126AB73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303689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1.4 Información estadística sobre la forma como en el último año se han atendido las actuaciones de que trata el numeral anterior, y </w:t>
      </w:r>
    </w:p>
    <w:p w14:paraId="54CF1CE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894936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1.5 Localización, números de teléfonos y de fax, dirección electrónica, identificación del dominio (página Web), horarios de trabajo y demás indicaciones que sean necesarias para que las personas puedan cumplir sus obligaciones o ejercer sus derechos. </w:t>
      </w:r>
    </w:p>
    <w:p w14:paraId="02EDB231" w14:textId="5F978113"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131" w:name="ver_30076210"/>
      <w:bookmarkEnd w:id="2131"/>
    </w:p>
    <w:p w14:paraId="73D9A7C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2.3.6.3.1.2. Entrega de información. La información señalada en el artículo anterior estará disponible en las oficinas de la respectiva Comisión de Regulación y a través de los mecanismos de difusión electrónica que estas dispongan. En ningún caso se requerirá la presencia personal del interesado para obtener esta información, la cual podrá ser enviada, si así lo solicita, por correo o por cualquier medio técnico o electrónico disponible que asegure su entrega. </w:t>
      </w:r>
    </w:p>
    <w:p w14:paraId="1E5F31A9" w14:textId="21EB34D0"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132" w:name="ver_30076212"/>
      <w:bookmarkEnd w:id="2132"/>
    </w:p>
    <w:p w14:paraId="4500E43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2.3.6.3.1.3. Disponibilidad de formatos para cumplir obligaciones de reporte de información. Las Comisiones deberán habilitar directamente o a través del Sistema Único de Información, SUI, en este último caso en coordinación con la Superintendencia de Servicios Públicos Domiciliarios, los mecanismos necesarios para poner a disposición de los agentes regulados, los formatos que estos deben diligenciar para cumplir con las obligaciones periódicas que la ley les impone frente a las Comisiones. </w:t>
      </w:r>
    </w:p>
    <w:p w14:paraId="4E3F877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63DB62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Cada Comisión deberá permitir que los agentes tengan acceso electrónico a los formatos antes mencionados, sin perjuicio que pueda establecer mecanismos de distribución. </w:t>
      </w:r>
    </w:p>
    <w:p w14:paraId="226497CD" w14:textId="345387A3"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133" w:name="ver_30076213"/>
      <w:bookmarkEnd w:id="2133"/>
    </w:p>
    <w:p w14:paraId="08205E7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2.3.6.3.1.4. Incorporación de medios técnicos. Las Comisiones de Regulación pondrán a disposición del público a través de medios electrónicos, las versiones de las leyes y actos administrativos publicados en el Diario Oficial, así como los documentos de interés público, relativos a sus competencias y funciones. </w:t>
      </w:r>
    </w:p>
    <w:p w14:paraId="00622A1A"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2134" w:name="ver_30076215"/>
      <w:bookmarkEnd w:id="2134"/>
      <w:r w:rsidRPr="009342F9">
        <w:rPr>
          <w:rFonts w:ascii="Arial" w:eastAsia="Times New Roman" w:hAnsi="Arial" w:cs="Arial"/>
          <w:color w:val="000000"/>
          <w:lang w:eastAsia="es-CO"/>
        </w:rPr>
        <w:lastRenderedPageBreak/>
        <w:t>Artículo 2.3.6.3.1.5. Publicidad sobre la contratación. Las Comisiones anunciarán la apertura de procesos de contratación a través de su página Web; podrán hacerlo, igualmente, mediante publicación en el Diario Oficial sin perjuicio del uso de cualquier otro medio. </w:t>
      </w:r>
    </w:p>
    <w:p w14:paraId="50F5E85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4DEEA4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Cuando de acuerdo con la normatividad se adelanten procesos de contratación directa, cada comisión informará a través de su página Web el nombre del contratista, el objeto, el alcance, el plazo y el valor del contrato. </w:t>
      </w:r>
    </w:p>
    <w:p w14:paraId="07739EA4" w14:textId="1E5FF78B" w:rsidR="0015442F" w:rsidRPr="009342F9" w:rsidRDefault="00FC79C1" w:rsidP="00672CC5">
      <w:pPr>
        <w:spacing w:after="0" w:line="240" w:lineRule="auto"/>
        <w:jc w:val="both"/>
        <w:rPr>
          <w:rFonts w:ascii="Arial" w:eastAsia="Times New Roman" w:hAnsi="Arial" w:cs="Arial"/>
          <w:b/>
          <w:bCs/>
          <w:color w:val="000000"/>
          <w:lang w:eastAsia="es-CO"/>
        </w:rPr>
      </w:pPr>
      <w:r w:rsidRPr="009342F9">
        <w:rPr>
          <w:rFonts w:ascii="Arial" w:eastAsia="Times New Roman" w:hAnsi="Arial" w:cs="Arial"/>
          <w:color w:val="000000"/>
          <w:lang w:eastAsia="es-CO"/>
        </w:rPr>
        <w:t>  </w:t>
      </w:r>
      <w:bookmarkStart w:id="2135" w:name="ver_30076216"/>
      <w:bookmarkEnd w:id="2135"/>
    </w:p>
    <w:p w14:paraId="6EE6FF80" w14:textId="43CC15F8" w:rsidR="00FC79C1" w:rsidRPr="009342F9" w:rsidRDefault="00FC79C1" w:rsidP="0015442F">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SECCIÓN 2</w:t>
      </w:r>
    </w:p>
    <w:p w14:paraId="2EE4C08C" w14:textId="77777777" w:rsidR="00FC79C1" w:rsidRPr="009342F9" w:rsidRDefault="00FC79C1" w:rsidP="0015442F">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AGENDA REGULATORIA</w:t>
      </w:r>
    </w:p>
    <w:p w14:paraId="18BB75D5"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2136" w:name="ver_30076217"/>
      <w:bookmarkEnd w:id="2136"/>
    </w:p>
    <w:p w14:paraId="6AA41DF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2.3.6.3.2.6. Plan estratégico y agenda regulatoria. Las Comisiones de Regulación tendrán la obligación de definir un plan estratégico para períodos mínimos de cinco (5) años y una agenda regulatoria anual de carácter indicativo. </w:t>
      </w:r>
    </w:p>
    <w:p w14:paraId="351F097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2BAE78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En la agenda regulatoria anual se precisarán los temas o los asuntos con sus respectivos cronogramas, que serán avocados por la Comisión durante dicho lapso, con sujeción a lo dispuesto por la ley, sin perjuicio que la Comisión pueda avocar el conocimiento y trámite de asuntos no contemplados en la agenda. </w:t>
      </w:r>
    </w:p>
    <w:p w14:paraId="4E8FD518" w14:textId="11860685"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137" w:name="ver_30076218"/>
      <w:bookmarkEnd w:id="2137"/>
    </w:p>
    <w:p w14:paraId="7EEEC91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2.3.6.3.2.7. Publicidad de la agenda regulatoria. Los proyectos de agenda regulatoria se harán públicos a más tardar el 30 de octubre de cada año. Los comentarios, debidamente sustentados, deberán allegarse dentro de los diez (10) días siguientes a la fecha de la publicación. </w:t>
      </w:r>
    </w:p>
    <w:p w14:paraId="29A478B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El Comité de Expertos presentará ante la Sesión de Comisión la agenda regulatoria y hará pública la versión definitiva a más tardar el 31 de diciembre de cada año. </w:t>
      </w:r>
    </w:p>
    <w:p w14:paraId="25B8529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B45F8C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El Comité de Expertos deberá informar y justificar en la Sesión de Comisión las modificaciones o ajustes que sufra la agenda regulatoria durante el año. A más tardar 15 días después de la modificación o ajuste, se hará pública la nueva versión de la agenda en la página Web de la respectiva Comisión. </w:t>
      </w:r>
    </w:p>
    <w:p w14:paraId="1A9BC0B7" w14:textId="3D75D002" w:rsidR="0015442F"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138" w:name="ver_30076219"/>
      <w:bookmarkEnd w:id="2138"/>
    </w:p>
    <w:p w14:paraId="383D7A53" w14:textId="7999C15B" w:rsidR="00FC79C1" w:rsidRPr="009342F9" w:rsidRDefault="00FC79C1" w:rsidP="0015442F">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SECCIÓN 3</w:t>
      </w:r>
    </w:p>
    <w:p w14:paraId="298A9DB7" w14:textId="77777777" w:rsidR="00FC79C1" w:rsidRPr="009342F9" w:rsidRDefault="00FC79C1" w:rsidP="0015442F">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RESOLUCIONES DE CARÁCTER GENERAL</w:t>
      </w:r>
    </w:p>
    <w:p w14:paraId="45D14DF9"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2139" w:name="ver_30076220"/>
      <w:bookmarkEnd w:id="2139"/>
    </w:p>
    <w:p w14:paraId="09A910C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2.3.6.3.3.8. Elaboración, expedición y vigencia de resoluciones de carácter general. Para expedir resoluciones de carácter general, las Comisiones harán los análisis técnicos, económicos y legales pertinentes. </w:t>
      </w:r>
    </w:p>
    <w:p w14:paraId="35F5EC3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674348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Se deberán conservar, junto con la decisión o propuesta, cuantos datos y documentos ofrezcan interés para conocer el proceso de elaboración de la norma o que puedan facilitar su interpretación. </w:t>
      </w:r>
    </w:p>
    <w:p w14:paraId="1C787134" w14:textId="77777777" w:rsidR="00672CC5" w:rsidRDefault="00672CC5" w:rsidP="00FC79C1">
      <w:pPr>
        <w:spacing w:after="0" w:line="240" w:lineRule="auto"/>
        <w:jc w:val="both"/>
        <w:rPr>
          <w:rFonts w:ascii="Arial" w:eastAsia="Times New Roman" w:hAnsi="Arial" w:cs="Arial"/>
          <w:color w:val="000000"/>
          <w:lang w:eastAsia="es-CO"/>
        </w:rPr>
      </w:pPr>
      <w:bookmarkStart w:id="2140" w:name="ver_30076221"/>
      <w:bookmarkEnd w:id="2140"/>
    </w:p>
    <w:p w14:paraId="2F7BD485" w14:textId="407325A8"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2.3.6.3.3.9. Publicidad de proyectos de regulaciones. Las Comisiones harán público en su página Web, con antelación no inferior a treinta (30) días a la fecha de su expedición, todos los proyectos de resoluciones de carácter general que pretendan adoptar, excepto los relativos a fórmulas tarifarias, en cuyo caso se seguirá el procedimiento previsto en los artículos 124 a 127 de la Ley 142 de 1994, reglamentado en el artículo 11 del presente capítulo. </w:t>
      </w:r>
    </w:p>
    <w:p w14:paraId="3C94AEC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F021EE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Parágrafo. Cada Comisión definirá y hará públicos los criterios, así como los casos en los cuales las disposiciones contenidas en el presente artículo no serán aplicables a resoluciones de carácter general. </w:t>
      </w:r>
    </w:p>
    <w:p w14:paraId="302D6BAA" w14:textId="77777777" w:rsidR="00672CC5" w:rsidRDefault="00672CC5" w:rsidP="00FC79C1">
      <w:pPr>
        <w:spacing w:after="0" w:line="240" w:lineRule="auto"/>
        <w:jc w:val="both"/>
        <w:rPr>
          <w:rFonts w:ascii="Arial" w:eastAsia="Times New Roman" w:hAnsi="Arial" w:cs="Arial"/>
          <w:color w:val="000000"/>
          <w:lang w:eastAsia="es-CO"/>
        </w:rPr>
      </w:pPr>
      <w:bookmarkStart w:id="2141" w:name="ver_30076222"/>
      <w:bookmarkEnd w:id="2141"/>
    </w:p>
    <w:p w14:paraId="47A3E2B6" w14:textId="6ADCB58A"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2.3.6.3.3.10. Contenido mínimo del documento que haga públicos los proyectos de regulación de carácter general, no tarifarios. Cuando se hagan públicos los proyectos de regulación de carácter general no tarifarios, se incluirán, por lo menos, los siguientes aspectos: </w:t>
      </w:r>
    </w:p>
    <w:p w14:paraId="753D3B9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9247AD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10.1 El texto del proyecto de resolución. </w:t>
      </w:r>
    </w:p>
    <w:p w14:paraId="178908D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F24A9D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10.2 La invitación explícita para que los agentes, los usuarios, la Superintendencia de Servicios Públicos Domiciliados para todos los temas y la Superintendencia de Industria y Comercio en lo que concierne a la prevención y control de prácticas comerciales restrictivas de la competencia, remitan observaciones o sugerencias a la propuesta divulgada. </w:t>
      </w:r>
    </w:p>
    <w:p w14:paraId="3C94B4D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FEA48D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10.3 La identificación de la dependencia administrativa y de las personas a quienes podrá solicitarse información sobre el proyecto y hacer llegar las observaciones, reparos o sugerencias, indicando tanto la dirección ordinaria y el teléfono, como el fax y dirección electrónica si la hubiere. </w:t>
      </w:r>
    </w:p>
    <w:p w14:paraId="49F9247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5F7CFB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10.4 El término para la recepción de las observaciones, reparos o sugerencias no podrá ser menor a diez (10) días hábiles, contados a partir de la fecha en que se haga público el proyecto de regulación. Este plazo podrá prorrogarse por solicitud de parte u oficiosamente. </w:t>
      </w:r>
    </w:p>
    <w:p w14:paraId="3EE7FF4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538834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10.5 Los soportes técnicos. </w:t>
      </w:r>
    </w:p>
    <w:p w14:paraId="4411481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60823A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El Comité de Expertos deberá elaborar el documento final que servirá de base para la toma de la decisión y los integrantes de cada Comisión evaluarán este documento y los comentarios, las informaciones, los estudios y las propuestas allegadas al procedimiento. </w:t>
      </w:r>
    </w:p>
    <w:p w14:paraId="614D84F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5F26E1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El documento que elaborará el Comité de Expertos de cada Comisión contendrá las razones por las cuales se aceptan o rechazan las propuestas formuladas y podrá agrupar las observaciones, sugerencias y propuestas alternativas en categorías de argumentos. </w:t>
      </w:r>
    </w:p>
    <w:p w14:paraId="70754B7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EDC93D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Cuando se expidan las resoluciones, en la parte motiva se hará mención del documento en el cual cada Comisión revisó los comentarios recibidos y expuso las razones para aceptar o desechar las observaciones, reparos y sugerencias que no se hayan incorporado. Durante el día hábil siguiente al de la publicación de la resolución en el Diario Oficial, se hará público el documento correspondiente al que se refiere este parágrafo. </w:t>
      </w:r>
    </w:p>
    <w:p w14:paraId="46AF27B6" w14:textId="2C3A85E4"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142" w:name="ver_30076223"/>
      <w:bookmarkEnd w:id="2142"/>
    </w:p>
    <w:p w14:paraId="4893515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2.3.6.3.3.11. Reglas especiales de difusión para la adopción de fórmulas tarifarias con una vigencia de cinco años. Cuando cada una de las Comisiones adopte fórmulas tarifarias con una vigencia de cinco años, de acuerdo con lo establecido en los artículos 126 y 127 de la Ley 142 de 1994, deberá observar las siguientes reglas: </w:t>
      </w:r>
    </w:p>
    <w:p w14:paraId="56A3BFA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2FD70F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11.1 Antes de doce (12) meses de la fecha prevista para que termine la vigencia de las fórmulas tarifarias, cada Comisión deberá poner en conocimiento de las entidades prestadoras y de los usuarios, las bases sobre las cuales efectuará el estudio para determinar las fórmulas del período siguiente. </w:t>
      </w:r>
    </w:p>
    <w:p w14:paraId="2FE2BB9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844961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11.2 Las bases sobre las cuales se efectuará el estudio para determinar las fórmulas deberán cubrir como mínimo los siguientes puntos: </w:t>
      </w:r>
    </w:p>
    <w:p w14:paraId="6A3E7CD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A49374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 Aspectos generales del tipo de regulación a aplicar; </w:t>
      </w:r>
    </w:p>
    <w:p w14:paraId="65DB58F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AF0ED6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Aspectos básicos del criterio de eficiencia; </w:t>
      </w:r>
    </w:p>
    <w:p w14:paraId="77D02A9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7FE8FB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Criterios para temas relacionados con costos y gastos; </w:t>
      </w:r>
    </w:p>
    <w:p w14:paraId="4BDD180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BEED01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Criterios relacionados con calidad del servicio; </w:t>
      </w:r>
    </w:p>
    <w:p w14:paraId="13B26B5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ECB84E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5. Criterios para remunerar el patrimonio de los accionistas; </w:t>
      </w:r>
    </w:p>
    <w:p w14:paraId="20B6452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B8865C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6. Los demás criterios tarifarios contenidos en la ley. </w:t>
      </w:r>
    </w:p>
    <w:p w14:paraId="0AB45C8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44D8DF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11.3 Los resultados obtenidos del estudio que se adelante para la adopción de las fórmulas a las que se refiere el presente artículo, se harán públicos a medida que sean recibidos por la respectiva Comisión, advirtiendo que son elementos de juicio para esta y que, en consecuencia, no la comprometen. </w:t>
      </w:r>
    </w:p>
    <w:p w14:paraId="6E4C130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78396C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11.4 Tres (3) meses antes de la fecha prevista para que inicie el periodo de vigencia de las fórmulas tarifarias, se deberán hacer públicos en la página Web de la Comisión correspondiente los proyectos de metodologías y de fórmulas, los estudios respectivos y los textos de los proyectos de resoluciones. </w:t>
      </w:r>
    </w:p>
    <w:p w14:paraId="0E3C9EB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6A1E2D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Adicionalmente, el Comité de Expertos deberá preparar un documento con una explicación en lenguaje sencillo sobre el alcance de la propuesta de fórmulas tarifarias. Este documento se remitirá a los Gobernadores, quienes se encargarán de divulgarlo. Este documento deberá contener una invitación para que los interesados consulten a través de la página Web de la Comisión correspondiente, los proyectos de metodologías y de fórmulas, los estudios respectivos y los textos de los proyectos de resoluciones. </w:t>
      </w:r>
    </w:p>
    <w:p w14:paraId="4B89395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A6883A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11.5 Cada Comisión organizará consultas públicas, en distintos distritos y municipios, durante un período que comience en la misma fecha en que se remita la información a los Gobernadores y termine dos (2) meses después. Las consultas públicas tendrán entre sus propósitos el de lograr la participación de los usuarios. </w:t>
      </w:r>
    </w:p>
    <w:p w14:paraId="468FBCD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34B704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 asistencia y las reglas para estas consultas son: </w:t>
      </w:r>
    </w:p>
    <w:p w14:paraId="501EF8C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F3BECB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Serán convocadas por el Director Ejecutivo de la respectiva Comisión por lo menos con 10 días de antelación, indicando el tema, la metodología, el día, la hora, el lugar de realización, el plazo y los requisitos de inscripción. </w:t>
      </w:r>
    </w:p>
    <w:p w14:paraId="48F45E2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1CCD0D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Podrán intervenir los representantes de las personas prestadoras de los servicios objeto de la decisión; los vocales de los comités de control social de los servicios públicos que fueren debidamente acreditados; los representantes legales de las ligas o de las asociaciones de consumidores; los representantes legales de las organizaciones gremiales; y los delegados de las universidades y centros de investigación y los usuarios. </w:t>
      </w:r>
    </w:p>
    <w:p w14:paraId="0973A2D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439EAF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Para intervenir, los interesados deberán inscribirse y radicar con una anticipación no inferior a dos (2) días hábiles a su realización, el documento que servirá de base para su exposición, el cual deberá relacionarse directamente con la materia objeto de la consulta pública. </w:t>
      </w:r>
    </w:p>
    <w:p w14:paraId="2CF6F02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868B2E9"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 consulta será grabada y esta grabación se conservará como memoria de lo ocurrido. </w:t>
      </w:r>
    </w:p>
    <w:p w14:paraId="03A44FD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197B19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Una vez terminada la consulta, el </w:t>
      </w:r>
      <w:proofErr w:type="gramStart"/>
      <w:r w:rsidRPr="009342F9">
        <w:rPr>
          <w:rFonts w:ascii="Arial" w:eastAsia="Times New Roman" w:hAnsi="Arial" w:cs="Arial"/>
          <w:color w:val="000000"/>
          <w:lang w:eastAsia="es-CO"/>
        </w:rPr>
        <w:t>Secretario</w:t>
      </w:r>
      <w:proofErr w:type="gramEnd"/>
      <w:r w:rsidRPr="009342F9">
        <w:rPr>
          <w:rFonts w:ascii="Arial" w:eastAsia="Times New Roman" w:hAnsi="Arial" w:cs="Arial"/>
          <w:color w:val="000000"/>
          <w:lang w:eastAsia="es-CO"/>
        </w:rPr>
        <w:t xml:space="preserve"> levantará una memoria escrita en la cual se incorporarán los documentos presentados y los principales puntos que fueron objeto de debate. </w:t>
      </w:r>
    </w:p>
    <w:p w14:paraId="4385AAF4"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9FC211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11.6 El Comité de Expertos deberá elaborar el documento final que servirá de base para la toma de la decisión y los integrantes de cada Comisión evaluarán este documento, las memorias escritas de las consultas públicas, los comentarios, las informaciones, los estudios y las propuestas allegadas al procedimiento. </w:t>
      </w:r>
    </w:p>
    <w:p w14:paraId="588E500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6A0693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El documento que elaborará el Comité de Expertos de cada Comisión contendrá las razones por las cuales se aceptan o rechazan las propuestas formuladas y evaluará las memorias escritas de las consultas públicas. Para tal efecto podrá agrupar las observaciones, sugerencias y propuestas alternativas en categorías de argumentos. </w:t>
      </w:r>
    </w:p>
    <w:p w14:paraId="32F152E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F070FC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Cuando se expidan las resoluciones, en la parte motiva se hará mención del documento en el cual cada Comisión revisó los comentarios recibidos y expuso las razones para desechar las observaciones, reparos y sugerencias que no se hayan incorporado. Durante el día hábil siguiente al de la publicación de la resolución correspondiente en el Diario Oficial, se hará público el documento al que se refiere este numeral. </w:t>
      </w:r>
    </w:p>
    <w:p w14:paraId="7CF65D8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26DE78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11.7 El Sistema Único de Información, SUI, tendrá un módulo que contendrá la información sobre las organizaciones que expresen su voluntad de colaborar con los usuarios para el entendimiento de los proyectos de resolución. El Sistema Único de Información divulgará los nombres y las direcciones de tales organizaciones, sin que la disponibilidad de esta información lo haga responsable por su idoneidad. Las relaciones entre tales organizaciones y los usuarios serán de exclusiva incumbencia de unas y otros y no generará responsabilidad alguna para el Sistema Único de Información, SUI. </w:t>
      </w:r>
    </w:p>
    <w:p w14:paraId="1D57A21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5F174B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Compilación de regulaciones de carácter general. Con el propósito de facilitar la consulta de la regulación vigente de carácter general, sin que sea una codificación, las Comisiones compilarán, cada dos años, con numeración continua y divididas temáticamente, las resoluciones de carácter general que hayan sido expedidas. Se podrán establecer excepciones en esta compilación en el caso de resoluciones de carácter transitorio. </w:t>
      </w:r>
    </w:p>
    <w:p w14:paraId="2FC2DA39" w14:textId="5CB1E470"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143" w:name="ver_30076224"/>
      <w:bookmarkEnd w:id="2143"/>
    </w:p>
    <w:p w14:paraId="613A9A5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2.3.6.3.3.12. Compilación de regulaciones de carácter general. Con el propósito de facilitar la consulta de la regulación vigente de carácter general, sin que sea una codificación, las Comisiones compilarán, cada dos años, con numeración continua y divididas temáticamente, las resoluciones de carácter general que hayan sido expedidas. Se podrán establecer excepciones en esta compilación en el caso de resoluciones de carácter transitorio. </w:t>
      </w:r>
    </w:p>
    <w:p w14:paraId="0DB653B3" w14:textId="5D467C71" w:rsidR="0015442F"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144" w:name="ver_30076225"/>
      <w:bookmarkEnd w:id="2144"/>
    </w:p>
    <w:p w14:paraId="4F8786AD" w14:textId="643CDB4F" w:rsidR="00FC79C1" w:rsidRPr="009342F9" w:rsidRDefault="00FC79C1" w:rsidP="0015442F">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SECCIÓN 4</w:t>
      </w:r>
    </w:p>
    <w:p w14:paraId="1D4672E4" w14:textId="77777777" w:rsidR="00FC79C1" w:rsidRPr="009342F9" w:rsidRDefault="00FC79C1" w:rsidP="0015442F">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INFORME DE GESTIÓN Y DE RESULTADOS</w:t>
      </w:r>
    </w:p>
    <w:p w14:paraId="32B258B7"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2145" w:name="ver_30076226"/>
      <w:bookmarkEnd w:id="2145"/>
    </w:p>
    <w:p w14:paraId="7F022DA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2.3.6.3.4.13. Informe de gestión y de resultados. A más tardar en el mes de marzo de cada año, las Comisiones rendirán cuentas de su respectiva gestión, para lo cual cada una elaborará un informe que describa las actividades desarrolladas durante el año anterior, la </w:t>
      </w:r>
      <w:r w:rsidRPr="009342F9">
        <w:rPr>
          <w:rFonts w:ascii="Arial" w:eastAsia="Times New Roman" w:hAnsi="Arial" w:cs="Arial"/>
          <w:color w:val="000000"/>
          <w:lang w:eastAsia="es-CO"/>
        </w:rPr>
        <w:lastRenderedPageBreak/>
        <w:t>evaluación del cumplimiento de la agenda regulatoria anual, el estado de los procesos judiciales, la ejecución presupuestal, la contratación y otros temas de interés público. </w:t>
      </w:r>
    </w:p>
    <w:p w14:paraId="119F7E2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EB8318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Cada tres (3) años, el informe incluirá un estudio del impacto del marco regulatorio en su conjunto, sobre la sostenibilidad, viabilidad y dinámica del sector respectivo. Dicho estudio será elaborado con Términos de Referencia propuestos por cada Comisión, que serán sometidos a los mismos procedimientos de consulta previstos en el artículo 2.3.6.3.3.10 del presente capítulo. </w:t>
      </w:r>
    </w:p>
    <w:p w14:paraId="6B50F62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C0169B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Cuando el informe de rendición de cuentas haya sido presentado ante la Sesión de Comisión por parte del </w:t>
      </w:r>
      <w:proofErr w:type="gramStart"/>
      <w:r w:rsidRPr="009342F9">
        <w:rPr>
          <w:rFonts w:ascii="Arial" w:eastAsia="Times New Roman" w:hAnsi="Arial" w:cs="Arial"/>
          <w:color w:val="000000"/>
          <w:lang w:eastAsia="es-CO"/>
        </w:rPr>
        <w:t>Director Ejecutivo</w:t>
      </w:r>
      <w:proofErr w:type="gramEnd"/>
      <w:r w:rsidRPr="009342F9">
        <w:rPr>
          <w:rFonts w:ascii="Arial" w:eastAsia="Times New Roman" w:hAnsi="Arial" w:cs="Arial"/>
          <w:color w:val="000000"/>
          <w:lang w:eastAsia="es-CO"/>
        </w:rPr>
        <w:t xml:space="preserve"> correspondiente, será remitido al Presidente de la República. </w:t>
      </w:r>
    </w:p>
    <w:p w14:paraId="7D41D9C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24BFBD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Adicionalmente, el informe será publicado en la página Web de la Comisión respectiva dentro de los cinco (5) días hábiles siguientes a su envío. </w:t>
      </w:r>
    </w:p>
    <w:p w14:paraId="20C896D1" w14:textId="5B3710B4" w:rsidR="0015442F"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146" w:name="ver_30076227"/>
      <w:bookmarkEnd w:id="2146"/>
    </w:p>
    <w:p w14:paraId="2242F88B" w14:textId="26B5A005" w:rsidR="00FC79C1" w:rsidRPr="009342F9" w:rsidRDefault="00FC79C1" w:rsidP="0015442F">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SECCIÓN 5</w:t>
      </w:r>
    </w:p>
    <w:p w14:paraId="7E45C402" w14:textId="77777777" w:rsidR="00FC79C1" w:rsidRPr="009342F9" w:rsidRDefault="00FC79C1" w:rsidP="0015442F">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DISPOSICIONES FINALES</w:t>
      </w:r>
    </w:p>
    <w:p w14:paraId="557D86EC"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2147" w:name="ver_30076228"/>
      <w:bookmarkEnd w:id="2147"/>
    </w:p>
    <w:p w14:paraId="4BADF1D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2.3.6.3.5.14. Presentación de comentarios y sugerencias a proyectos de resolución fuera de la Capital de la República. Los interesados que residan en una ciudad diferente a la Capital de la </w:t>
      </w:r>
      <w:proofErr w:type="gramStart"/>
      <w:r w:rsidRPr="009342F9">
        <w:rPr>
          <w:rFonts w:ascii="Arial" w:eastAsia="Times New Roman" w:hAnsi="Arial" w:cs="Arial"/>
          <w:color w:val="000000"/>
          <w:lang w:eastAsia="es-CO"/>
        </w:rPr>
        <w:t>República,</w:t>
      </w:r>
      <w:proofErr w:type="gramEnd"/>
      <w:r w:rsidRPr="009342F9">
        <w:rPr>
          <w:rFonts w:ascii="Arial" w:eastAsia="Times New Roman" w:hAnsi="Arial" w:cs="Arial"/>
          <w:color w:val="000000"/>
          <w:lang w:eastAsia="es-CO"/>
        </w:rPr>
        <w:t xml:space="preserve"> pueden presentar sus comentarios o sugerencias a los proyectos de Resolución. Las Comisiones celebrarán convenios con la Superintendencia de Servicios Públicos Domiciliarios para que los comentarios o sugerencias sean recibidos a través de las dependencias regionales o seccionales de este organismo. En todo caso, los escritos deberán ser remitidos a la Comisión respectiva dentro de los términos previstos en el presente capítulo. </w:t>
      </w:r>
    </w:p>
    <w:p w14:paraId="64F9F0CC" w14:textId="44C04C0F"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148" w:name="ver_30189463"/>
      <w:bookmarkStart w:id="2149" w:name="ver_30076229"/>
      <w:bookmarkEnd w:id="2148"/>
    </w:p>
    <w:p w14:paraId="6397B92B" w14:textId="4A4E8FD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2.3.6.3.5.15. (Artículo 16 del Decreto 2696 de 2004 adicionado por el artículo 1° del Decreto 5051 de 2009.) Reglas de difusión en casos excepcionales. En los casos en que se presente disminución en los niveles de precipitación ocasionados por fenómenos naturales, la Comisión de Regulación de Agua Potable y Saneamiento Básico expedirá Resoluciones de Carácter General orientadas a incentivar el uso eficiente y de ahorro de agua. La resolución será publicada en la página web de la Comisión de Regulación de Agua Potable y Saneamiento Básico con antelación no inferior a diez (10) días calendario de la fecha de expedición, con el fin de recibir las observaciones, reparos o sugerencias a que hubiere lugar en los términos señalados en el presente capítulo. </w:t>
      </w:r>
    </w:p>
    <w:p w14:paraId="42F1029F" w14:textId="77777777" w:rsidR="0015442F" w:rsidRPr="009342F9" w:rsidRDefault="0015442F" w:rsidP="00FC79C1">
      <w:pPr>
        <w:spacing w:after="0" w:line="240" w:lineRule="auto"/>
        <w:jc w:val="both"/>
        <w:rPr>
          <w:rFonts w:ascii="Arial" w:eastAsia="Times New Roman" w:hAnsi="Arial" w:cs="Arial"/>
          <w:color w:val="000000"/>
          <w:lang w:eastAsia="es-CO"/>
        </w:rPr>
      </w:pPr>
    </w:p>
    <w:p w14:paraId="4EA7988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Por condiciones de variabilidad climática de carácter regional asociada a déficits de los niveles de precipitación en el país, de acuerdo con información aportada por</w:t>
      </w:r>
      <w:r w:rsidRPr="009342F9">
        <w:rPr>
          <w:rFonts w:ascii="Arial" w:eastAsia="Times New Roman" w:hAnsi="Arial" w:cs="Arial"/>
          <w:color w:val="000000"/>
          <w:lang w:eastAsia="es-CO"/>
        </w:rPr>
        <w:br/>
        <w:t>el Instituto de Hidrología, Meteorología y Estudios Ambientales (</w:t>
      </w:r>
      <w:proofErr w:type="spellStart"/>
      <w:r w:rsidRPr="009342F9">
        <w:rPr>
          <w:rFonts w:ascii="Arial" w:eastAsia="Times New Roman" w:hAnsi="Arial" w:cs="Arial"/>
          <w:color w:val="000000"/>
          <w:lang w:eastAsia="es-CO"/>
        </w:rPr>
        <w:t>Ideam</w:t>
      </w:r>
      <w:proofErr w:type="spellEnd"/>
      <w:r w:rsidRPr="009342F9">
        <w:rPr>
          <w:rFonts w:ascii="Arial" w:eastAsia="Times New Roman" w:hAnsi="Arial" w:cs="Arial"/>
          <w:color w:val="000000"/>
          <w:lang w:eastAsia="es-CO"/>
        </w:rPr>
        <w:t>), la Comisión de Regulación de Agua Potable y Saneamiento Básico (CRA) expedirá Resoluciones de Carácter General orientadas a incentivar el uso eficiente y de ahorro de agua. Las resoluciones serán publicadas en la página web de la Comisión de Regulación de Agua Potable y Saneamiento Básico con antelación no inferior a diez (10) días calendario de la fecha de expedición, con el fin de recibir las observaciones, reparos o sugerencias a que hubiere lugar en los términos señalados en el presente capítulo. </w:t>
      </w:r>
    </w:p>
    <w:p w14:paraId="0E92B70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CE1655A" w14:textId="77777777" w:rsidR="00FC79C1" w:rsidRPr="009342F9" w:rsidRDefault="00FC79C1" w:rsidP="0015442F">
      <w:pPr>
        <w:spacing w:after="0" w:line="240" w:lineRule="auto"/>
        <w:jc w:val="center"/>
        <w:rPr>
          <w:rFonts w:ascii="Arial" w:eastAsia="Times New Roman" w:hAnsi="Arial" w:cs="Arial"/>
          <w:b/>
          <w:bCs/>
          <w:color w:val="000000"/>
          <w:lang w:eastAsia="es-CO"/>
        </w:rPr>
      </w:pPr>
      <w:bookmarkStart w:id="2150" w:name="ver_30124963"/>
      <w:bookmarkEnd w:id="2149"/>
      <w:bookmarkEnd w:id="2150"/>
      <w:r w:rsidRPr="009342F9">
        <w:rPr>
          <w:rFonts w:ascii="Arial" w:eastAsia="Times New Roman" w:hAnsi="Arial" w:cs="Arial"/>
          <w:b/>
          <w:bCs/>
          <w:color w:val="000000"/>
          <w:lang w:eastAsia="es-CO"/>
        </w:rPr>
        <w:t>CAPÍTULO 2</w:t>
      </w:r>
    </w:p>
    <w:p w14:paraId="3DF9F567" w14:textId="77777777" w:rsidR="00FC79C1" w:rsidRPr="009342F9" w:rsidRDefault="00FC79C1" w:rsidP="0015442F">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PRESTACIÓN DE LOS SERVICIOS DE ACUEDUCTO, ALCANTARILLADO O ASEO EN EL SUELO URBANO SECCIÓN 1 PARTE GENERAL</w:t>
      </w:r>
    </w:p>
    <w:p w14:paraId="394843BD"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2151" w:name="ver_30124964"/>
      <w:bookmarkEnd w:id="2151"/>
    </w:p>
    <w:p w14:paraId="245B82E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2.3.7.2.1.1. Objeto. El presente capítulo tiene por objeto establecer las condiciones para la prestación de los servicios públicos de acueducto, alcantarillado o aseo dentro del suelo urbano </w:t>
      </w:r>
      <w:r w:rsidRPr="009342F9">
        <w:rPr>
          <w:rFonts w:ascii="Arial" w:eastAsia="Times New Roman" w:hAnsi="Arial" w:cs="Arial"/>
          <w:color w:val="000000"/>
          <w:lang w:eastAsia="es-CO"/>
        </w:rPr>
        <w:lastRenderedPageBreak/>
        <w:t>de un municipio o distrito, mediante la definición de esquemas diferenciales en áreas de difícil gestión, zonas de difícil acceso y áreas de prestación, en las cuales por condiciones particulares no puedan alcanzarse los estándares de eficiencia, cobertura y calidad establecidos en la normatividad vigente. </w:t>
      </w:r>
    </w:p>
    <w:p w14:paraId="65B99834"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2152" w:name="ver_30124966"/>
      <w:bookmarkEnd w:id="2152"/>
    </w:p>
    <w:p w14:paraId="1C10FD4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2.3.7.2.1.2. Ámbito de aplicación. Esta reglamentación se aplica a las personas prestadoras de los servicios públicos de acueducto, alcantarillado o aseo, a los suscriptores, a los usuarios, a las entidades territoriales, a la Comisión de Regulación de Agua Potable y Saneamiento Básico, a la Superintendencia de Servicios Públicos Domiciliarios, y a las demás entidades que tengan competencias con la prestación de estos servicios en suelo urbano. </w:t>
      </w:r>
    </w:p>
    <w:p w14:paraId="52D04B7A"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2153" w:name="ver_30124970"/>
      <w:bookmarkEnd w:id="2153"/>
    </w:p>
    <w:p w14:paraId="1BEC6F40"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2.3.7.2.1.3. Esquema diferencial. Para efectos de la aplicación de lo dispuesto en el presente capítulo, un esquema diferencial de prestación de los servicios públicos de acueducto, alcantarillado o </w:t>
      </w:r>
      <w:proofErr w:type="gramStart"/>
      <w:r w:rsidRPr="009342F9">
        <w:rPr>
          <w:rFonts w:ascii="Arial" w:eastAsia="Times New Roman" w:hAnsi="Arial" w:cs="Arial"/>
          <w:color w:val="000000"/>
          <w:lang w:eastAsia="es-CO"/>
        </w:rPr>
        <w:t>aseo,</w:t>
      </w:r>
      <w:proofErr w:type="gramEnd"/>
      <w:r w:rsidRPr="009342F9">
        <w:rPr>
          <w:rFonts w:ascii="Arial" w:eastAsia="Times New Roman" w:hAnsi="Arial" w:cs="Arial"/>
          <w:color w:val="000000"/>
          <w:lang w:eastAsia="es-CO"/>
        </w:rPr>
        <w:t xml:space="preserve"> es un conjunto de condiciones técnicas, operativas, jurídicas, sociales y de gestión para permitir el acceso al agua apta para el consumo humano y al saneamiento básico en un área o zona determinada del suelo urbano, atendiendo a sus condiciones particulares. </w:t>
      </w:r>
    </w:p>
    <w:p w14:paraId="65BF4645" w14:textId="77777777" w:rsidR="0015442F" w:rsidRPr="009342F9" w:rsidRDefault="0015442F" w:rsidP="0015442F">
      <w:pPr>
        <w:spacing w:after="0" w:line="240" w:lineRule="auto"/>
        <w:jc w:val="center"/>
        <w:rPr>
          <w:rFonts w:ascii="Arial" w:eastAsia="Times New Roman" w:hAnsi="Arial" w:cs="Arial"/>
          <w:b/>
          <w:bCs/>
          <w:color w:val="000000"/>
          <w:lang w:eastAsia="es-CO"/>
        </w:rPr>
      </w:pPr>
      <w:bookmarkStart w:id="2154" w:name="ver_30124975"/>
      <w:bookmarkEnd w:id="2154"/>
    </w:p>
    <w:p w14:paraId="58749B40" w14:textId="32FE6D99" w:rsidR="00FC79C1" w:rsidRPr="009342F9" w:rsidRDefault="00FC79C1" w:rsidP="0015442F">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SECCIÓN 2</w:t>
      </w:r>
    </w:p>
    <w:p w14:paraId="0C74DE83" w14:textId="77777777" w:rsidR="00FC79C1" w:rsidRPr="009342F9" w:rsidRDefault="00FC79C1" w:rsidP="0015442F">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ESQUEMAS DIFERENCIALES DE PRESTACIÓN DE LOS SERVICIOS DE ACUEDUCTO, ALCANTARILLADO O ASEO EN EL SUELO URBANO SUBSECCIÓN 1</w:t>
      </w:r>
    </w:p>
    <w:p w14:paraId="7A890F85" w14:textId="77777777" w:rsidR="00FC79C1" w:rsidRPr="009342F9" w:rsidRDefault="00FC79C1" w:rsidP="0015442F">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ESQUEMAS DIFERENCIALES DE PRESTACIÓN EN ÁREAS DE DIFICIL GESTIÓN</w:t>
      </w:r>
    </w:p>
    <w:p w14:paraId="7725498A"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2155" w:name="ver_30124978"/>
      <w:bookmarkEnd w:id="2155"/>
    </w:p>
    <w:p w14:paraId="6C832672" w14:textId="77777777" w:rsidR="00FC79C1" w:rsidRPr="009342F9" w:rsidRDefault="00FC79C1" w:rsidP="00FC79C1">
      <w:pPr>
        <w:spacing w:after="0" w:line="240" w:lineRule="auto"/>
        <w:ind w:left="1"/>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2.3.7.2.2.1.1. Áreas de difícil gestión. Son aquellas áreas dentro del suelo urbano de un municipio o distrito que reciben un tratamiento de mejoramiento integral en los planes de ordenamiento territorial; o hayan sido objeto o sean susceptibles de legalización urbanística; en donde no se pueden alcanzar los estándares de eficiencia, cobertura o calidad para la prestación de los servicios públicos de acueducto, alcantarillado o aseo, en los plazos y condiciones establecidas en la regulación expedida por la Comisión de Regulación de Agua Potable y Saneamiento Básico. Para el efecto, la prestación de los servicios públicos de acueducto, alcantarillado o aseo se podrá realizar en las condiciones diferenciales establecidas en el artículo 2.3.7.2.2.1.6. de esta subsección. </w:t>
      </w:r>
    </w:p>
    <w:p w14:paraId="7E66D23B"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2156" w:name="ver_30124990"/>
      <w:bookmarkEnd w:id="2156"/>
    </w:p>
    <w:p w14:paraId="499C1426" w14:textId="77777777" w:rsidR="00FC79C1" w:rsidRPr="009342F9" w:rsidRDefault="00FC79C1" w:rsidP="00FC79C1">
      <w:pPr>
        <w:spacing w:after="0" w:line="240" w:lineRule="auto"/>
        <w:ind w:left="-14"/>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2.3.7.2.2.1.2. Requisitos para aplicar un esquema diferencial en áreas de difícil gestión. La persona prestadora interesada en aplicar un esquema diferencial en áreas de difícil </w:t>
      </w:r>
      <w:proofErr w:type="gramStart"/>
      <w:r w:rsidRPr="009342F9">
        <w:rPr>
          <w:rFonts w:ascii="Arial" w:eastAsia="Times New Roman" w:hAnsi="Arial" w:cs="Arial"/>
          <w:color w:val="000000"/>
          <w:lang w:eastAsia="es-CO"/>
        </w:rPr>
        <w:t>gestión,</w:t>
      </w:r>
      <w:proofErr w:type="gramEnd"/>
      <w:r w:rsidRPr="009342F9">
        <w:rPr>
          <w:rFonts w:ascii="Arial" w:eastAsia="Times New Roman" w:hAnsi="Arial" w:cs="Arial"/>
          <w:color w:val="000000"/>
          <w:lang w:eastAsia="es-CO"/>
        </w:rPr>
        <w:t xml:space="preserve"> deberá cumplir con los siguientes requisitos, los cuales deberá reportar en el Sistema Único de Información (SUI) administrado por la Superintendencia de Servicios Públicos Domiciliarios:  </w:t>
      </w:r>
    </w:p>
    <w:p w14:paraId="03BDD33F" w14:textId="77777777" w:rsidR="00FC79C1" w:rsidRPr="009342F9" w:rsidRDefault="00FC79C1" w:rsidP="00FC79C1">
      <w:pPr>
        <w:spacing w:after="0" w:line="240" w:lineRule="auto"/>
        <w:ind w:left="-14"/>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45DB868" w14:textId="76AD3CE2" w:rsidR="00FC79C1" w:rsidRPr="009342F9" w:rsidRDefault="00FC79C1" w:rsidP="00FC79C1">
      <w:pPr>
        <w:numPr>
          <w:ilvl w:val="0"/>
          <w:numId w:val="10"/>
        </w:num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Indicar el servicio o servicios que serán sujetos del esquema diferencial.</w:t>
      </w:r>
    </w:p>
    <w:p w14:paraId="6F05AC19" w14:textId="77777777" w:rsidR="0015442F" w:rsidRPr="009342F9" w:rsidRDefault="0015442F" w:rsidP="0015442F">
      <w:pPr>
        <w:spacing w:after="0" w:line="240" w:lineRule="auto"/>
        <w:ind w:left="720"/>
        <w:jc w:val="both"/>
        <w:rPr>
          <w:rFonts w:ascii="Arial" w:eastAsia="Times New Roman" w:hAnsi="Arial" w:cs="Arial"/>
          <w:color w:val="000000"/>
          <w:lang w:eastAsia="es-CO"/>
        </w:rPr>
      </w:pPr>
    </w:p>
    <w:p w14:paraId="3A78412D" w14:textId="47A840FB" w:rsidR="00FC79C1" w:rsidRPr="009342F9" w:rsidRDefault="00FC79C1" w:rsidP="00FC79C1">
      <w:pPr>
        <w:numPr>
          <w:ilvl w:val="0"/>
          <w:numId w:val="10"/>
        </w:num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Las condiciones en que se prestarán los servicios públicos de acueducto, alcantarillado o aseo, conforme lo establecido en el artículo 2.3.7.2.2.1.6. de la presente subsección.</w:t>
      </w:r>
    </w:p>
    <w:p w14:paraId="3133548B" w14:textId="77777777" w:rsidR="0015442F" w:rsidRPr="009342F9" w:rsidRDefault="0015442F" w:rsidP="0015442F">
      <w:pPr>
        <w:spacing w:after="0" w:line="240" w:lineRule="auto"/>
        <w:ind w:left="720"/>
        <w:jc w:val="both"/>
        <w:rPr>
          <w:rFonts w:ascii="Arial" w:eastAsia="Times New Roman" w:hAnsi="Arial" w:cs="Arial"/>
          <w:color w:val="000000"/>
          <w:lang w:eastAsia="es-CO"/>
        </w:rPr>
      </w:pPr>
    </w:p>
    <w:p w14:paraId="32693B8F" w14:textId="193F27D9" w:rsidR="00FC79C1" w:rsidRPr="009342F9" w:rsidRDefault="00FC79C1" w:rsidP="00FC79C1">
      <w:pPr>
        <w:numPr>
          <w:ilvl w:val="0"/>
          <w:numId w:val="10"/>
        </w:num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Certificación expedida por el Alcalde Municipal o Distrital o por el funcionario municipal o distrital competente para ello, donde se señalen las áreas de difícil gestión que serán objeto de procesos de mejoramiento integral o de legalización urbanística conforme al Plan de Desarrollo Municipal o Distrital y al Plan de Ordenamiento Territorial, para lo cual deberá contar con el soporte de la ubicación geográfica.</w:t>
      </w:r>
    </w:p>
    <w:p w14:paraId="26E87106" w14:textId="77777777" w:rsidR="0015442F" w:rsidRPr="009342F9" w:rsidRDefault="0015442F" w:rsidP="0015442F">
      <w:pPr>
        <w:spacing w:after="0" w:line="240" w:lineRule="auto"/>
        <w:ind w:left="720"/>
        <w:jc w:val="both"/>
        <w:rPr>
          <w:rFonts w:ascii="Arial" w:eastAsia="Times New Roman" w:hAnsi="Arial" w:cs="Arial"/>
          <w:color w:val="000000"/>
          <w:lang w:eastAsia="es-CO"/>
        </w:rPr>
      </w:pPr>
    </w:p>
    <w:p w14:paraId="0A1E991F" w14:textId="77777777" w:rsidR="00FC79C1" w:rsidRPr="009342F9" w:rsidRDefault="00FC79C1" w:rsidP="00FC79C1">
      <w:pPr>
        <w:numPr>
          <w:ilvl w:val="0"/>
          <w:numId w:val="10"/>
        </w:num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Convenio suscrito entre la persona prestadora y la entidad territorial, donde se determinen las obligaciones de las partes en la aplicación del esquema diferencial,</w:t>
      </w:r>
    </w:p>
    <w:p w14:paraId="52E4E844" w14:textId="77777777" w:rsidR="00FC79C1" w:rsidRPr="009342F9" w:rsidRDefault="00FC79C1" w:rsidP="00FC79C1">
      <w:pPr>
        <w:spacing w:after="0" w:line="240" w:lineRule="auto"/>
        <w:ind w:left="567"/>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acorde con las medidas adoptadas en el municipio para la legalización urbanística o mejoramiento integral.  </w:t>
      </w:r>
    </w:p>
    <w:p w14:paraId="32AF66C6" w14:textId="77777777" w:rsidR="00FC79C1" w:rsidRPr="009342F9" w:rsidRDefault="00FC79C1" w:rsidP="00FC79C1">
      <w:pPr>
        <w:spacing w:after="0" w:line="240" w:lineRule="auto"/>
        <w:ind w:left="567"/>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E068D41" w14:textId="77777777" w:rsidR="00FC79C1" w:rsidRPr="009342F9" w:rsidRDefault="00FC79C1" w:rsidP="00FC79C1">
      <w:pPr>
        <w:spacing w:after="0" w:line="240" w:lineRule="auto"/>
        <w:ind w:left="-14"/>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En aquellos casos en que la prestación de los servicios públicos de acueducto, alcantarillado o </w:t>
      </w:r>
      <w:proofErr w:type="gramStart"/>
      <w:r w:rsidRPr="009342F9">
        <w:rPr>
          <w:rFonts w:ascii="Arial" w:eastAsia="Times New Roman" w:hAnsi="Arial" w:cs="Arial"/>
          <w:color w:val="000000"/>
          <w:lang w:eastAsia="es-CO"/>
        </w:rPr>
        <w:t>aseo,</w:t>
      </w:r>
      <w:proofErr w:type="gramEnd"/>
      <w:r w:rsidRPr="009342F9">
        <w:rPr>
          <w:rFonts w:ascii="Arial" w:eastAsia="Times New Roman" w:hAnsi="Arial" w:cs="Arial"/>
          <w:color w:val="000000"/>
          <w:lang w:eastAsia="es-CO"/>
        </w:rPr>
        <w:t xml:space="preserve"> esté a cargo del municipio o distrito como prestador directo, y no proceda la celebración del convenio, el Alcalde Municipal o Distrital fijará mediante acto administrativo las condiciones especiales en que se prestará el respectivo servicio.  </w:t>
      </w:r>
    </w:p>
    <w:p w14:paraId="2C65A97E" w14:textId="77777777" w:rsidR="00FC79C1" w:rsidRPr="009342F9" w:rsidRDefault="00FC79C1" w:rsidP="00FC79C1">
      <w:pPr>
        <w:spacing w:after="0" w:line="240" w:lineRule="auto"/>
        <w:ind w:left="-14"/>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3240710" w14:textId="77777777" w:rsidR="00FC79C1" w:rsidRPr="009342F9" w:rsidRDefault="00FC79C1" w:rsidP="00FC79C1">
      <w:pPr>
        <w:spacing w:after="0" w:line="240" w:lineRule="auto"/>
        <w:ind w:left="-14"/>
        <w:jc w:val="both"/>
        <w:rPr>
          <w:rFonts w:ascii="Arial" w:eastAsia="Times New Roman" w:hAnsi="Arial" w:cs="Arial"/>
          <w:color w:val="000000"/>
          <w:lang w:eastAsia="es-CO"/>
        </w:rPr>
      </w:pPr>
      <w:r w:rsidRPr="009342F9">
        <w:rPr>
          <w:rFonts w:ascii="Arial" w:eastAsia="Times New Roman" w:hAnsi="Arial" w:cs="Arial"/>
          <w:color w:val="000000"/>
          <w:lang w:eastAsia="es-CO"/>
        </w:rPr>
        <w:t>Cuando exista un contrato de operación y se proyecte la aplicación de un esquema diferencial en donde se comprometan recursos públicos, se deberán realizar las modificaciones que se requieran al contrato de operación existente donde se incorporen las metas establecidas en el plan de gestión señalado en el artículo 2.3.7.2.2.1.8. de la presente subsección.  </w:t>
      </w:r>
    </w:p>
    <w:p w14:paraId="282FC4CF" w14:textId="77777777" w:rsidR="00FC79C1" w:rsidRPr="009342F9" w:rsidRDefault="00FC79C1" w:rsidP="00FC79C1">
      <w:pPr>
        <w:spacing w:after="0" w:line="240" w:lineRule="auto"/>
        <w:ind w:left="-14"/>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B9E046D" w14:textId="75F7AE0A" w:rsidR="00FC79C1" w:rsidRPr="009342F9" w:rsidRDefault="00FC79C1" w:rsidP="00FC79C1">
      <w:pPr>
        <w:numPr>
          <w:ilvl w:val="0"/>
          <w:numId w:val="11"/>
        </w:num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Estudio de costos y tarifas a aplicar en el área de difícil gestión para cada servicio que será sujeto del esquema diferencial, el cual deberá ajustarse de acuerdo con la regulación que para el efecto defina la Comisión de Regulación de Agua Potable y Saneamiento Básico.</w:t>
      </w:r>
    </w:p>
    <w:p w14:paraId="39DCA1D4" w14:textId="77777777" w:rsidR="0015442F" w:rsidRPr="009342F9" w:rsidRDefault="0015442F" w:rsidP="0015442F">
      <w:pPr>
        <w:spacing w:after="0" w:line="240" w:lineRule="auto"/>
        <w:ind w:left="720"/>
        <w:jc w:val="both"/>
        <w:rPr>
          <w:rFonts w:ascii="Arial" w:eastAsia="Times New Roman" w:hAnsi="Arial" w:cs="Arial"/>
          <w:color w:val="000000"/>
          <w:lang w:eastAsia="es-CO"/>
        </w:rPr>
      </w:pPr>
    </w:p>
    <w:p w14:paraId="081CB187" w14:textId="77777777" w:rsidR="00FC79C1" w:rsidRPr="009342F9" w:rsidRDefault="00FC79C1" w:rsidP="00FC79C1">
      <w:pPr>
        <w:spacing w:after="0" w:line="240" w:lineRule="auto"/>
        <w:ind w:left="-14"/>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Mientras la Comisión de Regulación de Agua Potable y Saneamiento Básico expide la regulación para este esquema, el prestador podrá definir sus costos, los cuales en todo caso, no deberán superar los costos de referencia, teniendo en cuenta para ello las condiciones diferenciales de </w:t>
      </w:r>
      <w:proofErr w:type="spellStart"/>
      <w:r w:rsidRPr="009342F9">
        <w:rPr>
          <w:rFonts w:ascii="Arial" w:eastAsia="Times New Roman" w:hAnsi="Arial" w:cs="Arial"/>
          <w:color w:val="000000"/>
          <w:lang w:eastAsia="es-CO"/>
        </w:rPr>
        <w:t>prestación.La</w:t>
      </w:r>
      <w:proofErr w:type="spellEnd"/>
      <w:r w:rsidRPr="009342F9">
        <w:rPr>
          <w:rFonts w:ascii="Arial" w:eastAsia="Times New Roman" w:hAnsi="Arial" w:cs="Arial"/>
          <w:color w:val="000000"/>
          <w:lang w:eastAsia="es-CO"/>
        </w:rPr>
        <w:t xml:space="preserve"> adopción de estos costos deberá sujetarse a lo dispuesto en la Sección 5.1.1 del Capítulo 1 del Título V de la Resolución CRA 151 de 2001 o el acto administrativo que lo adicione, modifique o sustituya.  </w:t>
      </w:r>
    </w:p>
    <w:p w14:paraId="4FD3390C" w14:textId="77777777" w:rsidR="00FC79C1" w:rsidRPr="009342F9" w:rsidRDefault="00FC79C1" w:rsidP="00FC79C1">
      <w:pPr>
        <w:spacing w:after="0" w:line="240" w:lineRule="auto"/>
        <w:ind w:left="-14"/>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5405341" w14:textId="6AE28AE4" w:rsidR="00FC79C1" w:rsidRPr="009342F9" w:rsidRDefault="00FC79C1" w:rsidP="00FC79C1">
      <w:pPr>
        <w:numPr>
          <w:ilvl w:val="0"/>
          <w:numId w:val="12"/>
        </w:num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El contrato de condiciones uniformes que se aplicará en el esquema diferencial.</w:t>
      </w:r>
    </w:p>
    <w:p w14:paraId="0FF73941" w14:textId="77777777" w:rsidR="0015442F" w:rsidRPr="009342F9" w:rsidRDefault="0015442F" w:rsidP="0015442F">
      <w:pPr>
        <w:spacing w:after="0" w:line="240" w:lineRule="auto"/>
        <w:ind w:left="720"/>
        <w:jc w:val="both"/>
        <w:rPr>
          <w:rFonts w:ascii="Arial" w:eastAsia="Times New Roman" w:hAnsi="Arial" w:cs="Arial"/>
          <w:color w:val="000000"/>
          <w:lang w:eastAsia="es-CO"/>
        </w:rPr>
      </w:pPr>
    </w:p>
    <w:p w14:paraId="3FC6D2E8" w14:textId="1A5C1FCC" w:rsidR="00FC79C1" w:rsidRPr="009342F9" w:rsidRDefault="00FC79C1" w:rsidP="00FC79C1">
      <w:pPr>
        <w:numPr>
          <w:ilvl w:val="0"/>
          <w:numId w:val="13"/>
        </w:num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El plazo de aplicación del esquema diferencial y la justificación </w:t>
      </w:r>
      <w:proofErr w:type="gramStart"/>
      <w:r w:rsidRPr="009342F9">
        <w:rPr>
          <w:rFonts w:ascii="Arial" w:eastAsia="Times New Roman" w:hAnsi="Arial" w:cs="Arial"/>
          <w:color w:val="000000"/>
          <w:lang w:eastAsia="es-CO"/>
        </w:rPr>
        <w:t>del mismo</w:t>
      </w:r>
      <w:proofErr w:type="gramEnd"/>
      <w:r w:rsidRPr="009342F9">
        <w:rPr>
          <w:rFonts w:ascii="Arial" w:eastAsia="Times New Roman" w:hAnsi="Arial" w:cs="Arial"/>
          <w:color w:val="000000"/>
          <w:lang w:eastAsia="es-CO"/>
        </w:rPr>
        <w:t>.</w:t>
      </w:r>
    </w:p>
    <w:p w14:paraId="5B3C9CE4" w14:textId="77777777" w:rsidR="0015442F" w:rsidRPr="009342F9" w:rsidRDefault="0015442F" w:rsidP="0015442F">
      <w:pPr>
        <w:spacing w:after="0" w:line="240" w:lineRule="auto"/>
        <w:ind w:left="720"/>
        <w:jc w:val="both"/>
        <w:rPr>
          <w:rFonts w:ascii="Arial" w:eastAsia="Times New Roman" w:hAnsi="Arial" w:cs="Arial"/>
          <w:color w:val="000000"/>
          <w:lang w:eastAsia="es-CO"/>
        </w:rPr>
      </w:pPr>
    </w:p>
    <w:p w14:paraId="4995F682" w14:textId="77777777" w:rsidR="00FC79C1" w:rsidRPr="009342F9" w:rsidRDefault="00FC79C1" w:rsidP="00FC79C1">
      <w:pPr>
        <w:numPr>
          <w:ilvl w:val="0"/>
          <w:numId w:val="14"/>
        </w:num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El plan de gestión en donde se definan las metas, indicadores, plazos, objetivos, acciones y fuentes de financiación para el cumplimiento de las condiciones establecidas en el artículo 2.3.7.2.2.1.6. de la presente subsección y de los estándares de prestación de los servicios públicos definidos por la regulación vigente. Parágrafo. Adicional a los requisitos señalados en el presente artículo, para aquellas áreas de difícil gestión que se incluyan en el Plan de Desarrollo Municipal o Distrital vigente a la fecha de reporte en el Sistema Único de Información (SUI), se deberá contar con un plan que contenga las metas y su gradualidad, para que se logre el cumplimiento de los estándares señalados por la regulación para la prestación de los servicios públicos domiciliarios.</w:t>
      </w:r>
    </w:p>
    <w:p w14:paraId="47D71B39" w14:textId="603926F1"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157" w:name="ver_30124995"/>
      <w:bookmarkEnd w:id="2157"/>
    </w:p>
    <w:p w14:paraId="223C2324" w14:textId="77777777" w:rsidR="00FC79C1" w:rsidRPr="009342F9" w:rsidRDefault="00FC79C1" w:rsidP="00FC79C1">
      <w:pPr>
        <w:spacing w:after="0" w:line="240" w:lineRule="auto"/>
        <w:ind w:left="-14"/>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2.3.7.2.2.1.3. Inspección, vigilancia y control del esquema diferencial en áreas de difícil gestión. Sin perjuicio de lo establecido en el artículo 2.3.7.2.3.2. de la sección 3 del presente capítulo, la Superintendencia de Servicios Públicos Domiciliarios, inspeccionará, vigilará y controlará la aplicación del esquema diferencial en áreas de difícil gestión, como mínimo respecto de los siguientes aspectos:  </w:t>
      </w:r>
    </w:p>
    <w:p w14:paraId="781CCFDA" w14:textId="77777777" w:rsidR="00FC79C1" w:rsidRPr="009342F9" w:rsidRDefault="00FC79C1" w:rsidP="00FC79C1">
      <w:pPr>
        <w:spacing w:after="0" w:line="240" w:lineRule="auto"/>
        <w:ind w:left="-14"/>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45ECBBF" w14:textId="3F5BB11E" w:rsidR="00FC79C1" w:rsidRPr="009342F9" w:rsidRDefault="00FC79C1" w:rsidP="00D33608">
      <w:pPr>
        <w:numPr>
          <w:ilvl w:val="0"/>
          <w:numId w:val="15"/>
        </w:numPr>
        <w:spacing w:after="0" w:line="240" w:lineRule="auto"/>
        <w:ind w:left="360"/>
        <w:jc w:val="both"/>
        <w:rPr>
          <w:rFonts w:ascii="Arial" w:eastAsia="Times New Roman" w:hAnsi="Arial" w:cs="Arial"/>
          <w:color w:val="000000"/>
          <w:lang w:eastAsia="es-CO"/>
        </w:rPr>
      </w:pPr>
      <w:r w:rsidRPr="009342F9">
        <w:rPr>
          <w:rFonts w:ascii="Arial" w:eastAsia="Times New Roman" w:hAnsi="Arial" w:cs="Arial"/>
          <w:color w:val="000000"/>
          <w:lang w:eastAsia="es-CO"/>
        </w:rPr>
        <w:t>Que quien aplique el esquema diferencial sea la persona prestadora de los servicios públicos de acueducto, alcantarillado o aseo sujetos al mismo.</w:t>
      </w:r>
    </w:p>
    <w:p w14:paraId="3BA6A104" w14:textId="77777777" w:rsidR="0015442F" w:rsidRPr="009342F9" w:rsidRDefault="0015442F" w:rsidP="0015442F">
      <w:pPr>
        <w:spacing w:after="0" w:line="240" w:lineRule="auto"/>
        <w:ind w:left="720"/>
        <w:jc w:val="both"/>
        <w:rPr>
          <w:rFonts w:ascii="Arial" w:eastAsia="Times New Roman" w:hAnsi="Arial" w:cs="Arial"/>
          <w:color w:val="000000"/>
          <w:lang w:eastAsia="es-CO"/>
        </w:rPr>
      </w:pPr>
    </w:p>
    <w:p w14:paraId="43BB0114" w14:textId="027BFD7C" w:rsidR="00FC79C1" w:rsidRPr="009342F9" w:rsidRDefault="00FC79C1" w:rsidP="00D33608">
      <w:pPr>
        <w:numPr>
          <w:ilvl w:val="0"/>
          <w:numId w:val="15"/>
        </w:numPr>
        <w:spacing w:after="0" w:line="240" w:lineRule="auto"/>
        <w:ind w:left="360"/>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Que las condiciones para la prestación de los servicios públicos de acueducto, alcantarillado o </w:t>
      </w:r>
      <w:proofErr w:type="gramStart"/>
      <w:r w:rsidRPr="009342F9">
        <w:rPr>
          <w:rFonts w:ascii="Arial" w:eastAsia="Times New Roman" w:hAnsi="Arial" w:cs="Arial"/>
          <w:color w:val="000000"/>
          <w:lang w:eastAsia="es-CO"/>
        </w:rPr>
        <w:t>aseo,</w:t>
      </w:r>
      <w:proofErr w:type="gramEnd"/>
      <w:r w:rsidRPr="009342F9">
        <w:rPr>
          <w:rFonts w:ascii="Arial" w:eastAsia="Times New Roman" w:hAnsi="Arial" w:cs="Arial"/>
          <w:color w:val="000000"/>
          <w:lang w:eastAsia="es-CO"/>
        </w:rPr>
        <w:t xml:space="preserve"> cumplen con lo señalado en el artículo 2.3.7.2.2.1.6. de la presente subsección.</w:t>
      </w:r>
    </w:p>
    <w:p w14:paraId="69B82828" w14:textId="77777777" w:rsidR="0015442F" w:rsidRPr="009342F9" w:rsidRDefault="0015442F" w:rsidP="0015442F">
      <w:pPr>
        <w:spacing w:after="0" w:line="240" w:lineRule="auto"/>
        <w:ind w:left="720"/>
        <w:jc w:val="both"/>
        <w:rPr>
          <w:rFonts w:ascii="Arial" w:eastAsia="Times New Roman" w:hAnsi="Arial" w:cs="Arial"/>
          <w:color w:val="000000"/>
          <w:lang w:eastAsia="es-CO"/>
        </w:rPr>
      </w:pPr>
    </w:p>
    <w:p w14:paraId="782539EC" w14:textId="0DBCA8EE" w:rsidR="00FC79C1" w:rsidRDefault="00FC79C1" w:rsidP="00D33608">
      <w:pPr>
        <w:numPr>
          <w:ilvl w:val="0"/>
          <w:numId w:val="15"/>
        </w:numPr>
        <w:spacing w:after="0" w:line="240" w:lineRule="auto"/>
        <w:ind w:left="360"/>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Que la certificación, a la que se refiere el numeral 3 del artículo anterior, sea expedida por el Alcalde Municipal o Distrital o por el funcionario municipal o distrital competente para ello y se cuente con el soporte de la ubicación geográfica de las áreas de difícil gestión.</w:t>
      </w:r>
    </w:p>
    <w:p w14:paraId="19A96AE2" w14:textId="77777777" w:rsidR="00D33608" w:rsidRPr="009342F9" w:rsidRDefault="00D33608" w:rsidP="00D33608">
      <w:pPr>
        <w:spacing w:after="0" w:line="240" w:lineRule="auto"/>
        <w:ind w:left="360"/>
        <w:jc w:val="both"/>
        <w:rPr>
          <w:rFonts w:ascii="Arial" w:eastAsia="Times New Roman" w:hAnsi="Arial" w:cs="Arial"/>
          <w:color w:val="000000"/>
          <w:lang w:eastAsia="es-CO"/>
        </w:rPr>
      </w:pPr>
    </w:p>
    <w:p w14:paraId="472C14E2" w14:textId="0C9BBFC2" w:rsidR="00FC79C1" w:rsidRPr="009342F9" w:rsidRDefault="00FC79C1" w:rsidP="00D33608">
      <w:pPr>
        <w:numPr>
          <w:ilvl w:val="0"/>
          <w:numId w:val="15"/>
        </w:numPr>
        <w:spacing w:after="0" w:line="240" w:lineRule="auto"/>
        <w:ind w:left="360"/>
        <w:jc w:val="both"/>
        <w:rPr>
          <w:rFonts w:ascii="Arial" w:eastAsia="Times New Roman" w:hAnsi="Arial" w:cs="Arial"/>
          <w:color w:val="000000"/>
          <w:lang w:eastAsia="es-CO"/>
        </w:rPr>
      </w:pPr>
      <w:r w:rsidRPr="009342F9">
        <w:rPr>
          <w:rFonts w:ascii="Arial" w:eastAsia="Times New Roman" w:hAnsi="Arial" w:cs="Arial"/>
          <w:color w:val="000000"/>
          <w:lang w:eastAsia="es-CO"/>
        </w:rPr>
        <w:t>Que el convenio, al que se refiere el numeral 4 del artículo anterior, se encuentre suscrito por parte del Alcalde Municipal o Distrital y el Representante Legal de la persona prestadora y en él se identifiquen las obligaciones de las partes.</w:t>
      </w:r>
    </w:p>
    <w:p w14:paraId="4E18322B" w14:textId="77777777" w:rsidR="0015442F" w:rsidRPr="009342F9" w:rsidRDefault="0015442F" w:rsidP="0015442F">
      <w:pPr>
        <w:spacing w:after="0" w:line="240" w:lineRule="auto"/>
        <w:ind w:left="720"/>
        <w:jc w:val="both"/>
        <w:rPr>
          <w:rFonts w:ascii="Arial" w:eastAsia="Times New Roman" w:hAnsi="Arial" w:cs="Arial"/>
          <w:color w:val="000000"/>
          <w:lang w:eastAsia="es-CO"/>
        </w:rPr>
      </w:pPr>
    </w:p>
    <w:p w14:paraId="012A0F93" w14:textId="77777777" w:rsidR="00FC79C1" w:rsidRPr="009342F9" w:rsidRDefault="00FC79C1" w:rsidP="003A7D54">
      <w:pPr>
        <w:spacing w:after="0" w:line="240" w:lineRule="auto"/>
        <w:ind w:left="360"/>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En aquellos casos en que la prestación de los servicios públicos de acueducto, alcantarillado o </w:t>
      </w:r>
      <w:proofErr w:type="gramStart"/>
      <w:r w:rsidRPr="009342F9">
        <w:rPr>
          <w:rFonts w:ascii="Arial" w:eastAsia="Times New Roman" w:hAnsi="Arial" w:cs="Arial"/>
          <w:color w:val="000000"/>
          <w:lang w:eastAsia="es-CO"/>
        </w:rPr>
        <w:t>aseo,</w:t>
      </w:r>
      <w:proofErr w:type="gramEnd"/>
      <w:r w:rsidRPr="009342F9">
        <w:rPr>
          <w:rFonts w:ascii="Arial" w:eastAsia="Times New Roman" w:hAnsi="Arial" w:cs="Arial"/>
          <w:color w:val="000000"/>
          <w:lang w:eastAsia="es-CO"/>
        </w:rPr>
        <w:t xml:space="preserve"> esté a cargo del municipio o distrito como prestador directo, estas estén definidas en el acto administrativo expedido por el Alcalde Municipal o Distrital.  </w:t>
      </w:r>
    </w:p>
    <w:p w14:paraId="45A43C57" w14:textId="77777777" w:rsidR="00FC79C1" w:rsidRPr="009342F9" w:rsidRDefault="00FC79C1" w:rsidP="00FC79C1">
      <w:pPr>
        <w:spacing w:after="0" w:line="240" w:lineRule="auto"/>
        <w:ind w:left="566"/>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8ABA974" w14:textId="77777777" w:rsidR="00FC79C1" w:rsidRPr="009342F9" w:rsidRDefault="00FC79C1" w:rsidP="003A7D54">
      <w:pPr>
        <w:spacing w:after="0" w:line="240" w:lineRule="auto"/>
        <w:ind w:left="360"/>
        <w:jc w:val="both"/>
        <w:rPr>
          <w:rFonts w:ascii="Arial" w:eastAsia="Times New Roman" w:hAnsi="Arial" w:cs="Arial"/>
          <w:color w:val="000000"/>
          <w:lang w:eastAsia="es-CO"/>
        </w:rPr>
      </w:pPr>
      <w:r w:rsidRPr="009342F9">
        <w:rPr>
          <w:rFonts w:ascii="Arial" w:eastAsia="Times New Roman" w:hAnsi="Arial" w:cs="Arial"/>
          <w:color w:val="000000"/>
          <w:lang w:eastAsia="es-CO"/>
        </w:rPr>
        <w:t>Que cuando exista un contrato de operación y se proyecte la aplicación de un esquema diferencial en donde se comprometan recursos públicos, se hayan realizado las modificaciones al contrato de operación existente donde se incorporen las metas establecidas en el plan de gestión señalado en el artículo 2.3.7.2.2.1.8. de la presente subsección.  </w:t>
      </w:r>
    </w:p>
    <w:p w14:paraId="7C908FE5" w14:textId="77777777" w:rsidR="00FC79C1" w:rsidRPr="009342F9" w:rsidRDefault="00FC79C1" w:rsidP="00FC79C1">
      <w:pPr>
        <w:spacing w:after="0" w:line="240" w:lineRule="auto"/>
        <w:ind w:left="566"/>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5CAF207" w14:textId="78FD9E11" w:rsidR="00FC79C1" w:rsidRPr="009342F9" w:rsidRDefault="00FC79C1" w:rsidP="003A7D54">
      <w:pPr>
        <w:numPr>
          <w:ilvl w:val="0"/>
          <w:numId w:val="16"/>
        </w:numPr>
        <w:spacing w:after="0" w:line="240" w:lineRule="auto"/>
        <w:ind w:left="360"/>
        <w:jc w:val="both"/>
        <w:rPr>
          <w:rFonts w:ascii="Arial" w:eastAsia="Times New Roman" w:hAnsi="Arial" w:cs="Arial"/>
          <w:color w:val="000000"/>
          <w:lang w:eastAsia="es-CO"/>
        </w:rPr>
      </w:pPr>
      <w:r w:rsidRPr="009342F9">
        <w:rPr>
          <w:rFonts w:ascii="Arial" w:eastAsia="Times New Roman" w:hAnsi="Arial" w:cs="Arial"/>
          <w:color w:val="000000"/>
          <w:lang w:eastAsia="es-CO"/>
        </w:rPr>
        <w:t>Que el estudio de costos y tarifas, al que se refiere el numeral 5 del artículo anterior, se ajuste a la regulación que para el efecto expida la Comisión de Regulación de Agua Potable y Saneamiento Básico.</w:t>
      </w:r>
      <w:r w:rsidR="0015442F" w:rsidRPr="009342F9">
        <w:rPr>
          <w:rFonts w:ascii="Arial" w:eastAsia="Times New Roman" w:hAnsi="Arial" w:cs="Arial"/>
          <w:color w:val="000000"/>
          <w:lang w:eastAsia="es-CO"/>
        </w:rPr>
        <w:t xml:space="preserve"> </w:t>
      </w:r>
      <w:r w:rsidRPr="009342F9">
        <w:rPr>
          <w:rFonts w:ascii="Arial" w:eastAsia="Times New Roman" w:hAnsi="Arial" w:cs="Arial"/>
          <w:color w:val="000000"/>
          <w:lang w:eastAsia="es-CO"/>
        </w:rPr>
        <w:t>Que mientras la Comisión de Regulación de Agua Potable y Saneamiento Básico expide la regulación para este esquema, estos no superen los costos de referencia de la metodología tarifaria vigente que aplique el prestador.  </w:t>
      </w:r>
    </w:p>
    <w:p w14:paraId="34A5E591" w14:textId="77777777" w:rsidR="0015442F" w:rsidRPr="009342F9" w:rsidRDefault="0015442F" w:rsidP="0015442F">
      <w:pPr>
        <w:spacing w:after="0" w:line="240" w:lineRule="auto"/>
        <w:ind w:left="566"/>
        <w:jc w:val="both"/>
        <w:rPr>
          <w:rFonts w:ascii="Arial" w:eastAsia="Times New Roman" w:hAnsi="Arial" w:cs="Arial"/>
          <w:color w:val="000000"/>
          <w:lang w:eastAsia="es-CO"/>
        </w:rPr>
      </w:pPr>
    </w:p>
    <w:p w14:paraId="45B3CA03" w14:textId="7B9BE3CD" w:rsidR="00FC79C1" w:rsidRPr="009342F9" w:rsidRDefault="00FC79C1" w:rsidP="003A7D54">
      <w:pPr>
        <w:numPr>
          <w:ilvl w:val="0"/>
          <w:numId w:val="17"/>
        </w:numPr>
        <w:spacing w:after="0" w:line="240" w:lineRule="auto"/>
        <w:ind w:left="360"/>
        <w:jc w:val="both"/>
        <w:rPr>
          <w:rFonts w:ascii="Arial" w:eastAsia="Times New Roman" w:hAnsi="Arial" w:cs="Arial"/>
          <w:color w:val="000000"/>
          <w:lang w:eastAsia="es-CO"/>
        </w:rPr>
      </w:pPr>
      <w:proofErr w:type="gramStart"/>
      <w:r w:rsidRPr="009342F9">
        <w:rPr>
          <w:rFonts w:ascii="Arial" w:eastAsia="Times New Roman" w:hAnsi="Arial" w:cs="Arial"/>
          <w:color w:val="000000"/>
          <w:lang w:eastAsia="es-CO"/>
        </w:rPr>
        <w:t>Que</w:t>
      </w:r>
      <w:proofErr w:type="gramEnd"/>
      <w:r w:rsidRPr="009342F9">
        <w:rPr>
          <w:rFonts w:ascii="Arial" w:eastAsia="Times New Roman" w:hAnsi="Arial" w:cs="Arial"/>
          <w:color w:val="000000"/>
          <w:lang w:eastAsia="es-CO"/>
        </w:rPr>
        <w:t xml:space="preserve"> en el contrato de condiciones uniformes, al que se refiere el numeral 6 del artículo anterior, se contemplen las condiciones en las que se prestará el servicio</w:t>
      </w:r>
      <w:r w:rsidR="0015442F" w:rsidRPr="009342F9">
        <w:rPr>
          <w:rFonts w:ascii="Arial" w:eastAsia="Times New Roman" w:hAnsi="Arial" w:cs="Arial"/>
          <w:color w:val="000000"/>
          <w:lang w:eastAsia="es-CO"/>
        </w:rPr>
        <w:t>.</w:t>
      </w:r>
    </w:p>
    <w:p w14:paraId="267F294F" w14:textId="77777777" w:rsidR="0015442F" w:rsidRPr="009342F9" w:rsidRDefault="0015442F" w:rsidP="0015442F">
      <w:pPr>
        <w:spacing w:after="0" w:line="240" w:lineRule="auto"/>
        <w:ind w:left="720"/>
        <w:jc w:val="both"/>
        <w:rPr>
          <w:rFonts w:ascii="Arial" w:eastAsia="Times New Roman" w:hAnsi="Arial" w:cs="Arial"/>
          <w:color w:val="000000"/>
          <w:lang w:eastAsia="es-CO"/>
        </w:rPr>
      </w:pPr>
    </w:p>
    <w:p w14:paraId="1D59BC45" w14:textId="5B64BB06" w:rsidR="00FC79C1" w:rsidRPr="009342F9" w:rsidRDefault="00FC79C1" w:rsidP="003A7D54">
      <w:pPr>
        <w:numPr>
          <w:ilvl w:val="0"/>
          <w:numId w:val="18"/>
        </w:numPr>
        <w:spacing w:after="0" w:line="240" w:lineRule="auto"/>
        <w:ind w:left="360"/>
        <w:jc w:val="both"/>
        <w:rPr>
          <w:rFonts w:ascii="Arial" w:eastAsia="Times New Roman" w:hAnsi="Arial" w:cs="Arial"/>
          <w:color w:val="000000"/>
          <w:lang w:eastAsia="es-CO"/>
        </w:rPr>
      </w:pPr>
      <w:r w:rsidRPr="009342F9">
        <w:rPr>
          <w:rFonts w:ascii="Arial" w:eastAsia="Times New Roman" w:hAnsi="Arial" w:cs="Arial"/>
          <w:color w:val="000000"/>
          <w:lang w:eastAsia="es-CO"/>
        </w:rPr>
        <w:t>Que el plazo de aplicación del esquema diferencial, al que se refiere el numeral 7 del artículo anterior, esté definido.</w:t>
      </w:r>
    </w:p>
    <w:p w14:paraId="4267BCBB" w14:textId="77777777" w:rsidR="0015442F" w:rsidRPr="009342F9" w:rsidRDefault="0015442F" w:rsidP="0015442F">
      <w:pPr>
        <w:spacing w:after="0" w:line="240" w:lineRule="auto"/>
        <w:ind w:left="720"/>
        <w:jc w:val="both"/>
        <w:rPr>
          <w:rFonts w:ascii="Arial" w:eastAsia="Times New Roman" w:hAnsi="Arial" w:cs="Arial"/>
          <w:color w:val="000000"/>
          <w:lang w:eastAsia="es-CO"/>
        </w:rPr>
      </w:pPr>
    </w:p>
    <w:p w14:paraId="16985B1E" w14:textId="2308FF37" w:rsidR="00FC79C1" w:rsidRDefault="00FC79C1" w:rsidP="003A7D54">
      <w:pPr>
        <w:numPr>
          <w:ilvl w:val="0"/>
          <w:numId w:val="19"/>
        </w:numPr>
        <w:spacing w:after="0" w:line="240" w:lineRule="auto"/>
        <w:ind w:left="360"/>
        <w:jc w:val="both"/>
        <w:rPr>
          <w:rFonts w:ascii="Arial" w:eastAsia="Times New Roman" w:hAnsi="Arial" w:cs="Arial"/>
          <w:color w:val="000000"/>
          <w:lang w:eastAsia="es-CO"/>
        </w:rPr>
      </w:pPr>
      <w:r w:rsidRPr="009342F9">
        <w:rPr>
          <w:rFonts w:ascii="Arial" w:eastAsia="Times New Roman" w:hAnsi="Arial" w:cs="Arial"/>
          <w:color w:val="000000"/>
          <w:lang w:eastAsia="es-CO"/>
        </w:rPr>
        <w:t>Que el plan de gestión, al que se refiere el artículo 2.3.7.2.2.1.8. de la presente subsección, se encuentre suscrito por el Representante Legal de la persona prestadora y se identifiquen las metas, indicadores, plazos, objetivos, acciones y fuentes de financiación para el cumplimiento de las condiciones diferenciales definidas en el artículo 2.3.7.2.2.1.6. de la presente subsección y de los estándares de prestación de los servicios públicos definidos por la regulación.</w:t>
      </w:r>
    </w:p>
    <w:p w14:paraId="2B33AAA3" w14:textId="77777777" w:rsidR="003A7D54" w:rsidRPr="009342F9" w:rsidRDefault="003A7D54" w:rsidP="003A7D54">
      <w:pPr>
        <w:spacing w:after="0" w:line="240" w:lineRule="auto"/>
        <w:ind w:left="360"/>
        <w:jc w:val="both"/>
        <w:rPr>
          <w:rFonts w:ascii="Arial" w:eastAsia="Times New Roman" w:hAnsi="Arial" w:cs="Arial"/>
          <w:color w:val="000000"/>
          <w:lang w:eastAsia="es-CO"/>
        </w:rPr>
      </w:pPr>
    </w:p>
    <w:p w14:paraId="1AD15A58" w14:textId="1E913FF6" w:rsidR="00FC79C1" w:rsidRPr="003A7D54" w:rsidRDefault="00FC79C1" w:rsidP="003A7D54">
      <w:pPr>
        <w:numPr>
          <w:ilvl w:val="0"/>
          <w:numId w:val="20"/>
        </w:numPr>
        <w:spacing w:after="0" w:line="240" w:lineRule="auto"/>
        <w:ind w:left="360"/>
        <w:jc w:val="both"/>
        <w:rPr>
          <w:rFonts w:ascii="Arial" w:eastAsia="Times New Roman" w:hAnsi="Arial" w:cs="Arial"/>
          <w:color w:val="000000"/>
          <w:lang w:eastAsia="es-CO"/>
        </w:rPr>
      </w:pPr>
      <w:proofErr w:type="gramStart"/>
      <w:r w:rsidRPr="003A7D54">
        <w:rPr>
          <w:rFonts w:ascii="Arial" w:eastAsia="Times New Roman" w:hAnsi="Arial" w:cs="Arial"/>
          <w:color w:val="000000"/>
          <w:lang w:eastAsia="es-CO"/>
        </w:rPr>
        <w:t>Que</w:t>
      </w:r>
      <w:proofErr w:type="gramEnd"/>
      <w:r w:rsidRPr="003A7D54">
        <w:rPr>
          <w:rFonts w:ascii="Arial" w:eastAsia="Times New Roman" w:hAnsi="Arial" w:cs="Arial"/>
          <w:color w:val="000000"/>
          <w:lang w:eastAsia="es-CO"/>
        </w:rPr>
        <w:t xml:space="preserve"> en las áreas de difícil gestión, que se incluyan en el Plan de Desarrollo Municipal o Distrital vigente a la fecha de reporte en el Sistema Único de Información (SUI), se cuente con el plan que contenga las metas y su gradualidad, para que se</w:t>
      </w:r>
      <w:r w:rsidR="003A7D54" w:rsidRPr="003A7D54">
        <w:rPr>
          <w:rFonts w:ascii="Arial" w:eastAsia="Times New Roman" w:hAnsi="Arial" w:cs="Arial"/>
          <w:color w:val="000000"/>
          <w:lang w:eastAsia="es-CO"/>
        </w:rPr>
        <w:t xml:space="preserve"> </w:t>
      </w:r>
      <w:r w:rsidRPr="003A7D54">
        <w:rPr>
          <w:rFonts w:ascii="Arial" w:eastAsia="Times New Roman" w:hAnsi="Arial" w:cs="Arial"/>
          <w:color w:val="000000"/>
          <w:lang w:eastAsia="es-CO"/>
        </w:rPr>
        <w:t>logre el cumplimiento de los estándares señalados por la regulación para la prestación de los servicios públicos domiciliarios.  </w:t>
      </w:r>
    </w:p>
    <w:p w14:paraId="11AFB3B9" w14:textId="77777777" w:rsidR="0015442F" w:rsidRPr="009342F9" w:rsidRDefault="0015442F" w:rsidP="0015442F">
      <w:pPr>
        <w:spacing w:after="0" w:line="240" w:lineRule="auto"/>
        <w:jc w:val="both"/>
        <w:rPr>
          <w:rFonts w:ascii="Arial" w:eastAsia="Times New Roman" w:hAnsi="Arial" w:cs="Arial"/>
          <w:color w:val="000000"/>
          <w:lang w:eastAsia="es-CO"/>
        </w:rPr>
      </w:pPr>
    </w:p>
    <w:p w14:paraId="6C83A0D5" w14:textId="77777777" w:rsidR="00FC79C1" w:rsidRPr="009342F9" w:rsidRDefault="00FC79C1" w:rsidP="00FC79C1">
      <w:pPr>
        <w:spacing w:after="0" w:line="240" w:lineRule="auto"/>
        <w:ind w:left="-14"/>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Parágrafo 1°. El esquema diferencial adoptado para cada uno de los servicios públicos de acueducto, alcantarillado o aseo en las áreas de difícil </w:t>
      </w:r>
      <w:proofErr w:type="gramStart"/>
      <w:r w:rsidRPr="009342F9">
        <w:rPr>
          <w:rFonts w:ascii="Arial" w:eastAsia="Times New Roman" w:hAnsi="Arial" w:cs="Arial"/>
          <w:color w:val="000000"/>
          <w:lang w:eastAsia="es-CO"/>
        </w:rPr>
        <w:t>gestión,</w:t>
      </w:r>
      <w:proofErr w:type="gramEnd"/>
      <w:r w:rsidRPr="009342F9">
        <w:rPr>
          <w:rFonts w:ascii="Arial" w:eastAsia="Times New Roman" w:hAnsi="Arial" w:cs="Arial"/>
          <w:color w:val="000000"/>
          <w:lang w:eastAsia="es-CO"/>
        </w:rPr>
        <w:t xml:space="preserve"> no podrá afectar los estándares de prestación definidos por la regulación en las demás áreas o zonas del municipio atendidas por el prestador, que no sean objeto de aplicación de dicho esquema.  </w:t>
      </w:r>
    </w:p>
    <w:p w14:paraId="10BDF46E" w14:textId="77777777" w:rsidR="00FC79C1" w:rsidRPr="009342F9" w:rsidRDefault="00FC79C1" w:rsidP="00FC79C1">
      <w:pPr>
        <w:spacing w:after="0" w:line="240" w:lineRule="auto"/>
        <w:ind w:left="-14"/>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256ECE9" w14:textId="77777777" w:rsidR="00FC79C1" w:rsidRPr="009342F9" w:rsidRDefault="00FC79C1" w:rsidP="00FC79C1">
      <w:pPr>
        <w:spacing w:after="0" w:line="240" w:lineRule="auto"/>
        <w:ind w:left="-14"/>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2°. En ningún caso se podrá aplicar un esquema diferencial en suelos de protección conforme al artículo 35 de la Ley 388 de 1997.  </w:t>
      </w:r>
    </w:p>
    <w:p w14:paraId="0C2EE2A4" w14:textId="1C8E6FA4"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158" w:name="ver_30125004"/>
      <w:bookmarkEnd w:id="2158"/>
    </w:p>
    <w:p w14:paraId="7DB961BA" w14:textId="1F5D993B" w:rsidR="00FC79C1" w:rsidRPr="009342F9" w:rsidRDefault="00FC79C1" w:rsidP="00FC79C1">
      <w:pPr>
        <w:spacing w:after="0" w:line="240" w:lineRule="auto"/>
        <w:ind w:left="-14"/>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xml:space="preserve">Artículo 2.3.7.2.2.1.4. Modificación y prórroga del esquema diferencial en áreas de difícil gestión. El esquema diferencial podrá ser modificado por parte de la persona prestadora antes del vencimiento del plazo señalado para la terminación </w:t>
      </w:r>
      <w:proofErr w:type="gramStart"/>
      <w:r w:rsidRPr="009342F9">
        <w:rPr>
          <w:rFonts w:ascii="Arial" w:eastAsia="Times New Roman" w:hAnsi="Arial" w:cs="Arial"/>
          <w:color w:val="000000"/>
          <w:lang w:eastAsia="es-CO"/>
        </w:rPr>
        <w:t>del mismo</w:t>
      </w:r>
      <w:proofErr w:type="gramEnd"/>
      <w:r w:rsidRPr="009342F9">
        <w:rPr>
          <w:rFonts w:ascii="Arial" w:eastAsia="Times New Roman" w:hAnsi="Arial" w:cs="Arial"/>
          <w:color w:val="000000"/>
          <w:lang w:eastAsia="es-CO"/>
        </w:rPr>
        <w:t>, para lo cual deberá cumplir con todos los requisitos a que se refiere el artículo 2.3.7.2.2.1.2 de la presente subsección e informarlo por escrito a la Superintendencia de Servicios Públicos Domiciliarios. </w:t>
      </w:r>
    </w:p>
    <w:p w14:paraId="64CC3E2E" w14:textId="77777777" w:rsidR="0015442F" w:rsidRPr="009342F9" w:rsidRDefault="0015442F" w:rsidP="00FC79C1">
      <w:pPr>
        <w:spacing w:after="0" w:line="240" w:lineRule="auto"/>
        <w:ind w:left="-14"/>
        <w:jc w:val="both"/>
        <w:rPr>
          <w:rFonts w:ascii="Arial" w:eastAsia="Times New Roman" w:hAnsi="Arial" w:cs="Arial"/>
          <w:color w:val="000000"/>
          <w:lang w:eastAsia="es-CO"/>
        </w:rPr>
      </w:pPr>
    </w:p>
    <w:p w14:paraId="4BE70698" w14:textId="77777777" w:rsidR="00FC79C1" w:rsidRPr="009342F9" w:rsidRDefault="00FC79C1" w:rsidP="00FC79C1">
      <w:pPr>
        <w:spacing w:after="0" w:line="240" w:lineRule="auto"/>
        <w:ind w:left="-14"/>
        <w:jc w:val="both"/>
        <w:rPr>
          <w:rFonts w:ascii="Arial" w:eastAsia="Times New Roman" w:hAnsi="Arial" w:cs="Arial"/>
          <w:color w:val="000000"/>
          <w:lang w:eastAsia="es-CO"/>
        </w:rPr>
      </w:pPr>
      <w:r w:rsidRPr="009342F9">
        <w:rPr>
          <w:rFonts w:ascii="Arial" w:eastAsia="Times New Roman" w:hAnsi="Arial" w:cs="Arial"/>
          <w:color w:val="000000"/>
          <w:lang w:eastAsia="es-CO"/>
        </w:rPr>
        <w:t>Las modificaciones que se realicen en el Plan de Desarrollo Municipal o Distrital, respecto a las áreas de difícil gestión, deberán ser reportadas en el Sistema Único de Información (SUI) por la persona prestadora y estar acorde con las medidas adoptadas en el municipio para la legalización urbanística o mejoramiento integral. </w:t>
      </w:r>
    </w:p>
    <w:p w14:paraId="78F4CFF4"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2159" w:name="ver_30125007"/>
      <w:bookmarkEnd w:id="2159"/>
    </w:p>
    <w:p w14:paraId="62DAC291" w14:textId="77777777" w:rsidR="00FC79C1" w:rsidRPr="009342F9" w:rsidRDefault="00FC79C1" w:rsidP="00FC79C1">
      <w:pPr>
        <w:spacing w:after="0" w:line="240" w:lineRule="auto"/>
        <w:ind w:left="-14"/>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2.3.7.2.2.1.5. Terminación del esquema diferencial en áreas de difícil gestión. El esquema diferencial termina cuando se superan las condiciones del servicio que dieron origen a la prestación en condiciones diferenciales dentro del plazo fijado o cuando culmine el plazo del plan que contiene las metas y gradualidad para el logro de los estándares señalados por la regulación. En todo caso, la persona prestadora deberá informarlo a la Superintendencia de Servicios Públicos Domiciliarios. </w:t>
      </w:r>
    </w:p>
    <w:p w14:paraId="7D67297C" w14:textId="77777777" w:rsidR="00FC79C1" w:rsidRPr="009342F9" w:rsidRDefault="00FC79C1" w:rsidP="00FC79C1">
      <w:pPr>
        <w:spacing w:after="0" w:line="240" w:lineRule="auto"/>
        <w:ind w:left="-14"/>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9AF8111" w14:textId="77777777" w:rsidR="00FC79C1" w:rsidRPr="009342F9" w:rsidRDefault="00FC79C1" w:rsidP="00FC79C1">
      <w:pPr>
        <w:spacing w:after="0" w:line="240" w:lineRule="auto"/>
        <w:ind w:left="-14"/>
        <w:jc w:val="both"/>
        <w:rPr>
          <w:rFonts w:ascii="Arial" w:eastAsia="Times New Roman" w:hAnsi="Arial" w:cs="Arial"/>
          <w:color w:val="000000"/>
          <w:lang w:eastAsia="es-CO"/>
        </w:rPr>
      </w:pPr>
      <w:r w:rsidRPr="009342F9">
        <w:rPr>
          <w:rFonts w:ascii="Arial" w:eastAsia="Times New Roman" w:hAnsi="Arial" w:cs="Arial"/>
          <w:color w:val="000000"/>
          <w:lang w:eastAsia="es-CO"/>
        </w:rPr>
        <w:t>Cuando la Superintendencia de Servicios Públicos Domiciliarios en ejercicio de sus funciones de inspección, vigilancia y control encuentre que no se están cumpliendo las obligaciones en la aplicación del esquema diferencial, podrá imponer las sanciones y demás acciones para corregir la actuación del prestador. </w:t>
      </w:r>
    </w:p>
    <w:p w14:paraId="5CF74F4D"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2160" w:name="ver_30125018"/>
      <w:bookmarkEnd w:id="2160"/>
    </w:p>
    <w:p w14:paraId="16AA2CFE" w14:textId="77777777" w:rsidR="00FC79C1" w:rsidRPr="009342F9" w:rsidRDefault="00FC79C1" w:rsidP="00FC79C1">
      <w:pPr>
        <w:spacing w:after="0" w:line="240" w:lineRule="auto"/>
        <w:ind w:left="-14"/>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2.3.7.2.2.1.6. Condiciones de los esquemas diferenciales para los servicios de acueducto, alcantarillado o aseo en un área de difícil gestión. La persona prestadora de los servicios públicos de acueducto, alcantarillado o aseo que opere en un área de difícil gestión, podrá sujetarse a las siguientes condiciones diferenciales, durante el plazo del esquema diferencial:  </w:t>
      </w:r>
    </w:p>
    <w:p w14:paraId="198CD4F5" w14:textId="77777777" w:rsidR="00FC79C1" w:rsidRPr="009342F9" w:rsidRDefault="00FC79C1" w:rsidP="00FC79C1">
      <w:pPr>
        <w:spacing w:after="0" w:line="240" w:lineRule="auto"/>
        <w:ind w:left="-14"/>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AD275D3" w14:textId="77777777" w:rsidR="00FC79C1" w:rsidRPr="009342F9" w:rsidRDefault="00FC79C1" w:rsidP="00672CC5">
      <w:pPr>
        <w:numPr>
          <w:ilvl w:val="0"/>
          <w:numId w:val="21"/>
        </w:numPr>
        <w:spacing w:after="0" w:line="240" w:lineRule="auto"/>
        <w:ind w:left="360"/>
        <w:jc w:val="both"/>
        <w:rPr>
          <w:rFonts w:ascii="Arial" w:eastAsia="Times New Roman" w:hAnsi="Arial" w:cs="Arial"/>
          <w:color w:val="000000"/>
          <w:lang w:eastAsia="es-CO"/>
        </w:rPr>
      </w:pPr>
      <w:r w:rsidRPr="009342F9">
        <w:rPr>
          <w:rFonts w:ascii="Arial" w:eastAsia="Times New Roman" w:hAnsi="Arial" w:cs="Arial"/>
          <w:color w:val="000000"/>
          <w:lang w:eastAsia="es-CO"/>
        </w:rPr>
        <w:t>Servicio de acueducto y alcantarillado:</w:t>
      </w:r>
    </w:p>
    <w:p w14:paraId="06FEE9AF" w14:textId="77777777" w:rsidR="00FC79C1" w:rsidRPr="009342F9" w:rsidRDefault="00FC79C1" w:rsidP="00FC79C1">
      <w:pPr>
        <w:spacing w:after="0" w:line="240" w:lineRule="auto"/>
        <w:ind w:left="459"/>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C57A3BB" w14:textId="77777777" w:rsidR="00FC79C1" w:rsidRPr="009342F9" w:rsidRDefault="00FC79C1" w:rsidP="00FC79C1">
      <w:pPr>
        <w:spacing w:after="0" w:line="240" w:lineRule="auto"/>
        <w:ind w:left="-14"/>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1.1. Servicio provisional. El servicio de acueducto podrá prestarse de manera provisional mediante pilas públicas como lo contempla el presente decreto u otra alternativa que tenga viabilidad técnica y sostenibilidad económica de acuerdo con la definición que la ley señala sobre estos servicios. En todo caso, la operación y mantenimiento, así como de la calidad del agua, de acuerdo con lo dispuesto en el Decreto 1575 de 2007, su desarrollo o aquella norma que lo </w:t>
      </w:r>
      <w:proofErr w:type="gramStart"/>
      <w:r w:rsidRPr="009342F9">
        <w:rPr>
          <w:rFonts w:ascii="Arial" w:eastAsia="Times New Roman" w:hAnsi="Arial" w:cs="Arial"/>
          <w:color w:val="000000"/>
          <w:lang w:eastAsia="es-CO"/>
        </w:rPr>
        <w:t>modifique,</w:t>
      </w:r>
      <w:proofErr w:type="gramEnd"/>
      <w:r w:rsidRPr="009342F9">
        <w:rPr>
          <w:rFonts w:ascii="Arial" w:eastAsia="Times New Roman" w:hAnsi="Arial" w:cs="Arial"/>
          <w:color w:val="000000"/>
          <w:lang w:eastAsia="es-CO"/>
        </w:rPr>
        <w:t xml:space="preserve"> adicione o sustituya, será responsabilidad de la persona prestadora hasta el punto de entrega, siendo responsabilidad del suscriptor de ese punto en adelante adoptar las medidas necesarias para mantener la calidad del agua.  </w:t>
      </w:r>
    </w:p>
    <w:p w14:paraId="49312FE0" w14:textId="77777777" w:rsidR="00FC79C1" w:rsidRPr="009342F9" w:rsidRDefault="00FC79C1" w:rsidP="00FC79C1">
      <w:pPr>
        <w:spacing w:after="0" w:line="240" w:lineRule="auto"/>
        <w:ind w:left="-14"/>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F06706C" w14:textId="0A7A4B13" w:rsidR="00FC79C1" w:rsidRPr="009342F9" w:rsidRDefault="00FC79C1" w:rsidP="00FC79C1">
      <w:pPr>
        <w:spacing w:after="0" w:line="240" w:lineRule="auto"/>
        <w:ind w:left="-14"/>
        <w:jc w:val="both"/>
        <w:rPr>
          <w:rFonts w:ascii="Arial" w:eastAsia="Times New Roman" w:hAnsi="Arial" w:cs="Arial"/>
          <w:color w:val="000000"/>
          <w:lang w:eastAsia="es-CO"/>
        </w:rPr>
      </w:pPr>
      <w:r w:rsidRPr="009342F9">
        <w:rPr>
          <w:rFonts w:ascii="Arial" w:eastAsia="Times New Roman" w:hAnsi="Arial" w:cs="Arial"/>
          <w:color w:val="000000"/>
          <w:lang w:eastAsia="es-CO"/>
        </w:rPr>
        <w:t>En el diseño y construcción de redes provisionales para el suministro de agua potable y manejo de aguas residuales domésticas, en áreas de difícil gestión, se podrán emplear parámetros técnicos diferentes a los establecidos en el Reglamento Técnico del Sector de Agua Potable y Saneamiento Básico, siempre y cuando se cuente con los soportes técnicos de la alternativa a desarrollar. En este caso la responsabilidad sobre el funcionamiento de las redes provisionales será del propietario.  </w:t>
      </w:r>
    </w:p>
    <w:p w14:paraId="109EBBA5" w14:textId="77777777" w:rsidR="0015442F" w:rsidRPr="009342F9" w:rsidRDefault="0015442F" w:rsidP="00FC79C1">
      <w:pPr>
        <w:spacing w:after="0" w:line="240" w:lineRule="auto"/>
        <w:ind w:left="-14"/>
        <w:jc w:val="both"/>
        <w:rPr>
          <w:rFonts w:ascii="Arial" w:eastAsia="Times New Roman" w:hAnsi="Arial" w:cs="Arial"/>
          <w:color w:val="000000"/>
          <w:lang w:eastAsia="es-CO"/>
        </w:rPr>
      </w:pPr>
    </w:p>
    <w:p w14:paraId="3513ED73" w14:textId="77777777" w:rsidR="00FC79C1" w:rsidRPr="009342F9" w:rsidRDefault="00FC79C1" w:rsidP="00FC79C1">
      <w:pPr>
        <w:spacing w:after="0" w:line="240" w:lineRule="auto"/>
        <w:ind w:left="-14"/>
        <w:jc w:val="both"/>
        <w:rPr>
          <w:rFonts w:ascii="Arial" w:eastAsia="Times New Roman" w:hAnsi="Arial" w:cs="Arial"/>
          <w:color w:val="000000"/>
          <w:lang w:eastAsia="es-CO"/>
        </w:rPr>
      </w:pPr>
      <w:r w:rsidRPr="009342F9">
        <w:rPr>
          <w:rFonts w:ascii="Arial" w:eastAsia="Times New Roman" w:hAnsi="Arial" w:cs="Arial"/>
          <w:color w:val="000000"/>
          <w:lang w:eastAsia="es-CO"/>
        </w:rPr>
        <w:t>Las redes instaladas por la comunidad, que no hayan sido entregadas a la persona prestadora, conforme al procedimiento establecido en el presente decreto, estarán a cargo y bajo la responsabilidad del suscriptor colectivo o individual, según el caso.  </w:t>
      </w:r>
    </w:p>
    <w:p w14:paraId="58892553" w14:textId="77777777" w:rsidR="00FC79C1" w:rsidRPr="009342F9" w:rsidRDefault="00FC79C1" w:rsidP="00FC79C1">
      <w:pPr>
        <w:spacing w:after="0" w:line="240" w:lineRule="auto"/>
        <w:ind w:left="-14"/>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069C51C" w14:textId="7825F7E4" w:rsidR="00FC79C1" w:rsidRDefault="00FC79C1" w:rsidP="00FC79C1">
      <w:pPr>
        <w:spacing w:after="0" w:line="240" w:lineRule="auto"/>
        <w:ind w:left="-14"/>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El sistema definitivo deberá cumplir con lo dispuesto en el Reglamento Técnico del Sector de Agua Potable y Saneamiento Básico.  </w:t>
      </w:r>
    </w:p>
    <w:p w14:paraId="63A3ED5F" w14:textId="77777777" w:rsidR="003A7D54" w:rsidRPr="009342F9" w:rsidRDefault="003A7D54" w:rsidP="00FC79C1">
      <w:pPr>
        <w:spacing w:after="0" w:line="240" w:lineRule="auto"/>
        <w:ind w:left="-14"/>
        <w:jc w:val="both"/>
        <w:rPr>
          <w:rFonts w:ascii="Arial" w:eastAsia="Times New Roman" w:hAnsi="Arial" w:cs="Arial"/>
          <w:color w:val="000000"/>
          <w:lang w:eastAsia="es-CO"/>
        </w:rPr>
      </w:pPr>
    </w:p>
    <w:p w14:paraId="14BB827D" w14:textId="77777777" w:rsidR="00FC79C1" w:rsidRPr="009342F9" w:rsidRDefault="00FC79C1" w:rsidP="00FC79C1">
      <w:pPr>
        <w:spacing w:after="0" w:line="240" w:lineRule="auto"/>
        <w:ind w:left="-14"/>
        <w:jc w:val="both"/>
        <w:rPr>
          <w:rFonts w:ascii="Arial" w:eastAsia="Times New Roman" w:hAnsi="Arial" w:cs="Arial"/>
          <w:color w:val="000000"/>
          <w:lang w:eastAsia="es-CO"/>
        </w:rPr>
      </w:pPr>
      <w:r w:rsidRPr="009342F9">
        <w:rPr>
          <w:rFonts w:ascii="Arial" w:eastAsia="Times New Roman" w:hAnsi="Arial" w:cs="Arial"/>
          <w:color w:val="000000"/>
          <w:lang w:eastAsia="es-CO"/>
        </w:rPr>
        <w:t>La prestación del servicio de acueducto mediante pilas públicas se sujetará a lo dispuesto en los artículos 2.3.1.3.2.7.1.30., 2.3.1.3.2.7.1.31. y 2.3.1.3.2.7.1.32 del presente decreto.  </w:t>
      </w:r>
    </w:p>
    <w:p w14:paraId="7889BB8A" w14:textId="77777777" w:rsidR="00FC79C1" w:rsidRPr="009342F9" w:rsidRDefault="00FC79C1" w:rsidP="00FC79C1">
      <w:pPr>
        <w:spacing w:after="0" w:line="240" w:lineRule="auto"/>
        <w:ind w:left="-14"/>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6EC9DEF" w14:textId="77777777" w:rsidR="00FC79C1" w:rsidRPr="009342F9" w:rsidRDefault="00FC79C1" w:rsidP="00FC79C1">
      <w:pPr>
        <w:spacing w:after="0" w:line="240" w:lineRule="auto"/>
        <w:ind w:left="-14"/>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1.2. Continuidad. La persona prestadora del servicio público de acueducto que no pueda suministrar agua de manera continua, podrá suministrarla garantizando un volumen </w:t>
      </w:r>
      <w:proofErr w:type="gramStart"/>
      <w:r w:rsidRPr="009342F9">
        <w:rPr>
          <w:rFonts w:ascii="Arial" w:eastAsia="Times New Roman" w:hAnsi="Arial" w:cs="Arial"/>
          <w:color w:val="000000"/>
          <w:lang w:eastAsia="es-CO"/>
        </w:rPr>
        <w:t>de acuerdo a</w:t>
      </w:r>
      <w:proofErr w:type="gramEnd"/>
      <w:r w:rsidRPr="009342F9">
        <w:rPr>
          <w:rFonts w:ascii="Arial" w:eastAsia="Times New Roman" w:hAnsi="Arial" w:cs="Arial"/>
          <w:color w:val="000000"/>
          <w:lang w:eastAsia="es-CO"/>
        </w:rPr>
        <w:t xml:space="preserve"> las condiciones técnicas del sistema, el cual deberá incrementarse hasta lograr por lo menos el suministro del consumo básico establecido por la Comisión de Regulación de Agua Potable y Saneamiento Básico, en concordancia con el plan de gestión señalado en el artículo 2.3.7.2.2.1.8. de la presente subsección y el convenio suscrito entre la persona prestadora y la entidad territorial.  </w:t>
      </w:r>
    </w:p>
    <w:p w14:paraId="4E73BCF4" w14:textId="77777777" w:rsidR="00FC79C1" w:rsidRPr="009342F9" w:rsidRDefault="00FC79C1" w:rsidP="00FC79C1">
      <w:pPr>
        <w:spacing w:after="0" w:line="240" w:lineRule="auto"/>
        <w:ind w:left="-14"/>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924C265" w14:textId="77777777" w:rsidR="00FC79C1" w:rsidRPr="009342F9" w:rsidRDefault="00FC79C1" w:rsidP="00FC79C1">
      <w:pPr>
        <w:spacing w:after="0" w:line="240" w:lineRule="auto"/>
        <w:ind w:left="-14"/>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1.3. </w:t>
      </w:r>
      <w:proofErr w:type="spellStart"/>
      <w:r w:rsidRPr="009342F9">
        <w:rPr>
          <w:rFonts w:ascii="Arial" w:eastAsia="Times New Roman" w:hAnsi="Arial" w:cs="Arial"/>
          <w:color w:val="000000"/>
          <w:lang w:eastAsia="es-CO"/>
        </w:rPr>
        <w:t>Micromedición</w:t>
      </w:r>
      <w:proofErr w:type="spellEnd"/>
      <w:r w:rsidRPr="009342F9">
        <w:rPr>
          <w:rFonts w:ascii="Arial" w:eastAsia="Times New Roman" w:hAnsi="Arial" w:cs="Arial"/>
          <w:color w:val="000000"/>
          <w:lang w:eastAsia="es-CO"/>
        </w:rPr>
        <w:t xml:space="preserve">. La persona prestadora del servicio público de acueducto que no cuente con </w:t>
      </w:r>
      <w:proofErr w:type="spellStart"/>
      <w:r w:rsidRPr="009342F9">
        <w:rPr>
          <w:rFonts w:ascii="Arial" w:eastAsia="Times New Roman" w:hAnsi="Arial" w:cs="Arial"/>
          <w:color w:val="000000"/>
          <w:lang w:eastAsia="es-CO"/>
        </w:rPr>
        <w:t>micromedición</w:t>
      </w:r>
      <w:proofErr w:type="spellEnd"/>
      <w:r w:rsidRPr="009342F9">
        <w:rPr>
          <w:rFonts w:ascii="Arial" w:eastAsia="Times New Roman" w:hAnsi="Arial" w:cs="Arial"/>
          <w:color w:val="000000"/>
          <w:lang w:eastAsia="es-CO"/>
        </w:rPr>
        <w:t xml:space="preserve"> individual en el área de difícil gestión, podrá realizar la estimación de los consumos de los suscriptores que carecen de medidor, mediante parámetros alternativos definidos por la Comisión de Regulación de Agua Potable y Saneamiento Básico, para efectos de la facturación.  </w:t>
      </w:r>
    </w:p>
    <w:p w14:paraId="224269CB" w14:textId="77777777" w:rsidR="00FC79C1" w:rsidRPr="009342F9" w:rsidRDefault="00FC79C1" w:rsidP="00FC79C1">
      <w:pPr>
        <w:spacing w:after="0" w:line="240" w:lineRule="auto"/>
        <w:ind w:left="-14"/>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8E16710" w14:textId="77777777" w:rsidR="00FC79C1" w:rsidRPr="009342F9" w:rsidRDefault="00FC79C1" w:rsidP="00FC79C1">
      <w:pPr>
        <w:spacing w:after="0" w:line="240" w:lineRule="auto"/>
        <w:ind w:left="-14"/>
        <w:jc w:val="both"/>
        <w:rPr>
          <w:rFonts w:ascii="Arial" w:eastAsia="Times New Roman" w:hAnsi="Arial" w:cs="Arial"/>
          <w:color w:val="000000"/>
          <w:lang w:eastAsia="es-CO"/>
        </w:rPr>
      </w:pPr>
      <w:r w:rsidRPr="009342F9">
        <w:rPr>
          <w:rFonts w:ascii="Arial" w:eastAsia="Times New Roman" w:hAnsi="Arial" w:cs="Arial"/>
          <w:color w:val="000000"/>
          <w:lang w:eastAsia="es-CO"/>
        </w:rPr>
        <w:t>1.4. Suscriptor en el caso de pilas públicas. En el caso que el servicio público de acueducto sea prestado de manera provisional mediante pilas públicas, el suscriptor podrá ser colectivo o individual. Cuando el suscriptor sea colectivo, deberá estar representado por una persona jurídica sin ánimo de lucro.  </w:t>
      </w:r>
    </w:p>
    <w:p w14:paraId="2A3BB43E" w14:textId="77777777" w:rsidR="00FC79C1" w:rsidRPr="009342F9" w:rsidRDefault="00FC79C1" w:rsidP="00FC79C1">
      <w:pPr>
        <w:spacing w:after="0" w:line="240" w:lineRule="auto"/>
        <w:ind w:left="-14"/>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F7E89C9" w14:textId="77777777" w:rsidR="00FC79C1" w:rsidRPr="009342F9" w:rsidRDefault="00FC79C1" w:rsidP="0015442F">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Servicio público de aseo. La persona prestadora del servicio público de aseo o sus actividades complementarias, establecerá en el programa de prestación del servicio que trata el artículo 2.3.2.2.1.10 del presente decreto, la gradualidad para la incorporación de las diferentes actividades del servicio de acuerdo con las condiciones municipales o distritales.</w:t>
      </w:r>
    </w:p>
    <w:p w14:paraId="4478C700" w14:textId="77777777" w:rsidR="00FC79C1" w:rsidRPr="009342F9" w:rsidRDefault="00FC79C1" w:rsidP="0015442F">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87722D0" w14:textId="77777777" w:rsidR="00FC79C1" w:rsidRPr="009342F9" w:rsidRDefault="00FC79C1" w:rsidP="0015442F">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Recolección y transporte. Cuando la recolección de residuos sólidos no se realice puerta a puerta, se deberá implementar la recolección mediante sistemas colectivos de presentación y almacenamiento de residuos sólidos.</w:t>
      </w:r>
    </w:p>
    <w:p w14:paraId="3D7F8145" w14:textId="77777777" w:rsidR="00FC79C1" w:rsidRPr="009342F9" w:rsidRDefault="00FC79C1" w:rsidP="0015442F">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F8F09A2" w14:textId="77777777" w:rsidR="00FC79C1" w:rsidRPr="009342F9" w:rsidRDefault="00FC79C1" w:rsidP="0015442F">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Barrido y limpieza de vías y áreas públicas. En calles no pavimentadas y en áreas donde por sus características físicas no sea posible realizar el barrido mecánico, se desarrollarán labores de limpieza manual a cargo de la persona prestadora.</w:t>
      </w:r>
    </w:p>
    <w:p w14:paraId="0D717654" w14:textId="77777777" w:rsidR="00FC79C1" w:rsidRPr="009342F9" w:rsidRDefault="00FC79C1" w:rsidP="0015442F">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10FE594" w14:textId="308431EA" w:rsidR="00FC79C1" w:rsidRPr="009342F9" w:rsidRDefault="00FC79C1" w:rsidP="0015442F">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Aspectos tarifarios. Las tarifas que aplicará la persona prestadora de los servicios públicos de acueducto, alcantarillado o aseo, deberán adoptarse conforme a la regulación que expida la Comisión de Regulación de Agua Potable y Saneamiento Básico para este caso y lo previsto en el inciso segundo del numeral 4 del artículo 2.3.7.2.2.1.2. de la presente subsección.</w:t>
      </w:r>
    </w:p>
    <w:p w14:paraId="29E70D13" w14:textId="77777777" w:rsidR="00FC79C1" w:rsidRPr="009342F9" w:rsidRDefault="00FC79C1" w:rsidP="0015442F">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FED4F1F" w14:textId="77777777" w:rsidR="00FC79C1" w:rsidRPr="009342F9" w:rsidRDefault="00FC79C1" w:rsidP="0015442F">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Condiciones diferenciales en los contratos de servicios públicos. Las personas prestadoras incorporarán en sus contratos de servicios públicos las condiciones de este esquema diferencial, conforme a lo establecido en la presente subsección, sin perjuicio de lo contenido en la regulación sobre contrato de servicios públicos y sus condiciones uniformes, en lo dispuesto en el artículo 128 de la Ley 142 de 1994 y en las demás disposiciones aplicables.</w:t>
      </w:r>
    </w:p>
    <w:p w14:paraId="6E011B18" w14:textId="77777777" w:rsidR="00FC79C1" w:rsidRPr="009342F9" w:rsidRDefault="00FC79C1" w:rsidP="0015442F">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B7968D2" w14:textId="77777777" w:rsidR="00FC79C1" w:rsidRPr="009342F9" w:rsidRDefault="00FC79C1" w:rsidP="0015442F">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BB718EE"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2161" w:name="ver_30125023"/>
      <w:bookmarkEnd w:id="2161"/>
    </w:p>
    <w:p w14:paraId="7A4437BA"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Artículo 2.3.7.2.2.1.7. Contrato de servicios públicos para el esquema diferencial en áreas de difícil gestión. La persona prestadora deberá adoptar un contrato de servicios públicos para el esquema diferencial en áreas de difícil gestión, en el cual incluirá las condiciones diferenciales respectivas. </w:t>
      </w:r>
    </w:p>
    <w:p w14:paraId="261ACF89"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2162" w:name="ver_30125033"/>
      <w:bookmarkEnd w:id="2162"/>
    </w:p>
    <w:p w14:paraId="6D988313" w14:textId="77777777" w:rsidR="00FC79C1" w:rsidRPr="009342F9" w:rsidRDefault="00FC79C1" w:rsidP="00FC79C1">
      <w:pPr>
        <w:spacing w:after="0" w:line="240" w:lineRule="auto"/>
        <w:ind w:left="-14"/>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2.3.7.2.2.1.8. Planes de gestión en áreas de difícil gestión. La persona prestadora deberá establecer un plan de gestión en donde se definan las metas, indicadores, plazos, objetivos, acciones y fuentes de financiación para el cumplimiento de las condiciones diferenciales definidas en el artículo 2.3.7.2.2.1.6. de la presente subsección y los estándares de prestación de los servicios públicos definidos por la regulación. Dicho plan deberá contener como mínimo:  </w:t>
      </w:r>
    </w:p>
    <w:p w14:paraId="0EE9549C" w14:textId="77777777" w:rsidR="00FC79C1" w:rsidRPr="009342F9" w:rsidRDefault="00FC79C1" w:rsidP="00FC79C1">
      <w:pPr>
        <w:spacing w:after="0" w:line="240" w:lineRule="auto"/>
        <w:ind w:left="-14"/>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85F9CF2" w14:textId="22D645FB" w:rsidR="00FC79C1" w:rsidRDefault="00FC79C1" w:rsidP="003A7D54">
      <w:pPr>
        <w:pStyle w:val="Prrafodelista"/>
        <w:numPr>
          <w:ilvl w:val="0"/>
          <w:numId w:val="22"/>
        </w:numPr>
        <w:spacing w:after="0" w:line="240" w:lineRule="auto"/>
        <w:ind w:left="360"/>
        <w:jc w:val="both"/>
        <w:rPr>
          <w:rFonts w:ascii="Arial" w:eastAsia="Times New Roman" w:hAnsi="Arial" w:cs="Arial"/>
          <w:color w:val="000000"/>
          <w:lang w:eastAsia="es-CO"/>
        </w:rPr>
      </w:pPr>
      <w:r w:rsidRPr="009342F9">
        <w:rPr>
          <w:rFonts w:ascii="Arial" w:eastAsia="Times New Roman" w:hAnsi="Arial" w:cs="Arial"/>
          <w:color w:val="000000"/>
          <w:lang w:eastAsia="es-CO"/>
        </w:rPr>
        <w:t>Plan de obras e inversiones y,</w:t>
      </w:r>
    </w:p>
    <w:p w14:paraId="11477A50" w14:textId="77777777" w:rsidR="003A7D54" w:rsidRPr="009342F9" w:rsidRDefault="003A7D54" w:rsidP="003A7D54">
      <w:pPr>
        <w:pStyle w:val="Prrafodelista"/>
        <w:spacing w:after="0" w:line="240" w:lineRule="auto"/>
        <w:ind w:left="360"/>
        <w:jc w:val="both"/>
        <w:rPr>
          <w:rFonts w:ascii="Arial" w:eastAsia="Times New Roman" w:hAnsi="Arial" w:cs="Arial"/>
          <w:color w:val="000000"/>
          <w:lang w:eastAsia="es-CO"/>
        </w:rPr>
      </w:pPr>
    </w:p>
    <w:p w14:paraId="7714B332" w14:textId="77777777" w:rsidR="00FC79C1" w:rsidRPr="009342F9" w:rsidRDefault="00FC79C1" w:rsidP="003A7D54">
      <w:pPr>
        <w:numPr>
          <w:ilvl w:val="0"/>
          <w:numId w:val="22"/>
        </w:numPr>
        <w:spacing w:after="0" w:line="240" w:lineRule="auto"/>
        <w:ind w:left="360"/>
        <w:jc w:val="both"/>
        <w:rPr>
          <w:rFonts w:ascii="Arial" w:eastAsia="Times New Roman" w:hAnsi="Arial" w:cs="Arial"/>
          <w:color w:val="000000"/>
          <w:lang w:eastAsia="es-CO"/>
        </w:rPr>
      </w:pPr>
      <w:r w:rsidRPr="009342F9">
        <w:rPr>
          <w:rFonts w:ascii="Arial" w:eastAsia="Times New Roman" w:hAnsi="Arial" w:cs="Arial"/>
          <w:color w:val="000000"/>
          <w:lang w:eastAsia="es-CO"/>
        </w:rPr>
        <w:t>Plan de aseguramiento de la prestación de los servicios públicos para el cumplimiento de los estándares de prestación de dichos servicios.</w:t>
      </w:r>
    </w:p>
    <w:p w14:paraId="514EF165" w14:textId="183C3EC4"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163" w:name="ver_30125036"/>
      <w:bookmarkEnd w:id="2163"/>
    </w:p>
    <w:p w14:paraId="5C8F8748" w14:textId="77777777" w:rsidR="00FC79C1" w:rsidRPr="009342F9" w:rsidRDefault="00FC79C1" w:rsidP="00FC79C1">
      <w:pPr>
        <w:spacing w:after="0" w:line="240" w:lineRule="auto"/>
        <w:ind w:left="-14"/>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2.3.7.2.2.1.9. Apoyo de los municipios y distritos. Los municipios, distritos y departamentos, acorde con su obligación constitucional y legal, priorizarán el apoyo técnico y financiero para la estructuración e implementación de las acciones derivadas de los planes de gestión en áreas de difícil gestión y apoyarán técnica y financieramente los proyectos para mejorar la prestación de dichos servicios públicos. </w:t>
      </w:r>
    </w:p>
    <w:p w14:paraId="0945BBF6" w14:textId="77777777" w:rsidR="00FC79C1" w:rsidRPr="009342F9" w:rsidRDefault="00FC79C1" w:rsidP="00FC79C1">
      <w:pPr>
        <w:spacing w:after="0" w:line="240" w:lineRule="auto"/>
        <w:ind w:left="-14"/>
        <w:jc w:val="both"/>
        <w:rPr>
          <w:rFonts w:ascii="Arial" w:eastAsia="Times New Roman" w:hAnsi="Arial" w:cs="Arial"/>
          <w:color w:val="000000"/>
          <w:lang w:eastAsia="es-CO"/>
        </w:rPr>
      </w:pPr>
      <w:r w:rsidRPr="009342F9">
        <w:rPr>
          <w:rFonts w:ascii="Arial" w:eastAsia="Times New Roman" w:hAnsi="Arial" w:cs="Arial"/>
          <w:color w:val="000000"/>
          <w:lang w:eastAsia="es-CO"/>
        </w:rPr>
        <w:t>Estos proyectos se incluirán en el Plan de Inversiones del Plan de Desarrollo del municipio o distrito de que trata la Ley 152 de 1994 y en el convenio que suscriba la entidad territorial y la persona prestadora. </w:t>
      </w:r>
    </w:p>
    <w:p w14:paraId="534887EF"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2164" w:name="ver_30125044"/>
      <w:bookmarkEnd w:id="2164"/>
    </w:p>
    <w:p w14:paraId="2093C52D" w14:textId="77777777" w:rsidR="00FC79C1" w:rsidRPr="009342F9" w:rsidRDefault="00FC79C1" w:rsidP="00FC79C1">
      <w:pPr>
        <w:spacing w:after="0" w:line="240" w:lineRule="auto"/>
        <w:ind w:left="-14"/>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2.3.7.2.2.1.10. Reporte de los municipios y distritos. El municipio o distrito presentará, antes de agosto de cada año al Concejo Municipal o Distrital, al Ministerio de Vivienda, Ciudad y Territorio un reporte de cumplimiento de metas de los proyectos de servicios públicos incluidos en el Plan de Inversiones del Plan de Desarrollo que correspondan a la zona de difícil gestión. </w:t>
      </w:r>
    </w:p>
    <w:p w14:paraId="600011A8" w14:textId="77777777" w:rsidR="00FC79C1" w:rsidRPr="009342F9" w:rsidRDefault="00FC79C1" w:rsidP="00FC79C1">
      <w:pPr>
        <w:spacing w:after="0" w:line="240" w:lineRule="auto"/>
        <w:ind w:left="-14"/>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DB250B7" w14:textId="77777777" w:rsidR="00FC79C1" w:rsidRPr="009342F9" w:rsidRDefault="00FC79C1" w:rsidP="00FC79C1">
      <w:pPr>
        <w:spacing w:after="0" w:line="240" w:lineRule="auto"/>
        <w:ind w:left="-14"/>
        <w:jc w:val="both"/>
        <w:rPr>
          <w:rFonts w:ascii="Arial" w:eastAsia="Times New Roman" w:hAnsi="Arial" w:cs="Arial"/>
          <w:color w:val="000000"/>
          <w:lang w:eastAsia="es-CO"/>
        </w:rPr>
      </w:pPr>
      <w:r w:rsidRPr="009342F9">
        <w:rPr>
          <w:rFonts w:ascii="Arial" w:eastAsia="Times New Roman" w:hAnsi="Arial" w:cs="Arial"/>
          <w:color w:val="000000"/>
          <w:lang w:eastAsia="es-CO"/>
        </w:rPr>
        <w:t>La persona prestadora con esta información determinará el impacto para el cumplimiento de las metas y de la gradualidad en el logro de los estándares señalados por la regulación. </w:t>
      </w:r>
    </w:p>
    <w:p w14:paraId="3CCF71E5"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2165" w:name="ver_30125054"/>
      <w:bookmarkEnd w:id="2165"/>
    </w:p>
    <w:p w14:paraId="7D5129F1" w14:textId="77777777" w:rsidR="00FC79C1" w:rsidRPr="009342F9" w:rsidRDefault="00FC79C1" w:rsidP="00FC79C1">
      <w:pPr>
        <w:spacing w:after="0" w:line="240" w:lineRule="auto"/>
        <w:ind w:left="-15"/>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2.3.7.2.2.1.11. Obligaciones del suscriptor. Sin perjuicio de las obligaciones que se señalen en el contrato de servicios públicos para el esquema diferencial en áreas de difícil gestión, o en la Ley 142 de 1994 en lo que sea pertinente, corresponde al suscriptor colectivo o individual, según el caso, las siguientes:  </w:t>
      </w:r>
    </w:p>
    <w:p w14:paraId="2DC2F4E5" w14:textId="77777777" w:rsidR="00FC79C1" w:rsidRPr="009342F9" w:rsidRDefault="00FC79C1" w:rsidP="00FC79C1">
      <w:pPr>
        <w:spacing w:after="0" w:line="240" w:lineRule="auto"/>
        <w:ind w:left="-15"/>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B39AFDD" w14:textId="77777777" w:rsidR="00FC79C1" w:rsidRPr="009342F9" w:rsidRDefault="00FC79C1" w:rsidP="003A7D54">
      <w:pPr>
        <w:numPr>
          <w:ilvl w:val="0"/>
          <w:numId w:val="23"/>
        </w:numPr>
        <w:spacing w:after="0" w:line="240" w:lineRule="auto"/>
        <w:ind w:left="360"/>
        <w:jc w:val="both"/>
        <w:rPr>
          <w:rFonts w:ascii="Arial" w:eastAsia="Times New Roman" w:hAnsi="Arial" w:cs="Arial"/>
          <w:color w:val="000000"/>
          <w:lang w:eastAsia="es-CO"/>
        </w:rPr>
      </w:pPr>
      <w:r w:rsidRPr="009342F9">
        <w:rPr>
          <w:rFonts w:ascii="Arial" w:eastAsia="Times New Roman" w:hAnsi="Arial" w:cs="Arial"/>
          <w:color w:val="000000"/>
          <w:lang w:eastAsia="es-CO"/>
        </w:rPr>
        <w:t>Soluciones alternativas para el manejo de aguas residuales domésticas a cargo del suscriptor. Cuando no exista red local de alcantarillado para que el suscriptor pueda conectarse, este podrá vincularse al servicio público de acueducto, siempre y cuando cuente con un sistema alterno para el manejo de sus aguas residuales domésticas, que cumpla con las disposiciones ambientales que correspondan.</w:t>
      </w:r>
    </w:p>
    <w:p w14:paraId="5F1C6D60" w14:textId="77777777" w:rsidR="00FC79C1" w:rsidRPr="009342F9" w:rsidRDefault="00FC79C1" w:rsidP="00FC79C1">
      <w:pPr>
        <w:spacing w:after="0" w:line="240" w:lineRule="auto"/>
        <w:ind w:left="274"/>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09CEFA3" w14:textId="77777777" w:rsidR="00FC79C1" w:rsidRPr="009342F9" w:rsidRDefault="00FC79C1" w:rsidP="003A7D54">
      <w:pPr>
        <w:numPr>
          <w:ilvl w:val="0"/>
          <w:numId w:val="24"/>
        </w:numPr>
        <w:spacing w:after="0" w:line="240" w:lineRule="auto"/>
        <w:ind w:left="360"/>
        <w:jc w:val="both"/>
        <w:rPr>
          <w:rFonts w:ascii="Arial" w:eastAsia="Times New Roman" w:hAnsi="Arial" w:cs="Arial"/>
          <w:color w:val="000000"/>
          <w:lang w:eastAsia="es-CO"/>
        </w:rPr>
      </w:pPr>
      <w:r w:rsidRPr="009342F9">
        <w:rPr>
          <w:rFonts w:ascii="Arial" w:eastAsia="Times New Roman" w:hAnsi="Arial" w:cs="Arial"/>
          <w:color w:val="000000"/>
          <w:lang w:eastAsia="es-CO"/>
        </w:rPr>
        <w:t>Mantenimiento de las redes construidas por los suscriptores que no hayan sido entregadas a la persona prestadora. El suscriptor de los servicios públicos de acueducto y alcantarillado está en la obligación de hacer el mantenimiento y reparación de aquellas redes de acueducto y alcantarillado construidas por él o por la comunidad y que no hayan sido entregadas a la persona prestadora.</w:t>
      </w:r>
    </w:p>
    <w:p w14:paraId="7FA23267"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C7492BB" w14:textId="77777777" w:rsidR="00FC79C1" w:rsidRPr="009342F9" w:rsidRDefault="00FC79C1" w:rsidP="00FC79C1">
      <w:pPr>
        <w:spacing w:after="0" w:line="240" w:lineRule="auto"/>
        <w:ind w:left="274"/>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F2DC667" w14:textId="77777777" w:rsidR="00FC79C1" w:rsidRPr="009342F9" w:rsidRDefault="00FC79C1" w:rsidP="00FC79C1">
      <w:pPr>
        <w:spacing w:after="0" w:line="240" w:lineRule="auto"/>
        <w:ind w:left="-14"/>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xml:space="preserve">Con el propósito de promover el ahorro y uso eficiente del agua, la persona prestadora podrá brindar asistencia para reducir las pérdidas técnicas en las redes a cargo de la comunidad, así como para mejorar la operación y mantenimiento de </w:t>
      </w:r>
      <w:proofErr w:type="gramStart"/>
      <w:r w:rsidRPr="009342F9">
        <w:rPr>
          <w:rFonts w:ascii="Arial" w:eastAsia="Times New Roman" w:hAnsi="Arial" w:cs="Arial"/>
          <w:color w:val="000000"/>
          <w:lang w:eastAsia="es-CO"/>
        </w:rPr>
        <w:t>las mismas</w:t>
      </w:r>
      <w:proofErr w:type="gramEnd"/>
      <w:r w:rsidRPr="009342F9">
        <w:rPr>
          <w:rFonts w:ascii="Arial" w:eastAsia="Times New Roman" w:hAnsi="Arial" w:cs="Arial"/>
          <w:color w:val="000000"/>
          <w:lang w:eastAsia="es-CO"/>
        </w:rPr>
        <w:t>.  </w:t>
      </w:r>
    </w:p>
    <w:p w14:paraId="4A215FA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D5F0B17" w14:textId="77777777" w:rsidR="00FC79C1" w:rsidRPr="009342F9" w:rsidRDefault="00FC79C1" w:rsidP="0015442F">
      <w:pPr>
        <w:spacing w:after="0" w:line="240" w:lineRule="auto"/>
        <w:jc w:val="center"/>
        <w:rPr>
          <w:rFonts w:ascii="Arial" w:eastAsia="Times New Roman" w:hAnsi="Arial" w:cs="Arial"/>
          <w:b/>
          <w:bCs/>
          <w:color w:val="000000"/>
          <w:lang w:eastAsia="es-CO"/>
        </w:rPr>
      </w:pPr>
      <w:bookmarkStart w:id="2166" w:name="ver_30125055"/>
      <w:bookmarkEnd w:id="2166"/>
      <w:r w:rsidRPr="009342F9">
        <w:rPr>
          <w:rFonts w:ascii="Arial" w:eastAsia="Times New Roman" w:hAnsi="Arial" w:cs="Arial"/>
          <w:b/>
          <w:bCs/>
          <w:color w:val="000000"/>
          <w:lang w:eastAsia="es-CO"/>
        </w:rPr>
        <w:t>SUBSECCIÓN 2</w:t>
      </w:r>
    </w:p>
    <w:p w14:paraId="42395C81" w14:textId="77777777" w:rsidR="00FC79C1" w:rsidRPr="009342F9" w:rsidRDefault="00FC79C1" w:rsidP="0015442F">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ESQUEMAS DIFERENCIALES DE PRESTACIÓN EN ZONAS DE DIFÍCIL ACCESO</w:t>
      </w:r>
    </w:p>
    <w:p w14:paraId="2D9E911D"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2167" w:name="ver_30125059"/>
      <w:bookmarkEnd w:id="2167"/>
    </w:p>
    <w:p w14:paraId="3731CD9E" w14:textId="77777777" w:rsidR="00FC79C1" w:rsidRPr="009342F9" w:rsidRDefault="00FC79C1" w:rsidP="00FC79C1">
      <w:pPr>
        <w:spacing w:after="0" w:line="240" w:lineRule="auto"/>
        <w:ind w:left="-14"/>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2.3.7.2.2.2.1. Zonas de difícil acceso. Corresponde al municipio en el cual la persona prestadora en su área de prestación en suelo urbano no puede alcanzar los estándares de eficiencia, cobertura o calidad en los plazos establecidos en la regulación expedida por la Comisión de Regulación de Agua Potable y Saneamiento Básico, y cuenta con una población urbana menor a 25.000 habitantes según la información censal del Departamento Administrativo Nacional de Estadística (DANE) y está ubicado en Zonas No Interconectadas (ZNI) del sistema eléctrico nacional de la Unidad de Planeación Minero Energética (UPME). </w:t>
      </w:r>
    </w:p>
    <w:p w14:paraId="0CA9F633" w14:textId="77777777" w:rsidR="00FC79C1" w:rsidRPr="009342F9" w:rsidRDefault="00FC79C1" w:rsidP="00FC79C1">
      <w:pPr>
        <w:spacing w:after="0" w:line="240" w:lineRule="auto"/>
        <w:ind w:left="-14"/>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F56C729" w14:textId="77777777" w:rsidR="00FC79C1" w:rsidRPr="009342F9" w:rsidRDefault="00FC79C1" w:rsidP="00FC79C1">
      <w:pPr>
        <w:spacing w:after="0" w:line="240" w:lineRule="auto"/>
        <w:ind w:left="-14"/>
        <w:jc w:val="both"/>
        <w:rPr>
          <w:rFonts w:ascii="Arial" w:eastAsia="Times New Roman" w:hAnsi="Arial" w:cs="Arial"/>
          <w:color w:val="000000"/>
          <w:lang w:eastAsia="es-CO"/>
        </w:rPr>
      </w:pPr>
      <w:r w:rsidRPr="009342F9">
        <w:rPr>
          <w:rFonts w:ascii="Arial" w:eastAsia="Times New Roman" w:hAnsi="Arial" w:cs="Arial"/>
          <w:color w:val="000000"/>
          <w:lang w:eastAsia="es-CO"/>
        </w:rPr>
        <w:t>La información a la que hace referencia este artículo debe corresponder con la información disponible más reciente al momento de presentación de la solicitud. </w:t>
      </w:r>
    </w:p>
    <w:p w14:paraId="3A03E9B2" w14:textId="242ECF42"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168" w:name="ver_30125065"/>
      <w:bookmarkEnd w:id="2168"/>
    </w:p>
    <w:p w14:paraId="43293000" w14:textId="32D1CF79" w:rsidR="00FC79C1" w:rsidRPr="009342F9" w:rsidRDefault="00FC79C1" w:rsidP="00FC79C1">
      <w:pPr>
        <w:spacing w:after="0" w:line="240" w:lineRule="auto"/>
        <w:ind w:left="-14"/>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2.3.7.2.2.2.2. Solicitud de un esquema diferencial en zonas de difícil acceso. La persona prestadora interesada en implementar un esquema diferencial en una zona de difícil acceso deberá presentar una solicitud por escrito ante la Comisión de Regulación de Agua Potable y Saneamiento Básico con los siguientes requisitos mínimos:  </w:t>
      </w:r>
    </w:p>
    <w:p w14:paraId="36112D26" w14:textId="77777777" w:rsidR="0015442F" w:rsidRPr="009342F9" w:rsidRDefault="0015442F" w:rsidP="00FC79C1">
      <w:pPr>
        <w:spacing w:after="0" w:line="240" w:lineRule="auto"/>
        <w:ind w:left="-14"/>
        <w:jc w:val="both"/>
        <w:rPr>
          <w:rFonts w:ascii="Arial" w:eastAsia="Times New Roman" w:hAnsi="Arial" w:cs="Arial"/>
          <w:color w:val="000000"/>
          <w:lang w:eastAsia="es-CO"/>
        </w:rPr>
      </w:pPr>
    </w:p>
    <w:p w14:paraId="1E233DC7" w14:textId="5A4090E3" w:rsidR="00FC79C1" w:rsidRDefault="00FC79C1" w:rsidP="003A7D54">
      <w:pPr>
        <w:numPr>
          <w:ilvl w:val="0"/>
          <w:numId w:val="25"/>
        </w:numPr>
        <w:spacing w:after="0" w:line="240" w:lineRule="auto"/>
        <w:ind w:left="360"/>
        <w:jc w:val="both"/>
        <w:rPr>
          <w:rFonts w:ascii="Arial" w:eastAsia="Times New Roman" w:hAnsi="Arial" w:cs="Arial"/>
          <w:color w:val="000000"/>
          <w:lang w:eastAsia="es-CO"/>
        </w:rPr>
      </w:pPr>
      <w:r w:rsidRPr="009342F9">
        <w:rPr>
          <w:rFonts w:ascii="Arial" w:eastAsia="Times New Roman" w:hAnsi="Arial" w:cs="Arial"/>
          <w:color w:val="000000"/>
          <w:lang w:eastAsia="es-CO"/>
        </w:rPr>
        <w:t>Indicar el servicio o servicios que serán objeto del esquema diferencial.</w:t>
      </w:r>
    </w:p>
    <w:p w14:paraId="7A032A54" w14:textId="77777777" w:rsidR="003A7D54" w:rsidRPr="009342F9" w:rsidRDefault="003A7D54" w:rsidP="003A7D54">
      <w:pPr>
        <w:spacing w:after="0" w:line="240" w:lineRule="auto"/>
        <w:ind w:left="360"/>
        <w:jc w:val="both"/>
        <w:rPr>
          <w:rFonts w:ascii="Arial" w:eastAsia="Times New Roman" w:hAnsi="Arial" w:cs="Arial"/>
          <w:color w:val="000000"/>
          <w:lang w:eastAsia="es-CO"/>
        </w:rPr>
      </w:pPr>
    </w:p>
    <w:p w14:paraId="4905C399" w14:textId="4BFDDCA0" w:rsidR="00FC79C1" w:rsidRPr="009342F9" w:rsidRDefault="00FC79C1" w:rsidP="003A7D54">
      <w:pPr>
        <w:numPr>
          <w:ilvl w:val="0"/>
          <w:numId w:val="25"/>
        </w:numPr>
        <w:spacing w:after="0" w:line="240" w:lineRule="auto"/>
        <w:ind w:left="360"/>
        <w:jc w:val="both"/>
        <w:rPr>
          <w:rFonts w:ascii="Arial" w:eastAsia="Times New Roman" w:hAnsi="Arial" w:cs="Arial"/>
          <w:color w:val="000000"/>
          <w:lang w:eastAsia="es-CO"/>
        </w:rPr>
      </w:pPr>
      <w:r w:rsidRPr="009342F9">
        <w:rPr>
          <w:rFonts w:ascii="Arial" w:eastAsia="Times New Roman" w:hAnsi="Arial" w:cs="Arial"/>
          <w:color w:val="000000"/>
          <w:lang w:eastAsia="es-CO"/>
        </w:rPr>
        <w:t>Convenio suscrito entre la persona prestadora y la entidad territorial, donde se determinen las obligaciones de las partes en la aplicación del esquema diferencial.</w:t>
      </w:r>
    </w:p>
    <w:p w14:paraId="6505CD73" w14:textId="77777777" w:rsidR="0015442F" w:rsidRPr="009342F9" w:rsidRDefault="0015442F" w:rsidP="0015442F">
      <w:pPr>
        <w:spacing w:after="0" w:line="240" w:lineRule="auto"/>
        <w:ind w:left="720"/>
        <w:jc w:val="both"/>
        <w:rPr>
          <w:rFonts w:ascii="Arial" w:eastAsia="Times New Roman" w:hAnsi="Arial" w:cs="Arial"/>
          <w:color w:val="000000"/>
          <w:lang w:eastAsia="es-CO"/>
        </w:rPr>
      </w:pPr>
    </w:p>
    <w:p w14:paraId="7D2DA948" w14:textId="6B8057EC" w:rsidR="00FC79C1" w:rsidRPr="009342F9" w:rsidRDefault="00FC79C1" w:rsidP="003A7D54">
      <w:pPr>
        <w:spacing w:after="0" w:line="240" w:lineRule="auto"/>
        <w:ind w:left="360"/>
        <w:jc w:val="both"/>
        <w:rPr>
          <w:rFonts w:ascii="Arial" w:eastAsia="Times New Roman" w:hAnsi="Arial" w:cs="Arial"/>
          <w:color w:val="000000"/>
          <w:lang w:eastAsia="es-CO"/>
        </w:rPr>
      </w:pPr>
      <w:r w:rsidRPr="009342F9">
        <w:rPr>
          <w:rFonts w:ascii="Arial" w:eastAsia="Times New Roman" w:hAnsi="Arial" w:cs="Arial"/>
          <w:color w:val="000000"/>
          <w:lang w:eastAsia="es-CO"/>
        </w:rPr>
        <w:t>En aquellos casos en que la prestación de los servicios públicos de acueducto, alcantarillado o aseo, estén a cargo del municipio como prestador directo, y no proceda la celebración del convenio, el Alcalde Municipal fijará mediante acto administrativo las condiciones especiales en que se prestará el respectivo servicio.  </w:t>
      </w:r>
    </w:p>
    <w:p w14:paraId="35B9D6C5" w14:textId="77777777" w:rsidR="0015442F" w:rsidRPr="009342F9" w:rsidRDefault="0015442F" w:rsidP="00FC79C1">
      <w:pPr>
        <w:spacing w:after="0" w:line="240" w:lineRule="auto"/>
        <w:ind w:left="-14"/>
        <w:jc w:val="both"/>
        <w:rPr>
          <w:rFonts w:ascii="Arial" w:eastAsia="Times New Roman" w:hAnsi="Arial" w:cs="Arial"/>
          <w:color w:val="000000"/>
          <w:lang w:eastAsia="es-CO"/>
        </w:rPr>
      </w:pPr>
    </w:p>
    <w:p w14:paraId="5BC43427" w14:textId="2AA7A120" w:rsidR="00FC79C1" w:rsidRPr="009342F9" w:rsidRDefault="00FC79C1" w:rsidP="003A7D54">
      <w:pPr>
        <w:spacing w:after="0" w:line="240" w:lineRule="auto"/>
        <w:ind w:left="360"/>
        <w:jc w:val="both"/>
        <w:rPr>
          <w:rFonts w:ascii="Arial" w:eastAsia="Times New Roman" w:hAnsi="Arial" w:cs="Arial"/>
          <w:color w:val="000000"/>
          <w:lang w:eastAsia="es-CO"/>
        </w:rPr>
      </w:pPr>
      <w:r w:rsidRPr="009342F9">
        <w:rPr>
          <w:rFonts w:ascii="Arial" w:eastAsia="Times New Roman" w:hAnsi="Arial" w:cs="Arial"/>
          <w:color w:val="000000"/>
          <w:lang w:eastAsia="es-CO"/>
        </w:rPr>
        <w:t>Cuando exista un contrato de operación y se proyecte la aplicación de un esquema diferencial en donde se comprometan recursos públicos, se deberán realizar las modificaciones que se requieran al contrato de operación existente donde se incorporen las metas establecidas en el plan de gestión señalado en el artículo 2.3.7.2.2.2.8. de la presente subsección.  </w:t>
      </w:r>
    </w:p>
    <w:p w14:paraId="7BDD1520" w14:textId="77777777" w:rsidR="0015442F" w:rsidRPr="009342F9" w:rsidRDefault="0015442F" w:rsidP="00FC79C1">
      <w:pPr>
        <w:spacing w:after="0" w:line="240" w:lineRule="auto"/>
        <w:ind w:left="-14"/>
        <w:jc w:val="both"/>
        <w:rPr>
          <w:rFonts w:ascii="Arial" w:eastAsia="Times New Roman" w:hAnsi="Arial" w:cs="Arial"/>
          <w:color w:val="000000"/>
          <w:lang w:eastAsia="es-CO"/>
        </w:rPr>
      </w:pPr>
    </w:p>
    <w:p w14:paraId="1111A5E5" w14:textId="35711BE8" w:rsidR="00FC79C1" w:rsidRPr="009342F9" w:rsidRDefault="00FC79C1" w:rsidP="003A7D54">
      <w:pPr>
        <w:numPr>
          <w:ilvl w:val="0"/>
          <w:numId w:val="26"/>
        </w:numPr>
        <w:spacing w:after="0" w:line="240" w:lineRule="auto"/>
        <w:ind w:left="360"/>
        <w:jc w:val="both"/>
        <w:rPr>
          <w:rFonts w:ascii="Arial" w:eastAsia="Times New Roman" w:hAnsi="Arial" w:cs="Arial"/>
          <w:color w:val="000000"/>
          <w:lang w:eastAsia="es-CO"/>
        </w:rPr>
      </w:pPr>
      <w:r w:rsidRPr="009342F9">
        <w:rPr>
          <w:rFonts w:ascii="Arial" w:eastAsia="Times New Roman" w:hAnsi="Arial" w:cs="Arial"/>
          <w:color w:val="000000"/>
          <w:lang w:eastAsia="es-CO"/>
        </w:rPr>
        <w:t>El plan de gestión al que se refiere el artículo 2.3.7.2.2.2.8. de la presente subsección, en donde se definan las metas, indicadores, plazos, objetivos, acciones y fuentes de financiación para el cumplimiento de las condiciones diferenciales definidas en el artículo 2.3.7.2.2.2.6. de la presente subsección y de los estándares de prestación de los servicios públicos definidos por la regulación.</w:t>
      </w:r>
    </w:p>
    <w:p w14:paraId="4F48730A" w14:textId="77777777" w:rsidR="0015442F" w:rsidRPr="009342F9" w:rsidRDefault="0015442F" w:rsidP="0015442F">
      <w:pPr>
        <w:spacing w:after="0" w:line="240" w:lineRule="auto"/>
        <w:ind w:left="720"/>
        <w:jc w:val="both"/>
        <w:rPr>
          <w:rFonts w:ascii="Arial" w:eastAsia="Times New Roman" w:hAnsi="Arial" w:cs="Arial"/>
          <w:color w:val="000000"/>
          <w:lang w:eastAsia="es-CO"/>
        </w:rPr>
      </w:pPr>
    </w:p>
    <w:p w14:paraId="6D1600FB" w14:textId="297225B8" w:rsidR="00FC79C1" w:rsidRPr="009342F9" w:rsidRDefault="00FC79C1" w:rsidP="003A7D54">
      <w:pPr>
        <w:numPr>
          <w:ilvl w:val="0"/>
          <w:numId w:val="27"/>
        </w:numPr>
        <w:spacing w:after="0" w:line="240" w:lineRule="auto"/>
        <w:ind w:left="360"/>
        <w:jc w:val="both"/>
        <w:rPr>
          <w:rFonts w:ascii="Arial" w:eastAsia="Times New Roman" w:hAnsi="Arial" w:cs="Arial"/>
          <w:color w:val="000000"/>
          <w:lang w:eastAsia="es-CO"/>
        </w:rPr>
      </w:pPr>
      <w:r w:rsidRPr="009342F9">
        <w:rPr>
          <w:rFonts w:ascii="Arial" w:eastAsia="Times New Roman" w:hAnsi="Arial" w:cs="Arial"/>
          <w:color w:val="000000"/>
          <w:lang w:eastAsia="es-CO"/>
        </w:rPr>
        <w:t>El contrato de condiciones uniformes que se aplicará en el esquema diferencial.</w:t>
      </w:r>
    </w:p>
    <w:p w14:paraId="1B1DCA94" w14:textId="77777777" w:rsidR="0015442F" w:rsidRPr="009342F9" w:rsidRDefault="0015442F" w:rsidP="0015442F">
      <w:pPr>
        <w:spacing w:after="0" w:line="240" w:lineRule="auto"/>
        <w:ind w:left="720"/>
        <w:jc w:val="both"/>
        <w:rPr>
          <w:rFonts w:ascii="Arial" w:eastAsia="Times New Roman" w:hAnsi="Arial" w:cs="Arial"/>
          <w:color w:val="000000"/>
          <w:lang w:eastAsia="es-CO"/>
        </w:rPr>
      </w:pPr>
    </w:p>
    <w:p w14:paraId="00307F45" w14:textId="60F15539" w:rsidR="00FC79C1" w:rsidRPr="009342F9" w:rsidRDefault="00FC79C1" w:rsidP="003A7D54">
      <w:pPr>
        <w:numPr>
          <w:ilvl w:val="0"/>
          <w:numId w:val="28"/>
        </w:numPr>
        <w:spacing w:after="0" w:line="240" w:lineRule="auto"/>
        <w:ind w:left="360"/>
        <w:jc w:val="both"/>
        <w:rPr>
          <w:rFonts w:ascii="Arial" w:eastAsia="Times New Roman" w:hAnsi="Arial" w:cs="Arial"/>
          <w:color w:val="000000"/>
          <w:lang w:eastAsia="es-CO"/>
        </w:rPr>
      </w:pPr>
      <w:r w:rsidRPr="009342F9">
        <w:rPr>
          <w:rFonts w:ascii="Arial" w:eastAsia="Times New Roman" w:hAnsi="Arial" w:cs="Arial"/>
          <w:color w:val="000000"/>
          <w:lang w:eastAsia="es-CO"/>
        </w:rPr>
        <w:t>Estudio de costos y tarifas a aplicar en la zona de difícil acceso para cada servicio que será sujeto del esquema diferencial, el cual deberá ajustarse de acuerdo con la regulación que para el efecto defina la Comisión de Regulación de Agua Potable y Saneamiento Básico.</w:t>
      </w:r>
    </w:p>
    <w:p w14:paraId="255F5429" w14:textId="77777777" w:rsidR="0015442F" w:rsidRPr="009342F9" w:rsidRDefault="0015442F" w:rsidP="0015442F">
      <w:pPr>
        <w:spacing w:after="0" w:line="240" w:lineRule="auto"/>
        <w:ind w:left="720"/>
        <w:jc w:val="both"/>
        <w:rPr>
          <w:rFonts w:ascii="Arial" w:eastAsia="Times New Roman" w:hAnsi="Arial" w:cs="Arial"/>
          <w:color w:val="000000"/>
          <w:lang w:eastAsia="es-CO"/>
        </w:rPr>
      </w:pPr>
    </w:p>
    <w:p w14:paraId="5F8F24B3" w14:textId="552C6450" w:rsidR="00FC79C1" w:rsidRPr="009342F9" w:rsidRDefault="00FC79C1" w:rsidP="00E95447">
      <w:pPr>
        <w:spacing w:after="0" w:line="240" w:lineRule="auto"/>
        <w:ind w:left="360"/>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xml:space="preserve">Mientras la Comisión de Regulación de Agua Potable y Saneamiento Básico expide la regulación para este esquema, el prestador deberá aplicar la metodología tarifaria vigente, los </w:t>
      </w:r>
      <w:proofErr w:type="gramStart"/>
      <w:r w:rsidRPr="009342F9">
        <w:rPr>
          <w:rFonts w:ascii="Arial" w:eastAsia="Times New Roman" w:hAnsi="Arial" w:cs="Arial"/>
          <w:color w:val="000000"/>
          <w:lang w:eastAsia="es-CO"/>
        </w:rPr>
        <w:t>cuales</w:t>
      </w:r>
      <w:proofErr w:type="gramEnd"/>
      <w:r w:rsidRPr="009342F9">
        <w:rPr>
          <w:rFonts w:ascii="Arial" w:eastAsia="Times New Roman" w:hAnsi="Arial" w:cs="Arial"/>
          <w:color w:val="000000"/>
          <w:lang w:eastAsia="es-CO"/>
        </w:rPr>
        <w:t xml:space="preserve"> en todo caso, no deberán superar los costos de referencia, teniendo en cuenta para ello las condiciones diferenciales de prestación.  </w:t>
      </w:r>
    </w:p>
    <w:p w14:paraId="23112C7A" w14:textId="77777777" w:rsidR="0015442F" w:rsidRPr="009342F9" w:rsidRDefault="0015442F" w:rsidP="00FC79C1">
      <w:pPr>
        <w:spacing w:after="0" w:line="240" w:lineRule="auto"/>
        <w:ind w:left="-14"/>
        <w:jc w:val="both"/>
        <w:rPr>
          <w:rFonts w:ascii="Arial" w:eastAsia="Times New Roman" w:hAnsi="Arial" w:cs="Arial"/>
          <w:color w:val="000000"/>
          <w:lang w:eastAsia="es-CO"/>
        </w:rPr>
      </w:pPr>
    </w:p>
    <w:p w14:paraId="117FCE6F" w14:textId="77777777" w:rsidR="00FC79C1" w:rsidRPr="009342F9" w:rsidRDefault="00FC79C1" w:rsidP="00E95447">
      <w:pPr>
        <w:numPr>
          <w:ilvl w:val="0"/>
          <w:numId w:val="29"/>
        </w:numPr>
        <w:spacing w:after="0" w:line="240" w:lineRule="auto"/>
        <w:ind w:left="360"/>
        <w:jc w:val="both"/>
        <w:rPr>
          <w:rFonts w:ascii="Arial" w:eastAsia="Times New Roman" w:hAnsi="Arial" w:cs="Arial"/>
          <w:color w:val="000000"/>
          <w:lang w:eastAsia="es-CO"/>
        </w:rPr>
      </w:pPr>
      <w:r w:rsidRPr="009342F9">
        <w:rPr>
          <w:rFonts w:ascii="Arial" w:eastAsia="Times New Roman" w:hAnsi="Arial" w:cs="Arial"/>
          <w:color w:val="000000"/>
          <w:lang w:eastAsia="es-CO"/>
        </w:rPr>
        <w:t>Los demás requisitos de metodología y documentación de soporte que establezca la Comisión de Regulación de Agua Potable y Saneamiento Básico.</w:t>
      </w:r>
    </w:p>
    <w:p w14:paraId="1A19A690" w14:textId="64E40EDF"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169" w:name="ver_30125070"/>
      <w:bookmarkEnd w:id="2169"/>
    </w:p>
    <w:p w14:paraId="65178FCB" w14:textId="77777777" w:rsidR="00FC79C1" w:rsidRPr="009342F9" w:rsidRDefault="00FC79C1" w:rsidP="00E95447">
      <w:pPr>
        <w:spacing w:after="0" w:line="240" w:lineRule="auto"/>
        <w:ind w:left="-14" w:firstLine="14"/>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2.3.7.2.2.2.3. Aceptación de la solicitud del esquema diferencial en zonas de difícil acceso. La aceptación de la solicitud por parte de la Comisión de Regulación de Agua Potable y Saneamiento Básico para la aplicación del esquema diferencial se hará mediante acto administrativo en el cual se constatará como mínimo:  </w:t>
      </w:r>
    </w:p>
    <w:p w14:paraId="5CA43339" w14:textId="3AA481DD" w:rsidR="00FC79C1" w:rsidRPr="009342F9" w:rsidRDefault="00FC79C1" w:rsidP="00FC79C1">
      <w:pPr>
        <w:spacing w:after="0" w:line="240" w:lineRule="auto"/>
        <w:ind w:left="-14"/>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24DE854" w14:textId="77777777" w:rsidR="00FC79C1" w:rsidRPr="009342F9" w:rsidRDefault="00FC79C1" w:rsidP="00E95447">
      <w:pPr>
        <w:numPr>
          <w:ilvl w:val="0"/>
          <w:numId w:val="30"/>
        </w:numPr>
        <w:spacing w:after="0" w:line="240" w:lineRule="auto"/>
        <w:ind w:left="360"/>
        <w:jc w:val="both"/>
        <w:rPr>
          <w:rFonts w:ascii="Arial" w:eastAsia="Times New Roman" w:hAnsi="Arial" w:cs="Arial"/>
          <w:color w:val="000000"/>
          <w:lang w:eastAsia="es-CO"/>
        </w:rPr>
      </w:pPr>
      <w:r w:rsidRPr="009342F9">
        <w:rPr>
          <w:rFonts w:ascii="Arial" w:eastAsia="Times New Roman" w:hAnsi="Arial" w:cs="Arial"/>
          <w:color w:val="000000"/>
          <w:lang w:eastAsia="es-CO"/>
        </w:rPr>
        <w:t>Que quien presente la solicitud sea la persona prestadora de los servicios públicos de acueducto, alcantarillado o aseo sujetos al esquema diferencial.</w:t>
      </w:r>
    </w:p>
    <w:p w14:paraId="21D69118" w14:textId="77777777" w:rsidR="00FC79C1" w:rsidRPr="009342F9" w:rsidRDefault="00FC79C1" w:rsidP="00FC79C1">
      <w:pPr>
        <w:spacing w:after="0" w:line="240" w:lineRule="auto"/>
        <w:ind w:left="274"/>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F89107F" w14:textId="77777777" w:rsidR="00FC79C1" w:rsidRPr="009342F9" w:rsidRDefault="00FC79C1" w:rsidP="00E95447">
      <w:pPr>
        <w:numPr>
          <w:ilvl w:val="0"/>
          <w:numId w:val="31"/>
        </w:numPr>
        <w:spacing w:after="0" w:line="240" w:lineRule="auto"/>
        <w:ind w:left="360"/>
        <w:jc w:val="both"/>
        <w:rPr>
          <w:rFonts w:ascii="Arial" w:eastAsia="Times New Roman" w:hAnsi="Arial" w:cs="Arial"/>
          <w:color w:val="000000"/>
          <w:lang w:eastAsia="es-CO"/>
        </w:rPr>
      </w:pPr>
      <w:r w:rsidRPr="009342F9">
        <w:rPr>
          <w:rFonts w:ascii="Arial" w:eastAsia="Times New Roman" w:hAnsi="Arial" w:cs="Arial"/>
          <w:color w:val="000000"/>
          <w:lang w:eastAsia="es-CO"/>
        </w:rPr>
        <w:t>Que el convenio, al que se refiere el numeral 2 del artículo anterior, se encuentre suscrito por parte del Alcalde Municipal y el Representante Legal de la persona prestadora y en él se identifiquen las obligaciones de las partes.</w:t>
      </w:r>
    </w:p>
    <w:p w14:paraId="3632C321" w14:textId="1C1B76F4" w:rsidR="00FC79C1" w:rsidRPr="009342F9" w:rsidRDefault="00FC79C1" w:rsidP="0015442F">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47498A3" w14:textId="77777777" w:rsidR="00FC79C1" w:rsidRPr="009342F9" w:rsidRDefault="00FC79C1" w:rsidP="00E95447">
      <w:pPr>
        <w:spacing w:after="0" w:line="240" w:lineRule="auto"/>
        <w:ind w:left="360"/>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En aquellos casos en que la prestación de los servicios públicos de acueducto, alcantarillado o </w:t>
      </w:r>
      <w:proofErr w:type="gramStart"/>
      <w:r w:rsidRPr="009342F9">
        <w:rPr>
          <w:rFonts w:ascii="Arial" w:eastAsia="Times New Roman" w:hAnsi="Arial" w:cs="Arial"/>
          <w:color w:val="000000"/>
          <w:lang w:eastAsia="es-CO"/>
        </w:rPr>
        <w:t>aseo,</w:t>
      </w:r>
      <w:proofErr w:type="gramEnd"/>
      <w:r w:rsidRPr="009342F9">
        <w:rPr>
          <w:rFonts w:ascii="Arial" w:eastAsia="Times New Roman" w:hAnsi="Arial" w:cs="Arial"/>
          <w:color w:val="000000"/>
          <w:lang w:eastAsia="es-CO"/>
        </w:rPr>
        <w:t xml:space="preserve"> esté a cargo del municipio como prestador directo, estas estén definidas en el acto administrativo expedido por el Alcalde Municipal.  </w:t>
      </w:r>
    </w:p>
    <w:p w14:paraId="18108247" w14:textId="77777777" w:rsidR="00FC79C1" w:rsidRPr="009342F9" w:rsidRDefault="00FC79C1" w:rsidP="00FC79C1">
      <w:pPr>
        <w:spacing w:after="0" w:line="240" w:lineRule="auto"/>
        <w:ind w:left="-14"/>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C62A832" w14:textId="77777777" w:rsidR="00FC79C1" w:rsidRPr="009342F9" w:rsidRDefault="00FC79C1" w:rsidP="00E95447">
      <w:pPr>
        <w:spacing w:after="0" w:line="240" w:lineRule="auto"/>
        <w:ind w:left="360"/>
        <w:jc w:val="both"/>
        <w:rPr>
          <w:rFonts w:ascii="Arial" w:eastAsia="Times New Roman" w:hAnsi="Arial" w:cs="Arial"/>
          <w:color w:val="000000"/>
          <w:lang w:eastAsia="es-CO"/>
        </w:rPr>
      </w:pPr>
      <w:r w:rsidRPr="009342F9">
        <w:rPr>
          <w:rFonts w:ascii="Arial" w:eastAsia="Times New Roman" w:hAnsi="Arial" w:cs="Arial"/>
          <w:color w:val="000000"/>
          <w:lang w:eastAsia="es-CO"/>
        </w:rPr>
        <w:t>Que cuando exista un contrato de operación y se proyecte la aplicación de un esquema diferencial en donde se comprometan recursos públicos, se hayan realizado las modificaciones al contrato de operación existente donde se incorporen las metas establecidas en el plan de gestión señalado en el artículo 2.3.7.2.2.2.8. de la presente subsección.  </w:t>
      </w:r>
    </w:p>
    <w:p w14:paraId="7FDB6E29" w14:textId="77777777" w:rsidR="00FC79C1" w:rsidRPr="009342F9" w:rsidRDefault="00FC79C1" w:rsidP="00FC79C1">
      <w:pPr>
        <w:spacing w:after="0" w:line="240" w:lineRule="auto"/>
        <w:ind w:left="-14"/>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01E1F98" w14:textId="77777777" w:rsidR="00FC79C1" w:rsidRPr="009342F9" w:rsidRDefault="00FC79C1" w:rsidP="00E95447">
      <w:pPr>
        <w:numPr>
          <w:ilvl w:val="0"/>
          <w:numId w:val="32"/>
        </w:numPr>
        <w:spacing w:after="0" w:line="240" w:lineRule="auto"/>
        <w:ind w:left="360"/>
        <w:jc w:val="both"/>
        <w:rPr>
          <w:rFonts w:ascii="Arial" w:eastAsia="Times New Roman" w:hAnsi="Arial" w:cs="Arial"/>
          <w:color w:val="000000"/>
          <w:lang w:eastAsia="es-CO"/>
        </w:rPr>
      </w:pPr>
      <w:r w:rsidRPr="009342F9">
        <w:rPr>
          <w:rFonts w:ascii="Arial" w:eastAsia="Times New Roman" w:hAnsi="Arial" w:cs="Arial"/>
          <w:color w:val="000000"/>
          <w:lang w:eastAsia="es-CO"/>
        </w:rPr>
        <w:t>Que el plan de gestión al que se refiere el artículo 2.3.7.2.2.2.8. de la presente subsección, se encuentre suscrito por el Representante Legal de la persona prestadora y se identifiquen las metas, indicadores, plazos, objetivos, acciones y fuentes de financiación para el cumplimiento de las condiciones diferenciales definidas en el artículo 2.3.7.2.2.2.6. de la presente subsección y de los estándares de prestación de los servicios públicos definidos por la regulación.</w:t>
      </w:r>
    </w:p>
    <w:p w14:paraId="3EAED812" w14:textId="77777777" w:rsidR="00FC79C1" w:rsidRPr="009342F9" w:rsidRDefault="00FC79C1" w:rsidP="00FC79C1">
      <w:pPr>
        <w:spacing w:after="0" w:line="240" w:lineRule="auto"/>
        <w:ind w:left="274"/>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4A3F9D0" w14:textId="77777777" w:rsidR="00FC79C1" w:rsidRPr="009342F9" w:rsidRDefault="00FC79C1" w:rsidP="00E95447">
      <w:pPr>
        <w:numPr>
          <w:ilvl w:val="0"/>
          <w:numId w:val="33"/>
        </w:numPr>
        <w:spacing w:after="0" w:line="240" w:lineRule="auto"/>
        <w:ind w:left="360"/>
        <w:jc w:val="both"/>
        <w:rPr>
          <w:rFonts w:ascii="Arial" w:eastAsia="Times New Roman" w:hAnsi="Arial" w:cs="Arial"/>
          <w:color w:val="000000"/>
          <w:lang w:eastAsia="es-CO"/>
        </w:rPr>
      </w:pPr>
      <w:proofErr w:type="gramStart"/>
      <w:r w:rsidRPr="009342F9">
        <w:rPr>
          <w:rFonts w:ascii="Arial" w:eastAsia="Times New Roman" w:hAnsi="Arial" w:cs="Arial"/>
          <w:color w:val="000000"/>
          <w:lang w:eastAsia="es-CO"/>
        </w:rPr>
        <w:t>Que</w:t>
      </w:r>
      <w:proofErr w:type="gramEnd"/>
      <w:r w:rsidRPr="009342F9">
        <w:rPr>
          <w:rFonts w:ascii="Arial" w:eastAsia="Times New Roman" w:hAnsi="Arial" w:cs="Arial"/>
          <w:color w:val="000000"/>
          <w:lang w:eastAsia="es-CO"/>
        </w:rPr>
        <w:t xml:space="preserve"> en el contrato de condiciones uniformes, al que se refiere el numeral 4 del artículo anterior, se contemplen las condiciones en las que se prestará el servicio.</w:t>
      </w:r>
    </w:p>
    <w:p w14:paraId="4E6E4773" w14:textId="64AF1E5E" w:rsidR="00FC79C1" w:rsidRPr="009342F9" w:rsidRDefault="00FC79C1" w:rsidP="0015442F">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7B7ECE7" w14:textId="77777777" w:rsidR="00FC79C1" w:rsidRPr="009342F9" w:rsidRDefault="00FC79C1" w:rsidP="00E95447">
      <w:pPr>
        <w:numPr>
          <w:ilvl w:val="0"/>
          <w:numId w:val="34"/>
        </w:numPr>
        <w:spacing w:after="0" w:line="240" w:lineRule="auto"/>
        <w:ind w:left="360"/>
        <w:jc w:val="both"/>
        <w:rPr>
          <w:rFonts w:ascii="Arial" w:eastAsia="Times New Roman" w:hAnsi="Arial" w:cs="Arial"/>
          <w:color w:val="000000"/>
          <w:lang w:eastAsia="es-CO"/>
        </w:rPr>
      </w:pPr>
      <w:r w:rsidRPr="009342F9">
        <w:rPr>
          <w:rFonts w:ascii="Arial" w:eastAsia="Times New Roman" w:hAnsi="Arial" w:cs="Arial"/>
          <w:color w:val="000000"/>
          <w:lang w:eastAsia="es-CO"/>
        </w:rPr>
        <w:t>Que el estudio de costos y tarifas, al que se refiere el numeral 5 del artículo anterior, se ajuste a la regulación que para el efecto expida la Comisión de Regulación de Agua Potable y Saneamiento Básico.</w:t>
      </w:r>
    </w:p>
    <w:p w14:paraId="660849DC" w14:textId="77777777" w:rsidR="00FC79C1" w:rsidRPr="009342F9" w:rsidRDefault="00FC79C1" w:rsidP="00FC79C1">
      <w:pPr>
        <w:spacing w:after="0" w:line="240" w:lineRule="auto"/>
        <w:ind w:left="274"/>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7066525" w14:textId="77777777" w:rsidR="00FC79C1" w:rsidRPr="009342F9" w:rsidRDefault="00FC79C1" w:rsidP="00E95447">
      <w:pPr>
        <w:spacing w:after="0" w:line="240" w:lineRule="auto"/>
        <w:ind w:left="360"/>
        <w:jc w:val="both"/>
        <w:rPr>
          <w:rFonts w:ascii="Arial" w:eastAsia="Times New Roman" w:hAnsi="Arial" w:cs="Arial"/>
          <w:color w:val="000000"/>
          <w:lang w:eastAsia="es-CO"/>
        </w:rPr>
      </w:pPr>
      <w:r w:rsidRPr="009342F9">
        <w:rPr>
          <w:rFonts w:ascii="Arial" w:eastAsia="Times New Roman" w:hAnsi="Arial" w:cs="Arial"/>
          <w:color w:val="000000"/>
          <w:lang w:eastAsia="es-CO"/>
        </w:rPr>
        <w:t>Que mientras la Comisión de Regulación de Agua Potable y Saneamiento Básico expide la regulación para este esquema se aplique lo previsto en el inciso segundo del numeral 5 del artículo 2.3.7.2.2.2.2. de la presente subsección.  </w:t>
      </w:r>
    </w:p>
    <w:p w14:paraId="7B632FAE" w14:textId="77777777" w:rsidR="00FC79C1" w:rsidRPr="009342F9" w:rsidRDefault="00FC79C1" w:rsidP="00FC79C1">
      <w:pPr>
        <w:spacing w:after="0" w:line="240" w:lineRule="auto"/>
        <w:ind w:left="-14"/>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7290DFD" w14:textId="77777777" w:rsidR="00FC79C1" w:rsidRPr="009342F9" w:rsidRDefault="00FC79C1" w:rsidP="00E95447">
      <w:pPr>
        <w:numPr>
          <w:ilvl w:val="0"/>
          <w:numId w:val="35"/>
        </w:numPr>
        <w:spacing w:after="0" w:line="240" w:lineRule="auto"/>
        <w:ind w:left="360"/>
        <w:jc w:val="both"/>
        <w:rPr>
          <w:rFonts w:ascii="Arial" w:eastAsia="Times New Roman" w:hAnsi="Arial" w:cs="Arial"/>
          <w:color w:val="000000"/>
          <w:lang w:eastAsia="es-CO"/>
        </w:rPr>
      </w:pPr>
      <w:r w:rsidRPr="009342F9">
        <w:rPr>
          <w:rFonts w:ascii="Arial" w:eastAsia="Times New Roman" w:hAnsi="Arial" w:cs="Arial"/>
          <w:color w:val="000000"/>
          <w:lang w:eastAsia="es-CO"/>
        </w:rPr>
        <w:t>Que se cumple con los demás requisitos de metodología y documentación de soporte establecidos por la Comisión de Regulación de Agua Potable y Saneamiento Básico.</w:t>
      </w:r>
    </w:p>
    <w:p w14:paraId="1C741376" w14:textId="215F2ABE" w:rsidR="00FC79C1" w:rsidRPr="009342F9" w:rsidRDefault="00FC79C1" w:rsidP="0015442F">
      <w:pPr>
        <w:spacing w:after="0" w:line="240" w:lineRule="auto"/>
        <w:ind w:left="274"/>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170" w:name="ver_30125072"/>
      <w:bookmarkEnd w:id="2170"/>
    </w:p>
    <w:p w14:paraId="2C1B5F26" w14:textId="77777777" w:rsidR="00FC79C1" w:rsidRPr="009342F9" w:rsidRDefault="00FC79C1" w:rsidP="00FC79C1">
      <w:pPr>
        <w:spacing w:after="0" w:line="240" w:lineRule="auto"/>
        <w:ind w:left="-14"/>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Artículo 2.3.7.2.2.2.4. Modificación y prórroga de las condiciones diferenciales en zonas de difícil acceso. Las metas, indicadores, plazos, objetivos y acciones para el cumplimiento de las condiciones diferenciales definidas en el artículo 2.3.7.2.2.2.6. de la presente subsección, podrán ser modificadas y prorrogadas antes del vencimiento del plazo señalado para la terminación del esquema diferencial por la Comisión de Regulación de Agua Potable y Saneamiento Básico, de oficio o por previa solicitud sustentada por parte de la persona prestadora. En este caso, la persona prestadora deberá ajustar el plan de gestión al que se refiere el artículo 2.3.7.2.2.2.8. de la presente subsección.  </w:t>
      </w:r>
    </w:p>
    <w:p w14:paraId="311E0102" w14:textId="77777777" w:rsidR="00FC79C1" w:rsidRPr="009342F9" w:rsidRDefault="00FC79C1" w:rsidP="00FC79C1">
      <w:pPr>
        <w:spacing w:after="0" w:line="240" w:lineRule="auto"/>
        <w:ind w:left="-14"/>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7197926" w14:textId="77777777" w:rsidR="00FC79C1" w:rsidRPr="009342F9" w:rsidRDefault="00FC79C1" w:rsidP="00FC79C1">
      <w:pPr>
        <w:spacing w:after="0" w:line="240" w:lineRule="auto"/>
        <w:ind w:left="-14"/>
        <w:jc w:val="both"/>
        <w:rPr>
          <w:rFonts w:ascii="Arial" w:eastAsia="Times New Roman" w:hAnsi="Arial" w:cs="Arial"/>
          <w:color w:val="000000"/>
          <w:lang w:eastAsia="es-CO"/>
        </w:rPr>
      </w:pPr>
      <w:r w:rsidRPr="009342F9">
        <w:rPr>
          <w:rFonts w:ascii="Arial" w:eastAsia="Times New Roman" w:hAnsi="Arial" w:cs="Arial"/>
          <w:color w:val="000000"/>
          <w:lang w:eastAsia="es-CO"/>
        </w:rPr>
        <w:t>Una vez modificadas y prorrogadas las metas, indicadores, plazos, objetivos y acciones para el cumplimiento de las condiciones diferenciales definidas en el artículo 2.3.7.2.2.2.6. de la presente subsección, la persona prestadora deberá reportar esta circunstancia en el Sistema Único de Información (SUI) administrado por la Superintendencia de Servicios Públicos Domiciliarios.  </w:t>
      </w:r>
    </w:p>
    <w:p w14:paraId="3CF267EB" w14:textId="5AF78175"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171" w:name="ver_30125075"/>
      <w:bookmarkEnd w:id="2171"/>
    </w:p>
    <w:p w14:paraId="3A898940" w14:textId="77777777" w:rsidR="00FC79C1" w:rsidRPr="009342F9" w:rsidRDefault="00FC79C1" w:rsidP="00FC79C1">
      <w:pPr>
        <w:spacing w:after="0" w:line="240" w:lineRule="auto"/>
        <w:ind w:left="-14"/>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2.3.7.2.2.2.5. Terminación del esquema diferencial en zonas de difícil acceso. El esquema diferencial termina cuando se superan las condiciones del servicio que dieron origen a la prestación en condiciones diferenciales dentro del plazo fijado o cuando culmine el plazo del plan que contiene las metas y gradualidad para el logro de los estándares señalados por la regulación. En todo caso, la persona prestadora deberá informarlo a la Superintendencia de Servicios Públicos Domiciliarios y a la Comisión de Regulación de Agua Potable y Saneamiento Básico.  </w:t>
      </w:r>
    </w:p>
    <w:p w14:paraId="49631EC9" w14:textId="77777777" w:rsidR="00FC79C1" w:rsidRPr="009342F9" w:rsidRDefault="00FC79C1" w:rsidP="00FC79C1">
      <w:pPr>
        <w:spacing w:after="0" w:line="240" w:lineRule="auto"/>
        <w:ind w:left="-14"/>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AA0EA3F" w14:textId="77777777" w:rsidR="00FC79C1" w:rsidRPr="009342F9" w:rsidRDefault="00FC79C1" w:rsidP="00FC79C1">
      <w:pPr>
        <w:spacing w:after="0" w:line="240" w:lineRule="auto"/>
        <w:ind w:left="-14"/>
        <w:jc w:val="both"/>
        <w:rPr>
          <w:rFonts w:ascii="Arial" w:eastAsia="Times New Roman" w:hAnsi="Arial" w:cs="Arial"/>
          <w:color w:val="000000"/>
          <w:lang w:eastAsia="es-CO"/>
        </w:rPr>
      </w:pPr>
      <w:r w:rsidRPr="009342F9">
        <w:rPr>
          <w:rFonts w:ascii="Arial" w:eastAsia="Times New Roman" w:hAnsi="Arial" w:cs="Arial"/>
          <w:color w:val="000000"/>
          <w:lang w:eastAsia="es-CO"/>
        </w:rPr>
        <w:t>La Comisión de Regulación de Agua Potable y Saneamiento Básico podrá dar por terminado el esquema diferencial cuando encuentre que no se ha logrado el cumplimiento de las metas, indicadores, plazos, objetivos y acciones señalados en el plan de gestión.  </w:t>
      </w:r>
    </w:p>
    <w:p w14:paraId="0A475BF1" w14:textId="77777777" w:rsidR="00FC79C1" w:rsidRPr="009342F9" w:rsidRDefault="00FC79C1" w:rsidP="00FC79C1">
      <w:pPr>
        <w:spacing w:after="0" w:line="240" w:lineRule="auto"/>
        <w:ind w:left="-14"/>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E9ED323" w14:textId="77777777" w:rsidR="00FC79C1" w:rsidRPr="009342F9" w:rsidRDefault="00FC79C1" w:rsidP="00FC79C1">
      <w:pPr>
        <w:spacing w:after="0" w:line="240" w:lineRule="auto"/>
        <w:ind w:left="-14"/>
        <w:jc w:val="both"/>
        <w:rPr>
          <w:rFonts w:ascii="Arial" w:eastAsia="Times New Roman" w:hAnsi="Arial" w:cs="Arial"/>
          <w:color w:val="000000"/>
          <w:lang w:eastAsia="es-CO"/>
        </w:rPr>
      </w:pPr>
      <w:r w:rsidRPr="009342F9">
        <w:rPr>
          <w:rFonts w:ascii="Arial" w:eastAsia="Times New Roman" w:hAnsi="Arial" w:cs="Arial"/>
          <w:color w:val="000000"/>
          <w:lang w:eastAsia="es-CO"/>
        </w:rPr>
        <w:t>La Superintendencia de Servicios Públicos Domiciliarios en ejercicio de sus funciones de inspección, vigilancia y control cuando observe que no se están cumpliendo las obligaciones a cargo de esta en la aplicación del esquema diferencial podrá imponer las sanciones y demás acciones para corregir la actuación del prestador.  </w:t>
      </w:r>
    </w:p>
    <w:p w14:paraId="2CE17854" w14:textId="642E4C74"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172" w:name="ver_30125086"/>
      <w:bookmarkEnd w:id="2172"/>
    </w:p>
    <w:p w14:paraId="60D1F09A" w14:textId="77777777" w:rsidR="00FC79C1" w:rsidRPr="009342F9" w:rsidRDefault="00FC79C1" w:rsidP="00FC79C1">
      <w:pPr>
        <w:spacing w:after="0" w:line="240" w:lineRule="auto"/>
        <w:ind w:left="-14"/>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2.3.7.2.2.2.6. Condiciones de los esquemas diferenciales para los servicios de acueducto, alcantarillado o aseo en una zona de difícil acceso. La persona prestadora de los servicios públicos de acueducto, alcantarillado o aseo que opere en una zona de difícil acceso, podrá sujetarse a las siguientes condiciones diferenciales, durante el plazo del esquema diferencial:  </w:t>
      </w:r>
    </w:p>
    <w:p w14:paraId="710825B9" w14:textId="77777777" w:rsidR="00FC79C1" w:rsidRPr="009342F9" w:rsidRDefault="00FC79C1" w:rsidP="00FC79C1">
      <w:pPr>
        <w:spacing w:after="0" w:line="240" w:lineRule="auto"/>
        <w:ind w:left="-14"/>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09C2BFB" w14:textId="5416C04B" w:rsidR="00FC79C1" w:rsidRDefault="00FC79C1" w:rsidP="00E95447">
      <w:pPr>
        <w:numPr>
          <w:ilvl w:val="0"/>
          <w:numId w:val="36"/>
        </w:numPr>
        <w:spacing w:after="0" w:line="240" w:lineRule="auto"/>
        <w:ind w:left="360"/>
        <w:jc w:val="both"/>
        <w:rPr>
          <w:rFonts w:ascii="Arial" w:eastAsia="Times New Roman" w:hAnsi="Arial" w:cs="Arial"/>
          <w:color w:val="000000"/>
          <w:lang w:eastAsia="es-CO"/>
        </w:rPr>
      </w:pPr>
      <w:r w:rsidRPr="009342F9">
        <w:rPr>
          <w:rFonts w:ascii="Arial" w:eastAsia="Times New Roman" w:hAnsi="Arial" w:cs="Arial"/>
          <w:color w:val="000000"/>
          <w:lang w:eastAsia="es-CO"/>
        </w:rPr>
        <w:t>Servicio de acueducto y alcantarillado:</w:t>
      </w:r>
    </w:p>
    <w:p w14:paraId="07DBE241" w14:textId="77777777" w:rsidR="00E95447" w:rsidRPr="009342F9" w:rsidRDefault="00E95447" w:rsidP="00E95447">
      <w:pPr>
        <w:spacing w:after="0" w:line="240" w:lineRule="auto"/>
        <w:ind w:left="720"/>
        <w:jc w:val="both"/>
        <w:rPr>
          <w:rFonts w:ascii="Arial" w:eastAsia="Times New Roman" w:hAnsi="Arial" w:cs="Arial"/>
          <w:color w:val="000000"/>
          <w:lang w:eastAsia="es-CO"/>
        </w:rPr>
      </w:pPr>
    </w:p>
    <w:p w14:paraId="62502D19" w14:textId="19838566" w:rsidR="00FC79C1" w:rsidRDefault="00FC79C1" w:rsidP="00E95447">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Continuidad. La persona prestadora del servicio público de acueducto que no pueda suministrar agua de manera continua, podrá suministrarla garantizando un volumen </w:t>
      </w:r>
      <w:proofErr w:type="gramStart"/>
      <w:r w:rsidRPr="009342F9">
        <w:rPr>
          <w:rFonts w:ascii="Arial" w:eastAsia="Times New Roman" w:hAnsi="Arial" w:cs="Arial"/>
          <w:color w:val="000000"/>
          <w:lang w:eastAsia="es-CO"/>
        </w:rPr>
        <w:t>de acuerdo a</w:t>
      </w:r>
      <w:proofErr w:type="gramEnd"/>
      <w:r w:rsidRPr="009342F9">
        <w:rPr>
          <w:rFonts w:ascii="Arial" w:eastAsia="Times New Roman" w:hAnsi="Arial" w:cs="Arial"/>
          <w:color w:val="000000"/>
          <w:lang w:eastAsia="es-CO"/>
        </w:rPr>
        <w:t xml:space="preserve"> las condiciones técnicas del sistema, el cual deberá incrementarse hasta lograr por lo menos el suministro del consumo básico establecido por la Comisión de Regulación de Agua Potable y Saneamiento Básico, en concordancia con el plan de gestión señalado en el artículo 2.3.7.2.2.2.8. de la presente subsección y el convenio suscrito entre la persona prestadora y la entidad territorial.</w:t>
      </w:r>
    </w:p>
    <w:p w14:paraId="65A14CDB" w14:textId="77777777" w:rsidR="00E95447" w:rsidRPr="009342F9" w:rsidRDefault="00E95447" w:rsidP="00E95447">
      <w:pPr>
        <w:spacing w:after="0" w:line="240" w:lineRule="auto"/>
        <w:ind w:left="1440"/>
        <w:jc w:val="both"/>
        <w:rPr>
          <w:rFonts w:ascii="Arial" w:eastAsia="Times New Roman" w:hAnsi="Arial" w:cs="Arial"/>
          <w:color w:val="000000"/>
          <w:lang w:eastAsia="es-CO"/>
        </w:rPr>
      </w:pPr>
    </w:p>
    <w:p w14:paraId="38DF0E05" w14:textId="77777777" w:rsidR="00FC79C1" w:rsidRPr="009342F9" w:rsidRDefault="00FC79C1" w:rsidP="00E95447">
      <w:pPr>
        <w:spacing w:after="0" w:line="240" w:lineRule="auto"/>
        <w:jc w:val="both"/>
        <w:rPr>
          <w:rFonts w:ascii="Arial" w:eastAsia="Times New Roman" w:hAnsi="Arial" w:cs="Arial"/>
          <w:color w:val="000000"/>
          <w:lang w:eastAsia="es-CO"/>
        </w:rPr>
      </w:pPr>
      <w:proofErr w:type="spellStart"/>
      <w:r w:rsidRPr="009342F9">
        <w:rPr>
          <w:rFonts w:ascii="Arial" w:eastAsia="Times New Roman" w:hAnsi="Arial" w:cs="Arial"/>
          <w:color w:val="000000"/>
          <w:lang w:eastAsia="es-CO"/>
        </w:rPr>
        <w:t>Micromedición</w:t>
      </w:r>
      <w:proofErr w:type="spellEnd"/>
      <w:r w:rsidRPr="009342F9">
        <w:rPr>
          <w:rFonts w:ascii="Arial" w:eastAsia="Times New Roman" w:hAnsi="Arial" w:cs="Arial"/>
          <w:color w:val="000000"/>
          <w:lang w:eastAsia="es-CO"/>
        </w:rPr>
        <w:t xml:space="preserve">. La persona prestadora del servicio público de acueducto que no cuente con </w:t>
      </w:r>
      <w:proofErr w:type="spellStart"/>
      <w:r w:rsidRPr="009342F9">
        <w:rPr>
          <w:rFonts w:ascii="Arial" w:eastAsia="Times New Roman" w:hAnsi="Arial" w:cs="Arial"/>
          <w:color w:val="000000"/>
          <w:lang w:eastAsia="es-CO"/>
        </w:rPr>
        <w:t>micromedición</w:t>
      </w:r>
      <w:proofErr w:type="spellEnd"/>
      <w:r w:rsidRPr="009342F9">
        <w:rPr>
          <w:rFonts w:ascii="Arial" w:eastAsia="Times New Roman" w:hAnsi="Arial" w:cs="Arial"/>
          <w:color w:val="000000"/>
          <w:lang w:eastAsia="es-CO"/>
        </w:rPr>
        <w:t xml:space="preserve"> individual en la zona de difícil acceso, podrá realizar la estimación de los consumos de los suscriptores que carecen de medidor, mediante</w:t>
      </w:r>
    </w:p>
    <w:p w14:paraId="6029ABE8" w14:textId="77777777" w:rsidR="00FC79C1" w:rsidRPr="009342F9" w:rsidRDefault="00FC79C1" w:rsidP="00FC79C1">
      <w:pPr>
        <w:spacing w:after="0" w:line="240" w:lineRule="auto"/>
        <w:ind w:left="994"/>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9B4D82C" w14:textId="77777777" w:rsidR="00FC79C1" w:rsidRPr="009342F9" w:rsidRDefault="00FC79C1" w:rsidP="00FC79C1">
      <w:pPr>
        <w:spacing w:after="0" w:line="240" w:lineRule="auto"/>
        <w:ind w:left="-14"/>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parámetros alternativos definidos por la Comisión de Regulación de Agua Potable y Saneamiento Básico, para efectos de la facturación.  </w:t>
      </w:r>
    </w:p>
    <w:p w14:paraId="69D5D13F" w14:textId="77777777" w:rsidR="00FC79C1" w:rsidRPr="009342F9" w:rsidRDefault="00FC79C1" w:rsidP="00FC79C1">
      <w:pPr>
        <w:spacing w:after="0" w:line="240" w:lineRule="auto"/>
        <w:ind w:left="-14"/>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AC93FBE" w14:textId="77777777" w:rsidR="00FC79C1" w:rsidRPr="009342F9" w:rsidRDefault="00FC79C1" w:rsidP="00E95447">
      <w:pPr>
        <w:numPr>
          <w:ilvl w:val="0"/>
          <w:numId w:val="38"/>
        </w:numPr>
        <w:spacing w:after="0" w:line="240" w:lineRule="auto"/>
        <w:ind w:left="360"/>
        <w:jc w:val="both"/>
        <w:rPr>
          <w:rFonts w:ascii="Arial" w:eastAsia="Times New Roman" w:hAnsi="Arial" w:cs="Arial"/>
          <w:color w:val="000000"/>
          <w:lang w:eastAsia="es-CO"/>
        </w:rPr>
      </w:pPr>
      <w:r w:rsidRPr="009342F9">
        <w:rPr>
          <w:rFonts w:ascii="Arial" w:eastAsia="Times New Roman" w:hAnsi="Arial" w:cs="Arial"/>
          <w:color w:val="000000"/>
          <w:lang w:eastAsia="es-CO"/>
        </w:rPr>
        <w:t>Servicio público de aseo. La persona prestadora del servicio público de aseo o sus actividades complementarias, establecerá en el programa de prestación del servicio que trata el artículo 2.3.2.2.1.10 del presente decreto, la gradualidad para la incorporación de las diferentes actividades del servicio de acuerdo con las condiciones municipales.</w:t>
      </w:r>
    </w:p>
    <w:p w14:paraId="259F3E68" w14:textId="77777777" w:rsidR="00FC79C1" w:rsidRPr="009342F9" w:rsidRDefault="00FC79C1" w:rsidP="00FC79C1">
      <w:pPr>
        <w:spacing w:after="0" w:line="240" w:lineRule="auto"/>
        <w:ind w:left="274"/>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929E236" w14:textId="788EC068" w:rsidR="00FC79C1" w:rsidRPr="00E95447" w:rsidRDefault="00FC79C1" w:rsidP="00E95447">
      <w:pPr>
        <w:pStyle w:val="Prrafodelista"/>
        <w:numPr>
          <w:ilvl w:val="0"/>
          <w:numId w:val="38"/>
        </w:numPr>
        <w:spacing w:after="0" w:line="240" w:lineRule="auto"/>
        <w:ind w:left="360"/>
        <w:jc w:val="both"/>
        <w:rPr>
          <w:rFonts w:ascii="Arial" w:eastAsia="Times New Roman" w:hAnsi="Arial" w:cs="Arial"/>
          <w:color w:val="000000"/>
          <w:lang w:eastAsia="es-CO"/>
        </w:rPr>
      </w:pPr>
      <w:r w:rsidRPr="00E95447">
        <w:rPr>
          <w:rFonts w:ascii="Arial" w:eastAsia="Times New Roman" w:hAnsi="Arial" w:cs="Arial"/>
          <w:color w:val="000000"/>
          <w:lang w:eastAsia="es-CO"/>
        </w:rPr>
        <w:t>Recolección y transporte. Cuando la recolección de residuos sólidos no se realice puerta a puerta, se deberá implementar la recolección mediante sistemas colectivos de presentación y almacenamiento de residuos sólidos.</w:t>
      </w:r>
    </w:p>
    <w:p w14:paraId="06D827EF" w14:textId="77777777" w:rsidR="00FC79C1" w:rsidRPr="009342F9" w:rsidRDefault="00FC79C1" w:rsidP="00FC79C1">
      <w:pPr>
        <w:spacing w:after="0" w:line="240" w:lineRule="auto"/>
        <w:ind w:left="994"/>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D80A809" w14:textId="06B878BC" w:rsidR="00FC79C1" w:rsidRPr="00E95447" w:rsidRDefault="00FC79C1" w:rsidP="00E95447">
      <w:pPr>
        <w:pStyle w:val="Prrafodelista"/>
        <w:numPr>
          <w:ilvl w:val="0"/>
          <w:numId w:val="38"/>
        </w:numPr>
        <w:spacing w:after="0" w:line="240" w:lineRule="auto"/>
        <w:ind w:left="360"/>
        <w:jc w:val="both"/>
        <w:rPr>
          <w:rFonts w:ascii="Arial" w:eastAsia="Times New Roman" w:hAnsi="Arial" w:cs="Arial"/>
          <w:color w:val="000000"/>
          <w:lang w:eastAsia="es-CO"/>
        </w:rPr>
      </w:pPr>
      <w:r w:rsidRPr="00E95447">
        <w:rPr>
          <w:rFonts w:ascii="Arial" w:eastAsia="Times New Roman" w:hAnsi="Arial" w:cs="Arial"/>
          <w:color w:val="000000"/>
          <w:lang w:eastAsia="es-CO"/>
        </w:rPr>
        <w:t>Barrido y limpieza de vías y áreas públicas. En calles no pavimentadas y en áreas donde por sus características físicas no sea posible realizar el barrido mecánico, se desarrollarán labores de limpieza manual a cargo de la persona prestadora.</w:t>
      </w:r>
    </w:p>
    <w:p w14:paraId="140EE9F1" w14:textId="03440BCF" w:rsidR="00FC79C1" w:rsidRPr="009342F9" w:rsidRDefault="00FC79C1" w:rsidP="0015442F">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B316C70" w14:textId="2F9986C9" w:rsidR="00FC79C1" w:rsidRPr="00E95447" w:rsidRDefault="00FC79C1" w:rsidP="00E95447">
      <w:pPr>
        <w:pStyle w:val="Prrafodelista"/>
        <w:numPr>
          <w:ilvl w:val="0"/>
          <w:numId w:val="38"/>
        </w:numPr>
        <w:spacing w:after="0" w:line="240" w:lineRule="auto"/>
        <w:ind w:left="360"/>
        <w:jc w:val="both"/>
        <w:rPr>
          <w:rFonts w:ascii="Arial" w:eastAsia="Times New Roman" w:hAnsi="Arial" w:cs="Arial"/>
          <w:color w:val="000000"/>
          <w:lang w:eastAsia="es-CO"/>
        </w:rPr>
      </w:pPr>
      <w:r w:rsidRPr="00E95447">
        <w:rPr>
          <w:rFonts w:ascii="Arial" w:eastAsia="Times New Roman" w:hAnsi="Arial" w:cs="Arial"/>
          <w:color w:val="000000"/>
          <w:lang w:eastAsia="es-CO"/>
        </w:rPr>
        <w:t>Aspectos tarifarios. Las tarifas que aplicará la persona prestadora de los servicios públicos de acueducto, alcantarillado o aseo, deberán adoptarse conforme a la regulación que expida la Comisión de Regulación de Agua Potable y Saneamiento Básico para este caso y lo previsto en el inciso segundo del numeral 5 del artículo 2.3.7.2.2.2.2. de la presente subsección.</w:t>
      </w:r>
    </w:p>
    <w:p w14:paraId="5219CCC5" w14:textId="77777777" w:rsidR="00FC79C1" w:rsidRPr="009342F9" w:rsidRDefault="00FC79C1" w:rsidP="00FC79C1">
      <w:pPr>
        <w:spacing w:after="0" w:line="240" w:lineRule="auto"/>
        <w:ind w:left="274"/>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2D1715D" w14:textId="338F590B" w:rsidR="00FC79C1" w:rsidRPr="00E95447" w:rsidRDefault="00FC79C1" w:rsidP="00E95447">
      <w:pPr>
        <w:pStyle w:val="Prrafodelista"/>
        <w:numPr>
          <w:ilvl w:val="0"/>
          <w:numId w:val="38"/>
        </w:numPr>
        <w:spacing w:after="0" w:line="240" w:lineRule="auto"/>
        <w:ind w:left="360"/>
        <w:jc w:val="both"/>
        <w:rPr>
          <w:rFonts w:ascii="Arial" w:eastAsia="Times New Roman" w:hAnsi="Arial" w:cs="Arial"/>
          <w:color w:val="000000"/>
          <w:lang w:eastAsia="es-CO"/>
        </w:rPr>
      </w:pPr>
      <w:r w:rsidRPr="00E95447">
        <w:rPr>
          <w:rFonts w:ascii="Arial" w:eastAsia="Times New Roman" w:hAnsi="Arial" w:cs="Arial"/>
          <w:color w:val="000000"/>
          <w:lang w:eastAsia="es-CO"/>
        </w:rPr>
        <w:t>Condiciones diferenciales en los contratos de servicios públicos. Las personas prestadoras incorporarán en sus contratos de servicios públicos las condiciones de este esquema diferencial, conforme a lo establecido en la presente subsección, sin perjuicio de lo contenido en la regulación sobre contrato de servicios públicos y sus condiciones uniformes, en lo dispuesto en el artículo 128 de la Ley 142 de 1994 y en las demás disposiciones aplicables.</w:t>
      </w:r>
    </w:p>
    <w:p w14:paraId="5626CC2E" w14:textId="6485A730"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ED30B07"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2173" w:name="ver_30125097"/>
      <w:bookmarkEnd w:id="2173"/>
      <w:r w:rsidRPr="009342F9">
        <w:rPr>
          <w:rFonts w:ascii="Arial" w:eastAsia="Times New Roman" w:hAnsi="Arial" w:cs="Arial"/>
          <w:color w:val="000000"/>
          <w:lang w:eastAsia="es-CO"/>
        </w:rPr>
        <w:t>Artículo 2.3.7.2.2.2.7. Contrato de servicios públicos para el esquema diferencial en zonas de difícil acceso. La persona prestadora deberá adoptar un contrato de servicios públicos para el esquema diferencial en zonas de difícil acceso, en el cual incluirá las condiciones diferenciales respectivas. </w:t>
      </w:r>
    </w:p>
    <w:p w14:paraId="615AF8B6"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2174" w:name="ver_30125101"/>
      <w:bookmarkEnd w:id="2174"/>
    </w:p>
    <w:p w14:paraId="7A0450E7" w14:textId="766BD5F8" w:rsidR="00FC79C1" w:rsidRPr="009342F9" w:rsidRDefault="00FC79C1" w:rsidP="00FC79C1">
      <w:pPr>
        <w:spacing w:after="0" w:line="240" w:lineRule="auto"/>
        <w:ind w:left="-14"/>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2.3.7.2.2.2.8. Planes de gestión en zonas de difícil acceso. La persona prestadora deberá establecer un plan de gestión en donde se definan las metas, indicadores, plazos, objetivos, acciones y fuentes de financiación para el cumplimiento de las condiciones diferenciales definidas en el artículo 2.3.7.2.2.2.6. de la presente subsección y los estándares de prestación de los servicios públicos definidos por la regulación. Dicho plan deberá contener como mínimo:  </w:t>
      </w:r>
    </w:p>
    <w:p w14:paraId="21FC93C4" w14:textId="77777777" w:rsidR="0015442F" w:rsidRPr="009342F9" w:rsidRDefault="0015442F" w:rsidP="00FC79C1">
      <w:pPr>
        <w:spacing w:after="0" w:line="240" w:lineRule="auto"/>
        <w:ind w:left="-14"/>
        <w:jc w:val="both"/>
        <w:rPr>
          <w:rFonts w:ascii="Arial" w:eastAsia="Times New Roman" w:hAnsi="Arial" w:cs="Arial"/>
          <w:color w:val="000000"/>
          <w:lang w:eastAsia="es-CO"/>
        </w:rPr>
      </w:pPr>
    </w:p>
    <w:p w14:paraId="12A0B89D" w14:textId="7DFC9BBA" w:rsidR="00FC79C1" w:rsidRDefault="00FC79C1" w:rsidP="00E95447">
      <w:pPr>
        <w:numPr>
          <w:ilvl w:val="0"/>
          <w:numId w:val="43"/>
        </w:numPr>
        <w:spacing w:after="0" w:line="240" w:lineRule="auto"/>
        <w:ind w:left="360"/>
        <w:jc w:val="both"/>
        <w:rPr>
          <w:rFonts w:ascii="Arial" w:eastAsia="Times New Roman" w:hAnsi="Arial" w:cs="Arial"/>
          <w:color w:val="000000"/>
          <w:lang w:eastAsia="es-CO"/>
        </w:rPr>
      </w:pPr>
      <w:r w:rsidRPr="009342F9">
        <w:rPr>
          <w:rFonts w:ascii="Arial" w:eastAsia="Times New Roman" w:hAnsi="Arial" w:cs="Arial"/>
          <w:color w:val="000000"/>
          <w:lang w:eastAsia="es-CO"/>
        </w:rPr>
        <w:t>Plan de obras e inversiones y,</w:t>
      </w:r>
    </w:p>
    <w:p w14:paraId="5EEF3943" w14:textId="77777777" w:rsidR="00E95447" w:rsidRPr="009342F9" w:rsidRDefault="00E95447" w:rsidP="00E95447">
      <w:pPr>
        <w:spacing w:after="0" w:line="240" w:lineRule="auto"/>
        <w:ind w:left="360"/>
        <w:jc w:val="both"/>
        <w:rPr>
          <w:rFonts w:ascii="Arial" w:eastAsia="Times New Roman" w:hAnsi="Arial" w:cs="Arial"/>
          <w:color w:val="000000"/>
          <w:lang w:eastAsia="es-CO"/>
        </w:rPr>
      </w:pPr>
    </w:p>
    <w:p w14:paraId="3AD71AE7" w14:textId="77777777" w:rsidR="00FC79C1" w:rsidRPr="009342F9" w:rsidRDefault="00FC79C1" w:rsidP="00E95447">
      <w:pPr>
        <w:numPr>
          <w:ilvl w:val="0"/>
          <w:numId w:val="43"/>
        </w:numPr>
        <w:spacing w:after="0" w:line="240" w:lineRule="auto"/>
        <w:ind w:left="360"/>
        <w:jc w:val="both"/>
        <w:rPr>
          <w:rFonts w:ascii="Arial" w:eastAsia="Times New Roman" w:hAnsi="Arial" w:cs="Arial"/>
          <w:color w:val="000000"/>
          <w:lang w:eastAsia="es-CO"/>
        </w:rPr>
      </w:pPr>
      <w:r w:rsidRPr="009342F9">
        <w:rPr>
          <w:rFonts w:ascii="Arial" w:eastAsia="Times New Roman" w:hAnsi="Arial" w:cs="Arial"/>
          <w:color w:val="000000"/>
          <w:lang w:eastAsia="es-CO"/>
        </w:rPr>
        <w:t>Plan de aseguramiento de la prestación de los servicios públicos para el cumplimiento de los estándares de prestación de dichos servicios.</w:t>
      </w:r>
    </w:p>
    <w:p w14:paraId="0EBDC532" w14:textId="77777777" w:rsidR="0015442F" w:rsidRPr="009342F9" w:rsidRDefault="0015442F" w:rsidP="00FC79C1">
      <w:pPr>
        <w:spacing w:after="0" w:line="240" w:lineRule="auto"/>
        <w:ind w:left="-14"/>
        <w:jc w:val="both"/>
        <w:rPr>
          <w:rFonts w:ascii="Arial" w:eastAsia="Times New Roman" w:hAnsi="Arial" w:cs="Arial"/>
          <w:color w:val="000000"/>
          <w:lang w:eastAsia="es-CO"/>
        </w:rPr>
      </w:pPr>
    </w:p>
    <w:p w14:paraId="692FEEC6" w14:textId="71BD85AA" w:rsidR="00FC79C1" w:rsidRPr="009342F9" w:rsidRDefault="00FC79C1" w:rsidP="00FC79C1">
      <w:pPr>
        <w:spacing w:after="0" w:line="240" w:lineRule="auto"/>
        <w:ind w:left="-14"/>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Los municipios y departamentos en cumplimiento de sus obligaciones constitucionales y legales priorizarán el apoyo técnico y financiero para la estructuración e implementación de las acciones derivadas de los planes de gestión en zonas de difícil acceso.  </w:t>
      </w:r>
    </w:p>
    <w:p w14:paraId="5A3306DE" w14:textId="2142BB26"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175" w:name="ver_30125113"/>
      <w:bookmarkEnd w:id="2175"/>
    </w:p>
    <w:p w14:paraId="729B59F9" w14:textId="18126C2F"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2.3.7.2.2.2.9. Registro del esquema diferencial en el Sistema Único de Información (SUI). Una vez aceptada la aplicación del esquema diferencial, la persona prestadora deberá registrarlo en el Sistema Único de Información (SUI), en las condiciones y plazos que establezca la </w:t>
      </w:r>
      <w:r w:rsidRPr="009342F9">
        <w:rPr>
          <w:rFonts w:ascii="Arial" w:eastAsia="Times New Roman" w:hAnsi="Arial" w:cs="Arial"/>
          <w:color w:val="000000"/>
          <w:lang w:eastAsia="es-CO"/>
        </w:rPr>
        <w:lastRenderedPageBreak/>
        <w:t>Superintendencia de Servicios Públicos Domiciliarios, para su correspondiente inspección, vigilancia y control. </w:t>
      </w:r>
    </w:p>
    <w:p w14:paraId="15CD1693" w14:textId="77777777" w:rsidR="0015442F" w:rsidRPr="009342F9" w:rsidRDefault="0015442F" w:rsidP="00FC79C1">
      <w:pPr>
        <w:spacing w:after="0" w:line="240" w:lineRule="auto"/>
        <w:jc w:val="both"/>
        <w:rPr>
          <w:rFonts w:ascii="Arial" w:eastAsia="Times New Roman" w:hAnsi="Arial" w:cs="Arial"/>
          <w:color w:val="000000"/>
          <w:lang w:eastAsia="es-CO"/>
        </w:rPr>
      </w:pPr>
    </w:p>
    <w:p w14:paraId="4CD791CE" w14:textId="77777777" w:rsidR="00FC79C1" w:rsidRPr="009342F9" w:rsidRDefault="00FC79C1" w:rsidP="0015442F">
      <w:pPr>
        <w:spacing w:after="0" w:line="240" w:lineRule="auto"/>
        <w:jc w:val="center"/>
        <w:rPr>
          <w:rFonts w:ascii="Arial" w:eastAsia="Times New Roman" w:hAnsi="Arial" w:cs="Arial"/>
          <w:b/>
          <w:bCs/>
          <w:color w:val="000000"/>
          <w:lang w:eastAsia="es-CO"/>
        </w:rPr>
      </w:pPr>
      <w:bookmarkStart w:id="2176" w:name="ver_30125116"/>
      <w:bookmarkEnd w:id="2176"/>
      <w:r w:rsidRPr="009342F9">
        <w:rPr>
          <w:rFonts w:ascii="Arial" w:eastAsia="Times New Roman" w:hAnsi="Arial" w:cs="Arial"/>
          <w:b/>
          <w:bCs/>
          <w:color w:val="000000"/>
          <w:lang w:eastAsia="es-CO"/>
        </w:rPr>
        <w:t>SUBSECCIÓN 3</w:t>
      </w:r>
    </w:p>
    <w:p w14:paraId="0501587E" w14:textId="77777777" w:rsidR="00FC79C1" w:rsidRPr="009342F9" w:rsidRDefault="00FC79C1" w:rsidP="0015442F">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ESQUEMAS DIFERENCIALES DE PRESTACIÓN EN ÁREAS DE PRESTACIÓN, CON CONDICIONES PARTICULARES</w:t>
      </w:r>
    </w:p>
    <w:p w14:paraId="1FAC8648"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2177" w:name="ver_30125120"/>
      <w:bookmarkEnd w:id="2177"/>
    </w:p>
    <w:p w14:paraId="38A84DF3" w14:textId="77E7D486" w:rsidR="00FC79C1" w:rsidRPr="009342F9" w:rsidRDefault="00FC79C1" w:rsidP="00FC79C1">
      <w:pPr>
        <w:spacing w:after="0" w:line="240" w:lineRule="auto"/>
        <w:ind w:left="-14"/>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2.3.7.2.2.3.1. Áreas de prestación, con condiciones particulares. Corresponde al área de prestación de la persona prestadora en suelo urbano de un municipio o distrito que cuenta con una población urbana mayor a 25.000 y hasta 400.000 habitantes según la información censal y tenga un índice de Necesidades Básicas Insatisfechas (NBI) en cabecera municipal mayor al 30%, de acuerdo con la información del Departamento Administrativo Nacional de Estadística (DANE). </w:t>
      </w:r>
    </w:p>
    <w:p w14:paraId="13D111B1" w14:textId="77777777" w:rsidR="0015442F" w:rsidRPr="009342F9" w:rsidRDefault="0015442F" w:rsidP="00FC79C1">
      <w:pPr>
        <w:spacing w:after="0" w:line="240" w:lineRule="auto"/>
        <w:ind w:left="-14"/>
        <w:jc w:val="both"/>
        <w:rPr>
          <w:rFonts w:ascii="Arial" w:eastAsia="Times New Roman" w:hAnsi="Arial" w:cs="Arial"/>
          <w:color w:val="000000"/>
          <w:lang w:eastAsia="es-CO"/>
        </w:rPr>
      </w:pPr>
    </w:p>
    <w:p w14:paraId="2BC33C4B" w14:textId="77777777" w:rsidR="00FC79C1" w:rsidRPr="009342F9" w:rsidRDefault="00FC79C1" w:rsidP="00FC79C1">
      <w:pPr>
        <w:spacing w:after="0" w:line="240" w:lineRule="auto"/>
        <w:ind w:left="-14"/>
        <w:jc w:val="both"/>
        <w:rPr>
          <w:rFonts w:ascii="Arial" w:eastAsia="Times New Roman" w:hAnsi="Arial" w:cs="Arial"/>
          <w:color w:val="000000"/>
          <w:lang w:eastAsia="es-CO"/>
        </w:rPr>
      </w:pPr>
      <w:r w:rsidRPr="009342F9">
        <w:rPr>
          <w:rFonts w:ascii="Arial" w:eastAsia="Times New Roman" w:hAnsi="Arial" w:cs="Arial"/>
          <w:color w:val="000000"/>
          <w:lang w:eastAsia="es-CO"/>
        </w:rPr>
        <w:t>El área de prestación, con condiciones particulares, también corresponde a aquellos municipios que cuentan con una población urbana menor a 25.000 habitantes según la información censal del Departamento Administrativo Nacional de Estadística (DANE) y que se vinculen al área de prestación de un municipio o distrito de los anteriormente señalados. </w:t>
      </w:r>
    </w:p>
    <w:p w14:paraId="7BECDAFD" w14:textId="77777777" w:rsidR="00FC79C1" w:rsidRPr="009342F9" w:rsidRDefault="00FC79C1" w:rsidP="00FC79C1">
      <w:pPr>
        <w:spacing w:after="0" w:line="240" w:lineRule="auto"/>
        <w:ind w:left="-14"/>
        <w:jc w:val="both"/>
        <w:rPr>
          <w:rFonts w:ascii="Arial" w:eastAsia="Times New Roman" w:hAnsi="Arial" w:cs="Arial"/>
          <w:color w:val="000000"/>
          <w:lang w:eastAsia="es-CO"/>
        </w:rPr>
      </w:pPr>
      <w:r w:rsidRPr="009342F9">
        <w:rPr>
          <w:rFonts w:ascii="Arial" w:eastAsia="Times New Roman" w:hAnsi="Arial" w:cs="Arial"/>
          <w:color w:val="000000"/>
          <w:lang w:eastAsia="es-CO"/>
        </w:rPr>
        <w:t>La información del Departamento Administrativo Nacional de Estadística (DANE) a la que hace referencia este artículo, debe corresponder con la información disponible más reciente al momento de presentación de la solicitud. </w:t>
      </w:r>
    </w:p>
    <w:p w14:paraId="489A22A2"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2178" w:name="ver_30125121"/>
      <w:bookmarkEnd w:id="2178"/>
    </w:p>
    <w:p w14:paraId="5C2F6B1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2.3.7.2.2.3.2. Solicitud de un esquema diferencial en áreas de prestación, con condiciones particulares. Las personas prestadoras, los municipios o distritos, interesados en implementar un esquema diferencial en un área de prestación, con condiciones particulares, deberán presentar una solicitud por escrito ante la Comisión de Regulación de Agua Potable y Saneamiento Básico con los siguientes requisitos mínimos:  </w:t>
      </w:r>
    </w:p>
    <w:p w14:paraId="222CC4E0" w14:textId="77777777" w:rsidR="00FC79C1" w:rsidRPr="009342F9" w:rsidRDefault="00FC79C1" w:rsidP="00FC79C1">
      <w:pPr>
        <w:spacing w:after="0" w:line="240" w:lineRule="auto"/>
        <w:ind w:left="-14"/>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A898597" w14:textId="1A74A193" w:rsidR="00FC79C1" w:rsidRDefault="00FC79C1" w:rsidP="00E95447">
      <w:pPr>
        <w:numPr>
          <w:ilvl w:val="0"/>
          <w:numId w:val="44"/>
        </w:numPr>
        <w:spacing w:after="0" w:line="240" w:lineRule="auto"/>
        <w:ind w:left="360"/>
        <w:jc w:val="both"/>
        <w:rPr>
          <w:rFonts w:ascii="Arial" w:eastAsia="Times New Roman" w:hAnsi="Arial" w:cs="Arial"/>
          <w:color w:val="000000"/>
          <w:lang w:eastAsia="es-CO"/>
        </w:rPr>
      </w:pPr>
      <w:r w:rsidRPr="009342F9">
        <w:rPr>
          <w:rFonts w:ascii="Arial" w:eastAsia="Times New Roman" w:hAnsi="Arial" w:cs="Arial"/>
          <w:color w:val="000000"/>
          <w:lang w:eastAsia="es-CO"/>
        </w:rPr>
        <w:t>Indicar el servicio o servicios que serán objeto del esquema diferencial.</w:t>
      </w:r>
    </w:p>
    <w:p w14:paraId="07673CE7" w14:textId="77777777" w:rsidR="00E95447" w:rsidRPr="009342F9" w:rsidRDefault="00E95447" w:rsidP="00E95447">
      <w:pPr>
        <w:spacing w:after="0" w:line="240" w:lineRule="auto"/>
        <w:ind w:left="360"/>
        <w:jc w:val="both"/>
        <w:rPr>
          <w:rFonts w:ascii="Arial" w:eastAsia="Times New Roman" w:hAnsi="Arial" w:cs="Arial"/>
          <w:color w:val="000000"/>
          <w:lang w:eastAsia="es-CO"/>
        </w:rPr>
      </w:pPr>
    </w:p>
    <w:p w14:paraId="78D6BEE1" w14:textId="77777777" w:rsidR="00FC79C1" w:rsidRPr="009342F9" w:rsidRDefault="00FC79C1" w:rsidP="00E95447">
      <w:pPr>
        <w:numPr>
          <w:ilvl w:val="0"/>
          <w:numId w:val="44"/>
        </w:numPr>
        <w:spacing w:after="0" w:line="240" w:lineRule="auto"/>
        <w:ind w:left="360"/>
        <w:jc w:val="both"/>
        <w:rPr>
          <w:rFonts w:ascii="Arial" w:eastAsia="Times New Roman" w:hAnsi="Arial" w:cs="Arial"/>
          <w:color w:val="000000"/>
          <w:lang w:eastAsia="es-CO"/>
        </w:rPr>
      </w:pPr>
      <w:r w:rsidRPr="009342F9">
        <w:rPr>
          <w:rFonts w:ascii="Arial" w:eastAsia="Times New Roman" w:hAnsi="Arial" w:cs="Arial"/>
          <w:color w:val="000000"/>
          <w:lang w:eastAsia="es-CO"/>
        </w:rPr>
        <w:t>Convenio suscrito entre la persona prestadora y la entidad territorial, donde se determinen las obligaciones de las partes en la aplicación del esquema diferencial.</w:t>
      </w:r>
    </w:p>
    <w:p w14:paraId="6165B373" w14:textId="77777777" w:rsidR="00FC79C1" w:rsidRPr="009342F9" w:rsidRDefault="00FC79C1" w:rsidP="00FC79C1">
      <w:pPr>
        <w:spacing w:after="0" w:line="240" w:lineRule="auto"/>
        <w:ind w:left="274"/>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5A22A68" w14:textId="77777777" w:rsidR="00FC79C1" w:rsidRPr="009342F9" w:rsidRDefault="00FC79C1" w:rsidP="00E95447">
      <w:pPr>
        <w:spacing w:after="0" w:line="240" w:lineRule="auto"/>
        <w:ind w:left="360"/>
        <w:jc w:val="both"/>
        <w:rPr>
          <w:rFonts w:ascii="Arial" w:eastAsia="Times New Roman" w:hAnsi="Arial" w:cs="Arial"/>
          <w:color w:val="000000"/>
          <w:lang w:eastAsia="es-CO"/>
        </w:rPr>
      </w:pPr>
      <w:r w:rsidRPr="009342F9">
        <w:rPr>
          <w:rFonts w:ascii="Arial" w:eastAsia="Times New Roman" w:hAnsi="Arial" w:cs="Arial"/>
          <w:color w:val="000000"/>
          <w:lang w:eastAsia="es-CO"/>
        </w:rPr>
        <w:t>En aquellos casos en que la prestación de los servicios públicos de acueducto, alcantarillado o aseo, estén a cargo del municipio como prestador directo, y no proceda la celebración del convenio, el Alcalde Municipal o Distrital fijará mediante acto administrativo, las condiciones especiales en que se prestará el servicio.  </w:t>
      </w:r>
    </w:p>
    <w:p w14:paraId="09419347" w14:textId="77777777" w:rsidR="00FC79C1" w:rsidRPr="009342F9" w:rsidRDefault="00FC79C1" w:rsidP="00FC79C1">
      <w:pPr>
        <w:spacing w:after="0" w:line="240" w:lineRule="auto"/>
        <w:ind w:left="-14"/>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3BBC6D0" w14:textId="56A07443" w:rsidR="00FC79C1" w:rsidRPr="009342F9" w:rsidRDefault="00FC79C1" w:rsidP="00E95447">
      <w:pPr>
        <w:spacing w:after="0" w:line="240" w:lineRule="auto"/>
        <w:ind w:left="360"/>
        <w:jc w:val="both"/>
        <w:rPr>
          <w:rFonts w:ascii="Arial" w:eastAsia="Times New Roman" w:hAnsi="Arial" w:cs="Arial"/>
          <w:color w:val="000000"/>
          <w:lang w:eastAsia="es-CO"/>
        </w:rPr>
      </w:pPr>
      <w:r w:rsidRPr="009342F9">
        <w:rPr>
          <w:rFonts w:ascii="Arial" w:eastAsia="Times New Roman" w:hAnsi="Arial" w:cs="Arial"/>
          <w:color w:val="000000"/>
          <w:lang w:eastAsia="es-CO"/>
        </w:rPr>
        <w:t>Cuando exista un contrato de operación y se proyecte la aplicación de un esquema diferencial en donde se comprometan recursos públicos, se deberán realizar las modificaciones que se requieran al contrato de operación existente donde se incorporen las metas establecidas en el plan de gestión señalado en el artículo 2.3.7.2.2.3.8. de la presente subsección.  </w:t>
      </w:r>
    </w:p>
    <w:p w14:paraId="64991AAF" w14:textId="77777777" w:rsidR="0015442F" w:rsidRPr="009342F9" w:rsidRDefault="0015442F" w:rsidP="00FC79C1">
      <w:pPr>
        <w:spacing w:after="0" w:line="240" w:lineRule="auto"/>
        <w:ind w:left="-14"/>
        <w:jc w:val="both"/>
        <w:rPr>
          <w:rFonts w:ascii="Arial" w:eastAsia="Times New Roman" w:hAnsi="Arial" w:cs="Arial"/>
          <w:color w:val="000000"/>
          <w:lang w:eastAsia="es-CO"/>
        </w:rPr>
      </w:pPr>
    </w:p>
    <w:p w14:paraId="45C6DFFF" w14:textId="77777777" w:rsidR="00FC79C1" w:rsidRPr="009342F9" w:rsidRDefault="00FC79C1" w:rsidP="00E95447">
      <w:pPr>
        <w:numPr>
          <w:ilvl w:val="0"/>
          <w:numId w:val="45"/>
        </w:numPr>
        <w:spacing w:after="0" w:line="240" w:lineRule="auto"/>
        <w:ind w:left="360"/>
        <w:jc w:val="both"/>
        <w:rPr>
          <w:rFonts w:ascii="Arial" w:eastAsia="Times New Roman" w:hAnsi="Arial" w:cs="Arial"/>
          <w:color w:val="000000"/>
          <w:lang w:eastAsia="es-CO"/>
        </w:rPr>
      </w:pPr>
      <w:r w:rsidRPr="009342F9">
        <w:rPr>
          <w:rFonts w:ascii="Arial" w:eastAsia="Times New Roman" w:hAnsi="Arial" w:cs="Arial"/>
          <w:color w:val="000000"/>
          <w:lang w:eastAsia="es-CO"/>
        </w:rPr>
        <w:t>El plan de gestión al que se refiere el artículo 2.3.7.2.2.3.8. de la presente subsección, en donde se definan las metas, indicadores, plazos, objetivos, acciones y fuentes de financiación para el cumplimiento de las condiciones diferenciales definidas en el artículo 2.3.7.2.2.3.6. de la presente subsección y de los estándares de prestación de los servicios públicos definidos por la regulación.</w:t>
      </w:r>
    </w:p>
    <w:p w14:paraId="798C0995" w14:textId="77777777" w:rsidR="00FC79C1" w:rsidRPr="009342F9" w:rsidRDefault="00FC79C1" w:rsidP="00FC79C1">
      <w:pPr>
        <w:spacing w:after="0" w:line="240" w:lineRule="auto"/>
        <w:ind w:left="274"/>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C589211" w14:textId="77777777" w:rsidR="00FC79C1" w:rsidRPr="009342F9" w:rsidRDefault="00FC79C1" w:rsidP="00E95447">
      <w:pPr>
        <w:numPr>
          <w:ilvl w:val="0"/>
          <w:numId w:val="46"/>
        </w:numPr>
        <w:spacing w:after="0" w:line="240" w:lineRule="auto"/>
        <w:ind w:left="360"/>
        <w:jc w:val="both"/>
        <w:rPr>
          <w:rFonts w:ascii="Arial" w:eastAsia="Times New Roman" w:hAnsi="Arial" w:cs="Arial"/>
          <w:color w:val="000000"/>
          <w:lang w:eastAsia="es-CO"/>
        </w:rPr>
      </w:pPr>
      <w:r w:rsidRPr="009342F9">
        <w:rPr>
          <w:rFonts w:ascii="Arial" w:eastAsia="Times New Roman" w:hAnsi="Arial" w:cs="Arial"/>
          <w:color w:val="000000"/>
          <w:lang w:eastAsia="es-CO"/>
        </w:rPr>
        <w:t>El contrato de condiciones uniformes que se aplicará en el esquema diferencial.</w:t>
      </w:r>
    </w:p>
    <w:p w14:paraId="3CE8503F"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75B51F6" w14:textId="77777777" w:rsidR="00FC79C1" w:rsidRPr="009342F9" w:rsidRDefault="00FC79C1" w:rsidP="00FC79C1">
      <w:pPr>
        <w:spacing w:after="0" w:line="240" w:lineRule="auto"/>
        <w:ind w:left="274"/>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  </w:t>
      </w:r>
    </w:p>
    <w:p w14:paraId="45641260" w14:textId="77777777" w:rsidR="00FC79C1" w:rsidRPr="009342F9" w:rsidRDefault="00FC79C1" w:rsidP="0015442F">
      <w:pPr>
        <w:numPr>
          <w:ilvl w:val="0"/>
          <w:numId w:val="47"/>
        </w:num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Estudio de costos y tarifas a aplicar en el área de prestación, con condiciones particulares para cada servicio que será sujeto del esquema diferencial, el cual deberá ajustarse de acuerdo con la regulación que para el efecto defina la Comisión de Regulación de Agua Potable y Saneamiento Básico.</w:t>
      </w:r>
    </w:p>
    <w:p w14:paraId="2B21B5B5" w14:textId="77777777" w:rsidR="00FC79C1" w:rsidRPr="009342F9" w:rsidRDefault="00FC79C1" w:rsidP="00FC79C1">
      <w:pPr>
        <w:spacing w:after="0" w:line="240" w:lineRule="auto"/>
        <w:ind w:left="274"/>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744A982" w14:textId="77777777" w:rsidR="00FC79C1" w:rsidRPr="009342F9" w:rsidRDefault="00FC79C1" w:rsidP="00E95447">
      <w:pPr>
        <w:spacing w:after="0" w:line="240" w:lineRule="auto"/>
        <w:ind w:left="708"/>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Mientras la Comisión de Regulación de Agua Potable y Saneamiento Básico expide la regulación para este esquema, el prestador deberá aplicar la metodología tarifaria vigente, los </w:t>
      </w:r>
      <w:proofErr w:type="gramStart"/>
      <w:r w:rsidRPr="009342F9">
        <w:rPr>
          <w:rFonts w:ascii="Arial" w:eastAsia="Times New Roman" w:hAnsi="Arial" w:cs="Arial"/>
          <w:color w:val="000000"/>
          <w:lang w:eastAsia="es-CO"/>
        </w:rPr>
        <w:t>cuales</w:t>
      </w:r>
      <w:proofErr w:type="gramEnd"/>
      <w:r w:rsidRPr="009342F9">
        <w:rPr>
          <w:rFonts w:ascii="Arial" w:eastAsia="Times New Roman" w:hAnsi="Arial" w:cs="Arial"/>
          <w:color w:val="000000"/>
          <w:lang w:eastAsia="es-CO"/>
        </w:rPr>
        <w:t xml:space="preserve"> en todo caso, no deberán superar los costos de referencia, teniendo en cuenta para ello las condiciones diferenciales de prestación.  </w:t>
      </w:r>
    </w:p>
    <w:p w14:paraId="3027C861" w14:textId="77777777" w:rsidR="00FC79C1" w:rsidRPr="009342F9" w:rsidRDefault="00FC79C1" w:rsidP="00FC79C1">
      <w:pPr>
        <w:spacing w:after="0" w:line="240" w:lineRule="auto"/>
        <w:ind w:left="-14"/>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13EF727" w14:textId="77777777" w:rsidR="00FC79C1" w:rsidRPr="009342F9" w:rsidRDefault="00FC79C1" w:rsidP="0015442F">
      <w:pPr>
        <w:numPr>
          <w:ilvl w:val="0"/>
          <w:numId w:val="48"/>
        </w:num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Los demás requisitos de metodología y documentación de soporte que establezca la Comisión de Regulación de Agua Potable y Saneamiento Básico.</w:t>
      </w:r>
    </w:p>
    <w:p w14:paraId="679C325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E43FCA9"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2179" w:name="ver_30125128"/>
      <w:bookmarkEnd w:id="2179"/>
    </w:p>
    <w:p w14:paraId="4140C885" w14:textId="77777777" w:rsidR="00FC79C1" w:rsidRPr="009342F9" w:rsidRDefault="00FC79C1" w:rsidP="00FC79C1">
      <w:pPr>
        <w:spacing w:after="0" w:line="240" w:lineRule="auto"/>
        <w:ind w:left="-14"/>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2.3.7.2.2.3.3. Aceptación de la solicitud del esquema diferencial en áreas de prestación, con condiciones particulares. La aceptación de la solicitud por parte de la Comisión de Regulación de Agua Potable y Saneamiento Básico para la aplicación del esquema diferencial se hará mediante acto administrativo en el cual se constatará como mínimo:  </w:t>
      </w:r>
    </w:p>
    <w:p w14:paraId="6D596A29" w14:textId="77777777" w:rsidR="00FC79C1" w:rsidRPr="009342F9" w:rsidRDefault="00FC79C1" w:rsidP="00FC79C1">
      <w:pPr>
        <w:spacing w:after="0" w:line="240" w:lineRule="auto"/>
        <w:ind w:left="-14"/>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A4A8A8D" w14:textId="77777777" w:rsidR="00FC79C1" w:rsidRPr="009342F9" w:rsidRDefault="00FC79C1" w:rsidP="0015442F">
      <w:pPr>
        <w:numPr>
          <w:ilvl w:val="0"/>
          <w:numId w:val="49"/>
        </w:num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Que quien presente la solicitud sea la persona prestadora de los servicios públicos de acueducto, alcantarillado o aseo sujetos al esquema diferencial o los municipios a los que se refiere el inciso 2° del artículo 2.3.7.2.2.3.1. de la presente subsección.</w:t>
      </w:r>
    </w:p>
    <w:p w14:paraId="38B20D2D" w14:textId="77777777" w:rsidR="00FC79C1" w:rsidRPr="009342F9" w:rsidRDefault="00FC79C1" w:rsidP="00FC79C1">
      <w:pPr>
        <w:spacing w:after="0" w:line="240" w:lineRule="auto"/>
        <w:ind w:left="274"/>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1B05BE7" w14:textId="77777777" w:rsidR="00FC79C1" w:rsidRPr="009342F9" w:rsidRDefault="00FC79C1" w:rsidP="0015442F">
      <w:pPr>
        <w:numPr>
          <w:ilvl w:val="0"/>
          <w:numId w:val="50"/>
        </w:num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Que el convenio al que se refiere el numeral 2 del artículo anterior, se encuentre suscrito por parte del Alcalde Municipal o Distrital y el Representante Legal de la persona prestadora y en él se identifiquen las obligaciones de las partes.</w:t>
      </w:r>
    </w:p>
    <w:p w14:paraId="1159E1EE" w14:textId="16451895" w:rsidR="00FC79C1" w:rsidRPr="009342F9" w:rsidRDefault="00FC79C1" w:rsidP="00E95447">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03D1E89" w14:textId="77777777" w:rsidR="00FC79C1" w:rsidRPr="009342F9" w:rsidRDefault="00FC79C1" w:rsidP="00E95447">
      <w:pPr>
        <w:spacing w:after="0" w:line="240" w:lineRule="auto"/>
        <w:ind w:left="708"/>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En aquellos casos en que la prestación de los servicios públicos de acueducto, alcantarillado o </w:t>
      </w:r>
      <w:proofErr w:type="gramStart"/>
      <w:r w:rsidRPr="009342F9">
        <w:rPr>
          <w:rFonts w:ascii="Arial" w:eastAsia="Times New Roman" w:hAnsi="Arial" w:cs="Arial"/>
          <w:color w:val="000000"/>
          <w:lang w:eastAsia="es-CO"/>
        </w:rPr>
        <w:t>aseo,</w:t>
      </w:r>
      <w:proofErr w:type="gramEnd"/>
      <w:r w:rsidRPr="009342F9">
        <w:rPr>
          <w:rFonts w:ascii="Arial" w:eastAsia="Times New Roman" w:hAnsi="Arial" w:cs="Arial"/>
          <w:color w:val="000000"/>
          <w:lang w:eastAsia="es-CO"/>
        </w:rPr>
        <w:t xml:space="preserve"> esté a cargo del municipio o distrito como prestador directo, estas estén definidas en el acto administrativo expedido por el Alcalde Municipal o Distrital.  </w:t>
      </w:r>
    </w:p>
    <w:p w14:paraId="03C934A8" w14:textId="77777777" w:rsidR="00FC79C1" w:rsidRPr="009342F9" w:rsidRDefault="00FC79C1" w:rsidP="00FC79C1">
      <w:pPr>
        <w:spacing w:after="0" w:line="240" w:lineRule="auto"/>
        <w:ind w:left="-14"/>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8F5BE10" w14:textId="77777777" w:rsidR="00FC79C1" w:rsidRPr="009342F9" w:rsidRDefault="00FC79C1" w:rsidP="00E95447">
      <w:pPr>
        <w:spacing w:after="0" w:line="240" w:lineRule="auto"/>
        <w:ind w:left="708"/>
        <w:jc w:val="both"/>
        <w:rPr>
          <w:rFonts w:ascii="Arial" w:eastAsia="Times New Roman" w:hAnsi="Arial" w:cs="Arial"/>
          <w:color w:val="000000"/>
          <w:lang w:eastAsia="es-CO"/>
        </w:rPr>
      </w:pPr>
      <w:r w:rsidRPr="009342F9">
        <w:rPr>
          <w:rFonts w:ascii="Arial" w:eastAsia="Times New Roman" w:hAnsi="Arial" w:cs="Arial"/>
          <w:color w:val="000000"/>
          <w:lang w:eastAsia="es-CO"/>
        </w:rPr>
        <w:t>Que cuando exista un contrato de operación y se proyecte la aplicación de un esquema diferencial en donde se comprometan recursos públicos, se hayan realizado las modificaciones al contrato de operación existente donde se incorporen las metas establecidas en el plan de gestión señalado en el artículo 2.3.7.2.2.3.8. de la presente subsección.  </w:t>
      </w:r>
    </w:p>
    <w:p w14:paraId="66894C05" w14:textId="77777777" w:rsidR="00FC79C1" w:rsidRPr="009342F9" w:rsidRDefault="00FC79C1" w:rsidP="00FC79C1">
      <w:pPr>
        <w:spacing w:after="0" w:line="240" w:lineRule="auto"/>
        <w:ind w:left="-14"/>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C363E59" w14:textId="77777777" w:rsidR="00FC79C1" w:rsidRPr="009342F9" w:rsidRDefault="00FC79C1" w:rsidP="0015442F">
      <w:pPr>
        <w:numPr>
          <w:ilvl w:val="0"/>
          <w:numId w:val="51"/>
        </w:num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Que el plan de gestión al que se refiere el artículo 2.3.7.2.2.3.8. de la presente subsección, se encuentre suscrito por el Representante Legal de la persona prestadora y se identifiquen las metas, indicadores, plazos, objetivos, acciones y fuentes de financiación para el cumplimiento de las condiciones diferenciales definidas en el artículo 2.3.7.2.2.3.6. de la presente subsección y de los estándares de prestación de los servicios públicos definidos por la regulación.</w:t>
      </w:r>
    </w:p>
    <w:p w14:paraId="0802B0B4" w14:textId="77777777" w:rsidR="00FC79C1" w:rsidRPr="009342F9" w:rsidRDefault="00FC79C1" w:rsidP="00FC79C1">
      <w:pPr>
        <w:spacing w:after="0" w:line="240" w:lineRule="auto"/>
        <w:ind w:left="274"/>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A41B118" w14:textId="77777777" w:rsidR="00FC79C1" w:rsidRPr="009342F9" w:rsidRDefault="00FC79C1" w:rsidP="0015442F">
      <w:pPr>
        <w:numPr>
          <w:ilvl w:val="0"/>
          <w:numId w:val="52"/>
        </w:numPr>
        <w:spacing w:after="0" w:line="240" w:lineRule="auto"/>
        <w:jc w:val="both"/>
        <w:rPr>
          <w:rFonts w:ascii="Arial" w:eastAsia="Times New Roman" w:hAnsi="Arial" w:cs="Arial"/>
          <w:color w:val="000000"/>
          <w:lang w:eastAsia="es-CO"/>
        </w:rPr>
      </w:pPr>
      <w:proofErr w:type="gramStart"/>
      <w:r w:rsidRPr="009342F9">
        <w:rPr>
          <w:rFonts w:ascii="Arial" w:eastAsia="Times New Roman" w:hAnsi="Arial" w:cs="Arial"/>
          <w:color w:val="000000"/>
          <w:lang w:eastAsia="es-CO"/>
        </w:rPr>
        <w:t>Que</w:t>
      </w:r>
      <w:proofErr w:type="gramEnd"/>
      <w:r w:rsidRPr="009342F9">
        <w:rPr>
          <w:rFonts w:ascii="Arial" w:eastAsia="Times New Roman" w:hAnsi="Arial" w:cs="Arial"/>
          <w:color w:val="000000"/>
          <w:lang w:eastAsia="es-CO"/>
        </w:rPr>
        <w:t xml:space="preserve"> en el contrato de condiciones uniformes, al que se refiere el numeral 4 del artículo anterior, se contemplen las condiciones en las que se prestará el servicio.</w:t>
      </w:r>
    </w:p>
    <w:p w14:paraId="7533DF6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620E4BA8" w14:textId="77777777" w:rsidR="00FC79C1" w:rsidRPr="009342F9" w:rsidRDefault="00FC79C1" w:rsidP="00FC79C1">
      <w:pPr>
        <w:spacing w:after="0" w:line="240" w:lineRule="auto"/>
        <w:ind w:left="274"/>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97952C2" w14:textId="77777777" w:rsidR="00FC79C1" w:rsidRPr="009342F9" w:rsidRDefault="00FC79C1" w:rsidP="0015442F">
      <w:pPr>
        <w:numPr>
          <w:ilvl w:val="0"/>
          <w:numId w:val="53"/>
        </w:num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Que el estudio de costos y tarifas, al que se refiere el numeral 5 del artículo anterior, se ajuste a la regulación que para el efecto expida la Comisión de Regulación de Agua Potable y Saneamiento Básico.</w:t>
      </w:r>
    </w:p>
    <w:p w14:paraId="1E68B771" w14:textId="77777777" w:rsidR="00FC79C1" w:rsidRPr="009342F9" w:rsidRDefault="00FC79C1" w:rsidP="00FC79C1">
      <w:pPr>
        <w:spacing w:after="0" w:line="240" w:lineRule="auto"/>
        <w:ind w:left="274"/>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2523129" w14:textId="77777777" w:rsidR="00FC79C1" w:rsidRPr="009342F9" w:rsidRDefault="00FC79C1" w:rsidP="00E95447">
      <w:pPr>
        <w:spacing w:after="0" w:line="240" w:lineRule="auto"/>
        <w:ind w:left="708"/>
        <w:jc w:val="both"/>
        <w:rPr>
          <w:rFonts w:ascii="Arial" w:eastAsia="Times New Roman" w:hAnsi="Arial" w:cs="Arial"/>
          <w:color w:val="000000"/>
          <w:lang w:eastAsia="es-CO"/>
        </w:rPr>
      </w:pPr>
      <w:r w:rsidRPr="009342F9">
        <w:rPr>
          <w:rFonts w:ascii="Arial" w:eastAsia="Times New Roman" w:hAnsi="Arial" w:cs="Arial"/>
          <w:color w:val="000000"/>
          <w:lang w:eastAsia="es-CO"/>
        </w:rPr>
        <w:t>Que mientras la Comisión de Regulación de Agua Potable y Saneamiento Básico expide la regulación para este esquema se aplique lo previsto en el inciso segundo del numeral 5 del artículo 2.3.7.2.2.3.2. de la presente subsección.  </w:t>
      </w:r>
    </w:p>
    <w:p w14:paraId="1634B3D6" w14:textId="77777777" w:rsidR="00FC79C1" w:rsidRPr="009342F9" w:rsidRDefault="00FC79C1" w:rsidP="00FC79C1">
      <w:pPr>
        <w:spacing w:after="0" w:line="240" w:lineRule="auto"/>
        <w:ind w:left="-14"/>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7EE3C638" w14:textId="77777777" w:rsidR="00FC79C1" w:rsidRPr="009342F9" w:rsidRDefault="00FC79C1" w:rsidP="0015442F">
      <w:pPr>
        <w:numPr>
          <w:ilvl w:val="0"/>
          <w:numId w:val="54"/>
        </w:num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Que se cumple con los demás requisitos de metodología y documentación de soporte establecidos por la Comisión de Regulación de Agua Potable y Saneamiento Básico.</w:t>
      </w:r>
    </w:p>
    <w:p w14:paraId="03385C5E" w14:textId="77777777" w:rsidR="00FC79C1" w:rsidRPr="009342F9" w:rsidRDefault="00FC79C1" w:rsidP="00FC79C1">
      <w:pPr>
        <w:spacing w:after="0" w:line="240" w:lineRule="auto"/>
        <w:ind w:left="274"/>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43C25BE"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1°. El esquema diferencial adoptado para cada uno de los servicios públicos de acueducto, alcantarillado o aseo en las áreas de prestación, con condiciones particulares, no podrá afectar los estándares de prestación definidos por la regulación en las demás áreas o municipios atendidos por el prestador, que no sean objeto de aplicación de dicho esquema.  </w:t>
      </w:r>
    </w:p>
    <w:p w14:paraId="0CC22DAF" w14:textId="60A19E70"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180" w:name="ver_30125129"/>
      <w:bookmarkEnd w:id="2180"/>
    </w:p>
    <w:p w14:paraId="105F550A" w14:textId="77777777" w:rsidR="00FC79C1" w:rsidRPr="009342F9" w:rsidRDefault="00FC79C1" w:rsidP="00FC79C1">
      <w:pPr>
        <w:spacing w:after="0" w:line="240" w:lineRule="auto"/>
        <w:ind w:left="-14"/>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2.3.7.2.2.3.4. Modificación y prórroga de las condiciones diferenciales en zonas de difícil acceso. Las metas, indicadores, plazos, objetivos y acciones para el cumplimiento de las condiciones diferenciales definidas en el artículo 2.3.7.2.2.3.6. de la presente subsección, podrán ser modificadas y prorrogadas antes del vencimiento del plazo señalado para la terminación del esquema diferencial por la Comisión de Regulación de Agua Potable y Saneamiento Básico, de oficio o por previa solicitud sustentada por parte de la persona prestadora. En este caso, la persona prestadora deberá ajustar el plan de gestión al que se refiere el artículo 2.3.7.2.2.3.8. de la presente subsección.  </w:t>
      </w:r>
    </w:p>
    <w:p w14:paraId="344E1888" w14:textId="77777777" w:rsidR="00FC79C1" w:rsidRPr="009342F9" w:rsidRDefault="00FC79C1" w:rsidP="00FC79C1">
      <w:pPr>
        <w:spacing w:after="0" w:line="240" w:lineRule="auto"/>
        <w:ind w:left="-14"/>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30FE037" w14:textId="77777777" w:rsidR="00FC79C1" w:rsidRPr="009342F9" w:rsidRDefault="00FC79C1" w:rsidP="00FC79C1">
      <w:pPr>
        <w:spacing w:after="0" w:line="240" w:lineRule="auto"/>
        <w:ind w:left="-14"/>
        <w:jc w:val="both"/>
        <w:rPr>
          <w:rFonts w:ascii="Arial" w:eastAsia="Times New Roman" w:hAnsi="Arial" w:cs="Arial"/>
          <w:color w:val="000000"/>
          <w:lang w:eastAsia="es-CO"/>
        </w:rPr>
      </w:pPr>
      <w:r w:rsidRPr="009342F9">
        <w:rPr>
          <w:rFonts w:ascii="Arial" w:eastAsia="Times New Roman" w:hAnsi="Arial" w:cs="Arial"/>
          <w:color w:val="000000"/>
          <w:lang w:eastAsia="es-CO"/>
        </w:rPr>
        <w:t>Una vez modificadas y prorrogadas las metas, indicadores, plazos, objetivos y acciones para el cumplimiento de las condiciones diferenciales definidas en el artículo 2.3.7.2.2.3.6. de la presente subsección, la persona prestadora deberá reportar esta circunstancia en el Sistema Único de Información (SUI) administrado por la Superintendencia de Servicios Públicos Domiciliarios.  </w:t>
      </w:r>
    </w:p>
    <w:p w14:paraId="0113FC1D" w14:textId="334819FC"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181" w:name="ver_30125130"/>
      <w:bookmarkEnd w:id="2181"/>
    </w:p>
    <w:p w14:paraId="76BBA054" w14:textId="77777777" w:rsidR="00FC79C1" w:rsidRPr="009342F9" w:rsidRDefault="00FC79C1" w:rsidP="00FC79C1">
      <w:pPr>
        <w:spacing w:after="0" w:line="240" w:lineRule="auto"/>
        <w:ind w:left="-14"/>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2.3.7.2.2.3.5. Terminación del esquema diferencial en áreas de prestación, con condiciones particulares. El esquema diferencial termina cuando se superan las condiciones del servicio que dieron origen a la prestación en condiciones diferenciales dentro del plazo fijado o cuando culmine el plazo del plan que contiene las metas y gradualidad para el logro de los estándares señalados por la regulación. En todo caso, la persona prestadora deberá informarlo a la Superintendencia de Servicios Públicos Domiciliarios y a la Comisión de Regulación de Agua Potable y Saneamiento Básico.  </w:t>
      </w:r>
    </w:p>
    <w:p w14:paraId="1702A568" w14:textId="77777777" w:rsidR="00FC79C1" w:rsidRPr="009342F9" w:rsidRDefault="00FC79C1" w:rsidP="00FC79C1">
      <w:pPr>
        <w:spacing w:after="0" w:line="240" w:lineRule="auto"/>
        <w:ind w:left="-14"/>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5B9046FE" w14:textId="77777777" w:rsidR="00FC79C1" w:rsidRPr="009342F9" w:rsidRDefault="00FC79C1" w:rsidP="00FC79C1">
      <w:pPr>
        <w:spacing w:after="0" w:line="240" w:lineRule="auto"/>
        <w:ind w:left="-14"/>
        <w:jc w:val="both"/>
        <w:rPr>
          <w:rFonts w:ascii="Arial" w:eastAsia="Times New Roman" w:hAnsi="Arial" w:cs="Arial"/>
          <w:color w:val="000000"/>
          <w:lang w:eastAsia="es-CO"/>
        </w:rPr>
      </w:pPr>
      <w:r w:rsidRPr="009342F9">
        <w:rPr>
          <w:rFonts w:ascii="Arial" w:eastAsia="Times New Roman" w:hAnsi="Arial" w:cs="Arial"/>
          <w:color w:val="000000"/>
          <w:lang w:eastAsia="es-CO"/>
        </w:rPr>
        <w:t>La Comisión de Regulación de Agua Potable y Saneamiento Básico podrá dar por terminado el esquema diferencial cuando encuentre que no se ha logrado el cumplimiento de las metas, indicadores, plazos, objetivos y acciones señalados en el plan de gestión.  </w:t>
      </w:r>
    </w:p>
    <w:p w14:paraId="490071AA" w14:textId="77777777" w:rsidR="00FC79C1" w:rsidRPr="009342F9" w:rsidRDefault="00FC79C1" w:rsidP="00FC79C1">
      <w:pPr>
        <w:spacing w:after="0" w:line="240" w:lineRule="auto"/>
        <w:ind w:left="-14"/>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115561C" w14:textId="77777777" w:rsidR="00FC79C1" w:rsidRPr="009342F9" w:rsidRDefault="00FC79C1" w:rsidP="00FC79C1">
      <w:pPr>
        <w:spacing w:after="0" w:line="240" w:lineRule="auto"/>
        <w:ind w:left="-14"/>
        <w:jc w:val="both"/>
        <w:rPr>
          <w:rFonts w:ascii="Arial" w:eastAsia="Times New Roman" w:hAnsi="Arial" w:cs="Arial"/>
          <w:color w:val="000000"/>
          <w:lang w:eastAsia="es-CO"/>
        </w:rPr>
      </w:pPr>
      <w:r w:rsidRPr="009342F9">
        <w:rPr>
          <w:rFonts w:ascii="Arial" w:eastAsia="Times New Roman" w:hAnsi="Arial" w:cs="Arial"/>
          <w:color w:val="000000"/>
          <w:lang w:eastAsia="es-CO"/>
        </w:rPr>
        <w:t>La Superintendencia de Servicios Públicos Domiciliarios en ejercicio de sus funciones de inspección, vigilancia y control cuando observe que no se están cumpliendo las obligaciones a cargo de esta en la aplicación del esquema diferencial podrá imponer las sanciones y demás acciones para corregir la actuación del prestador.  </w:t>
      </w:r>
    </w:p>
    <w:p w14:paraId="7B6ECA33" w14:textId="7E5B5AA0" w:rsidR="00FC79C1" w:rsidRPr="009342F9" w:rsidRDefault="00FC79C1" w:rsidP="0015442F">
      <w:pPr>
        <w:spacing w:after="0" w:line="240" w:lineRule="auto"/>
        <w:ind w:left="-14"/>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182" w:name="ver_30125131"/>
      <w:bookmarkEnd w:id="2182"/>
    </w:p>
    <w:p w14:paraId="644FF2F2" w14:textId="77777777" w:rsidR="00FC79C1" w:rsidRPr="009342F9" w:rsidRDefault="00FC79C1" w:rsidP="00FC79C1">
      <w:pPr>
        <w:spacing w:after="0" w:line="240" w:lineRule="auto"/>
        <w:ind w:left="-14"/>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2.3.7.2.2.3.6. Condiciones de los esquemas diferenciales para los servicios de acueducto, alcantarillado o aseo en un área de prestación, con condiciones particulares. La persona prestadora de los servicios públicos de acueducto, alcantarillado o aseo que opere en </w:t>
      </w:r>
      <w:r w:rsidRPr="009342F9">
        <w:rPr>
          <w:rFonts w:ascii="Arial" w:eastAsia="Times New Roman" w:hAnsi="Arial" w:cs="Arial"/>
          <w:color w:val="000000"/>
          <w:lang w:eastAsia="es-CO"/>
        </w:rPr>
        <w:lastRenderedPageBreak/>
        <w:t>un área de prestación, con condiciones particulares, podrá sujetarse a las siguientes condiciones diferenciales, durante el plazo del esquema diferencial:  </w:t>
      </w:r>
    </w:p>
    <w:p w14:paraId="6A2827D2" w14:textId="77777777" w:rsidR="00FC79C1" w:rsidRPr="009342F9" w:rsidRDefault="00FC79C1" w:rsidP="00FC79C1">
      <w:pPr>
        <w:spacing w:after="0" w:line="240" w:lineRule="auto"/>
        <w:ind w:left="-14"/>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218C9170" w14:textId="73CCD21C" w:rsidR="00FC79C1" w:rsidRDefault="00FC79C1" w:rsidP="0015442F">
      <w:pPr>
        <w:numPr>
          <w:ilvl w:val="0"/>
          <w:numId w:val="55"/>
        </w:num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Servicio de acueducto y alcantarillado:</w:t>
      </w:r>
    </w:p>
    <w:p w14:paraId="13A56F0A" w14:textId="77777777" w:rsidR="00E95447" w:rsidRPr="009342F9" w:rsidRDefault="00E95447" w:rsidP="00E95447">
      <w:pPr>
        <w:spacing w:after="0" w:line="240" w:lineRule="auto"/>
        <w:ind w:left="720"/>
        <w:jc w:val="both"/>
        <w:rPr>
          <w:rFonts w:ascii="Arial" w:eastAsia="Times New Roman" w:hAnsi="Arial" w:cs="Arial"/>
          <w:color w:val="000000"/>
          <w:lang w:eastAsia="es-CO"/>
        </w:rPr>
      </w:pPr>
    </w:p>
    <w:p w14:paraId="28B4299D" w14:textId="77777777" w:rsidR="00FC79C1" w:rsidRPr="009342F9" w:rsidRDefault="00FC79C1" w:rsidP="00E95447">
      <w:pPr>
        <w:spacing w:after="0" w:line="240" w:lineRule="auto"/>
        <w:ind w:left="1080"/>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Continuidad. La persona prestadora del servicio público de acueducto que no pueda suministrar agua de manera continua, podrá suministrarla garantizando un volumen </w:t>
      </w:r>
      <w:proofErr w:type="gramStart"/>
      <w:r w:rsidRPr="009342F9">
        <w:rPr>
          <w:rFonts w:ascii="Arial" w:eastAsia="Times New Roman" w:hAnsi="Arial" w:cs="Arial"/>
          <w:color w:val="000000"/>
          <w:lang w:eastAsia="es-CO"/>
        </w:rPr>
        <w:t>de acuerdo a</w:t>
      </w:r>
      <w:proofErr w:type="gramEnd"/>
      <w:r w:rsidRPr="009342F9">
        <w:rPr>
          <w:rFonts w:ascii="Arial" w:eastAsia="Times New Roman" w:hAnsi="Arial" w:cs="Arial"/>
          <w:color w:val="000000"/>
          <w:lang w:eastAsia="es-CO"/>
        </w:rPr>
        <w:t xml:space="preserve"> las condiciones técnicas del sistema, el cual deberá incrementarse hasta lograr por lo menos el suministro del consumo básico establecido por la Comisión de Regulación de Agua Potable y Saneamiento Básico, en concordancia con el plan de gestión señalado en el artículo 2.3.7.2.2.3.8. de la presente subsección y el convenio suscrito entre la persona prestadora y la entidad territorial.</w:t>
      </w:r>
    </w:p>
    <w:p w14:paraId="6E435394" w14:textId="77777777" w:rsidR="00E95447" w:rsidRDefault="00E95447" w:rsidP="00E95447">
      <w:pPr>
        <w:spacing w:after="0" w:line="240" w:lineRule="auto"/>
        <w:ind w:left="1080"/>
        <w:jc w:val="both"/>
        <w:rPr>
          <w:rFonts w:ascii="Arial" w:eastAsia="Times New Roman" w:hAnsi="Arial" w:cs="Arial"/>
          <w:color w:val="000000"/>
          <w:lang w:eastAsia="es-CO"/>
        </w:rPr>
      </w:pPr>
    </w:p>
    <w:p w14:paraId="22AD4128" w14:textId="27EA4F46" w:rsidR="00FC79C1" w:rsidRDefault="00FC79C1" w:rsidP="00E95447">
      <w:pPr>
        <w:spacing w:after="0" w:line="240" w:lineRule="auto"/>
        <w:ind w:left="1080"/>
        <w:jc w:val="both"/>
        <w:rPr>
          <w:rFonts w:ascii="Arial" w:eastAsia="Times New Roman" w:hAnsi="Arial" w:cs="Arial"/>
          <w:color w:val="000000"/>
          <w:lang w:eastAsia="es-CO"/>
        </w:rPr>
      </w:pPr>
      <w:proofErr w:type="spellStart"/>
      <w:r w:rsidRPr="009342F9">
        <w:rPr>
          <w:rFonts w:ascii="Arial" w:eastAsia="Times New Roman" w:hAnsi="Arial" w:cs="Arial"/>
          <w:color w:val="000000"/>
          <w:lang w:eastAsia="es-CO"/>
        </w:rPr>
        <w:t>Micromedición</w:t>
      </w:r>
      <w:proofErr w:type="spellEnd"/>
      <w:r w:rsidRPr="009342F9">
        <w:rPr>
          <w:rFonts w:ascii="Arial" w:eastAsia="Times New Roman" w:hAnsi="Arial" w:cs="Arial"/>
          <w:color w:val="000000"/>
          <w:lang w:eastAsia="es-CO"/>
        </w:rPr>
        <w:t xml:space="preserve">. La persona prestadora del servicio público de acueducto que no cuente con </w:t>
      </w:r>
      <w:proofErr w:type="spellStart"/>
      <w:r w:rsidRPr="009342F9">
        <w:rPr>
          <w:rFonts w:ascii="Arial" w:eastAsia="Times New Roman" w:hAnsi="Arial" w:cs="Arial"/>
          <w:color w:val="000000"/>
          <w:lang w:eastAsia="es-CO"/>
        </w:rPr>
        <w:t>micromedición</w:t>
      </w:r>
      <w:proofErr w:type="spellEnd"/>
      <w:r w:rsidRPr="009342F9">
        <w:rPr>
          <w:rFonts w:ascii="Arial" w:eastAsia="Times New Roman" w:hAnsi="Arial" w:cs="Arial"/>
          <w:color w:val="000000"/>
          <w:lang w:eastAsia="es-CO"/>
        </w:rPr>
        <w:t xml:space="preserve"> individual en un área de prestación, con condiciones particulares, podrá realizar la estimación de los consumos de los suscriptores que carecen de medidor, mediante parámetros alternativos definidos por la Comisión de Regulación de Agua Potable y Saneamiento Básico, para efectos de la facturación.</w:t>
      </w:r>
    </w:p>
    <w:p w14:paraId="62F009AB" w14:textId="77777777" w:rsidR="00E95447" w:rsidRPr="009342F9" w:rsidRDefault="00E95447" w:rsidP="00E95447">
      <w:pPr>
        <w:spacing w:after="0" w:line="240" w:lineRule="auto"/>
        <w:ind w:left="1080"/>
        <w:jc w:val="both"/>
        <w:rPr>
          <w:rFonts w:ascii="Arial" w:eastAsia="Times New Roman" w:hAnsi="Arial" w:cs="Arial"/>
          <w:color w:val="000000"/>
          <w:lang w:eastAsia="es-CO"/>
        </w:rPr>
      </w:pPr>
    </w:p>
    <w:p w14:paraId="6BA95C31" w14:textId="2DAFCBC6" w:rsidR="00FC79C1" w:rsidRDefault="00FC79C1" w:rsidP="0015442F">
      <w:pPr>
        <w:numPr>
          <w:ilvl w:val="0"/>
          <w:numId w:val="56"/>
        </w:num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Servicio público de aseo. La persona prestadora del servicio público de aseo o sus actividades complementarias, establecerá en el programa de prestación del servicio que trata el artículo 2.3.2.2.1.10 del presente decreto, la gradualidad para la incorporación de las diferentes actividades del servicio de acuerdo con las condiciones municipales o distritales.</w:t>
      </w:r>
    </w:p>
    <w:p w14:paraId="4C293EED" w14:textId="77777777" w:rsidR="00E95447" w:rsidRPr="009342F9" w:rsidRDefault="00E95447" w:rsidP="00E95447">
      <w:pPr>
        <w:spacing w:after="0" w:line="240" w:lineRule="auto"/>
        <w:ind w:left="720"/>
        <w:jc w:val="both"/>
        <w:rPr>
          <w:rFonts w:ascii="Arial" w:eastAsia="Times New Roman" w:hAnsi="Arial" w:cs="Arial"/>
          <w:color w:val="000000"/>
          <w:lang w:eastAsia="es-CO"/>
        </w:rPr>
      </w:pPr>
    </w:p>
    <w:p w14:paraId="5B42BAA3" w14:textId="655FD553" w:rsidR="00FC79C1" w:rsidRDefault="00FC79C1" w:rsidP="0015442F">
      <w:pPr>
        <w:numPr>
          <w:ilvl w:val="0"/>
          <w:numId w:val="56"/>
        </w:num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Aspectos tarifarios. Las tarifas que aplicará la persona prestadora de los servicios públicos de acueducto, alcantarillado o aseo, deberán adoptarse conforme a la regulación que expida la Comisión de Regulación de Agua Potable y Saneamiento Básico para este caso y lo previsto en el inciso segundo del numeral 5 del artículo 2.3.7.2.2.3.3. de la presente subsección.</w:t>
      </w:r>
    </w:p>
    <w:p w14:paraId="2887B914" w14:textId="77777777" w:rsidR="00E95447" w:rsidRPr="009342F9" w:rsidRDefault="00E95447" w:rsidP="00E95447">
      <w:pPr>
        <w:spacing w:after="0" w:line="240" w:lineRule="auto"/>
        <w:ind w:left="720"/>
        <w:jc w:val="both"/>
        <w:rPr>
          <w:rFonts w:ascii="Arial" w:eastAsia="Times New Roman" w:hAnsi="Arial" w:cs="Arial"/>
          <w:color w:val="000000"/>
          <w:lang w:eastAsia="es-CO"/>
        </w:rPr>
      </w:pPr>
    </w:p>
    <w:p w14:paraId="29FEDC5A" w14:textId="77777777" w:rsidR="00FC79C1" w:rsidRPr="009342F9" w:rsidRDefault="00FC79C1" w:rsidP="0015442F">
      <w:pPr>
        <w:numPr>
          <w:ilvl w:val="0"/>
          <w:numId w:val="56"/>
        </w:num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Condiciones diferenciales en los contratos de servicios públicos. Las personas prestadoras incorporarán en sus contratos de servicios públicos las condiciones de este esquema diferencial, conforme a lo establecido en la presente subsección, sin perjuicio de lo contenido en la regulación sobre contrato de servicios públicos y sus condiciones uniformes, en lo dispuesto en el artículo 128 de la Ley 142 de 1994 y en las demás disposiciones aplicables.</w:t>
      </w:r>
    </w:p>
    <w:p w14:paraId="20B8820F" w14:textId="11B0B71F"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183" w:name="ver_30125132"/>
      <w:bookmarkEnd w:id="2183"/>
    </w:p>
    <w:p w14:paraId="616231CB" w14:textId="77777777" w:rsidR="00FC79C1" w:rsidRPr="009342F9" w:rsidRDefault="00FC79C1" w:rsidP="00FC79C1">
      <w:pPr>
        <w:spacing w:after="0" w:line="240" w:lineRule="auto"/>
        <w:ind w:left="-14"/>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2.3.7.2.2.3.7. Contrato de servicios públicos para el esquema diferencial en áreas de prestación, con condiciones particulares. La persona prestadora deberá adoptar un contrato de servicios públicos para el esquema diferencial en áreas de prestación, con condiciones particulares, en el cual incluirá las condiciones diferenciales respectivas. </w:t>
      </w:r>
    </w:p>
    <w:p w14:paraId="0F1D295E"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2184" w:name="ver_30125133"/>
      <w:bookmarkEnd w:id="2184"/>
    </w:p>
    <w:p w14:paraId="6CC8AED9" w14:textId="77777777" w:rsidR="00FC79C1" w:rsidRPr="009342F9" w:rsidRDefault="00FC79C1" w:rsidP="00FC79C1">
      <w:pPr>
        <w:spacing w:after="0" w:line="240" w:lineRule="auto"/>
        <w:ind w:left="-14"/>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2.3.7.2.2.3.8. Planes de gestión en áreas de prestación, con condiciones </w:t>
      </w:r>
      <w:proofErr w:type="spellStart"/>
      <w:proofErr w:type="gramStart"/>
      <w:r w:rsidRPr="009342F9">
        <w:rPr>
          <w:rFonts w:ascii="Arial" w:eastAsia="Times New Roman" w:hAnsi="Arial" w:cs="Arial"/>
          <w:color w:val="000000"/>
          <w:lang w:eastAsia="es-CO"/>
        </w:rPr>
        <w:t>particulares.La</w:t>
      </w:r>
      <w:proofErr w:type="spellEnd"/>
      <w:proofErr w:type="gramEnd"/>
      <w:r w:rsidRPr="009342F9">
        <w:rPr>
          <w:rFonts w:ascii="Arial" w:eastAsia="Times New Roman" w:hAnsi="Arial" w:cs="Arial"/>
          <w:color w:val="000000"/>
          <w:lang w:eastAsia="es-CO"/>
        </w:rPr>
        <w:t xml:space="preserve"> persona prestadora deberá establecer un plan de gestión en donde se definan las metas, indicadores, plazos, objetivos, acciones y fuentes de financiación para el cumplimiento de las condiciones diferenciales definidas en el artículo 2.3.7.2.2.3.6. de la presente subsección y los estándares de prestación de los servicios públicos definidos por la regulación. Dicho plan deberá contener como mínimo:  </w:t>
      </w:r>
    </w:p>
    <w:p w14:paraId="69E8A168"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C850640" w14:textId="77777777" w:rsidR="00FC79C1" w:rsidRPr="009342F9" w:rsidRDefault="00FC79C1" w:rsidP="0015442F">
      <w:pPr>
        <w:numPr>
          <w:ilvl w:val="0"/>
          <w:numId w:val="57"/>
        </w:num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Plan de obras e inversiones y,</w:t>
      </w:r>
    </w:p>
    <w:p w14:paraId="364D7534" w14:textId="436DD1A4" w:rsidR="00FC79C1" w:rsidRPr="009342F9" w:rsidRDefault="00FC79C1" w:rsidP="0015442F">
      <w:pPr>
        <w:numPr>
          <w:ilvl w:val="0"/>
          <w:numId w:val="57"/>
        </w:num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Plan de aseguramiento de la prestación de los servicios públicos para el cumplimiento de los estándares de prestación de dichos servicios.</w:t>
      </w:r>
    </w:p>
    <w:p w14:paraId="792C409C" w14:textId="77777777" w:rsidR="0015442F" w:rsidRPr="009342F9" w:rsidRDefault="0015442F" w:rsidP="0015442F">
      <w:pPr>
        <w:spacing w:after="0" w:line="240" w:lineRule="auto"/>
        <w:jc w:val="both"/>
        <w:rPr>
          <w:rFonts w:ascii="Arial" w:eastAsia="Times New Roman" w:hAnsi="Arial" w:cs="Arial"/>
          <w:color w:val="000000"/>
          <w:lang w:eastAsia="es-CO"/>
        </w:rPr>
      </w:pPr>
    </w:p>
    <w:p w14:paraId="54962F52" w14:textId="77B1C054" w:rsidR="00FC79C1" w:rsidRPr="009342F9" w:rsidRDefault="00FC79C1" w:rsidP="0015442F">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Los municipios, distritos y departamentos en cumplimiento de sus obligaciones constitucionales y legales priorizarán el apoyo técnico y financiero para la estructuración e implementación de las acciones derivadas de los planes de gestión en áreas de prestación, con condiciones particulares.  </w:t>
      </w:r>
    </w:p>
    <w:p w14:paraId="0A4D2DB5" w14:textId="31B7A8AB"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bookmarkStart w:id="2185" w:name="ver_30125134"/>
      <w:bookmarkEnd w:id="2185"/>
    </w:p>
    <w:p w14:paraId="4DDF2A35" w14:textId="79D40BA1" w:rsidR="00FC79C1"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2.3.7.2.2.3.9. Registro del esquema diferencial en el Sistema Único de Información (SUI). Una vez aceptada la aplicación del esquema diferencial, la persona prestadora deberá registrarlo en el Sistema Único de Información (SUI), en las condiciones y plazos que establezca la Superintendencia de Servicios Públicos Domiciliarios, para su correspondiente inspección, vigilancia y control. </w:t>
      </w:r>
    </w:p>
    <w:p w14:paraId="56CF17BF" w14:textId="77777777" w:rsidR="00E95447" w:rsidRPr="009342F9" w:rsidRDefault="00E95447" w:rsidP="00FC79C1">
      <w:pPr>
        <w:spacing w:after="0" w:line="240" w:lineRule="auto"/>
        <w:jc w:val="both"/>
        <w:rPr>
          <w:rFonts w:ascii="Arial" w:eastAsia="Times New Roman" w:hAnsi="Arial" w:cs="Arial"/>
          <w:color w:val="000000"/>
          <w:lang w:eastAsia="es-CO"/>
        </w:rPr>
      </w:pPr>
    </w:p>
    <w:p w14:paraId="0563089A" w14:textId="77777777" w:rsidR="00FC79C1" w:rsidRPr="00E95447" w:rsidRDefault="00FC79C1" w:rsidP="00E95447">
      <w:pPr>
        <w:spacing w:after="0" w:line="240" w:lineRule="auto"/>
        <w:jc w:val="center"/>
        <w:rPr>
          <w:rFonts w:ascii="Arial" w:eastAsia="Times New Roman" w:hAnsi="Arial" w:cs="Arial"/>
          <w:b/>
          <w:bCs/>
          <w:color w:val="000000"/>
          <w:lang w:eastAsia="es-CO"/>
        </w:rPr>
      </w:pPr>
      <w:bookmarkStart w:id="2186" w:name="ver_30125135"/>
      <w:bookmarkEnd w:id="2186"/>
      <w:r w:rsidRPr="00E95447">
        <w:rPr>
          <w:rFonts w:ascii="Arial" w:eastAsia="Times New Roman" w:hAnsi="Arial" w:cs="Arial"/>
          <w:b/>
          <w:bCs/>
          <w:color w:val="000000"/>
          <w:lang w:eastAsia="es-CO"/>
        </w:rPr>
        <w:t>SECCIÓN 3 DISPOSICIONES GENERALES</w:t>
      </w:r>
    </w:p>
    <w:p w14:paraId="434DAB26"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2187" w:name="ver_30125136"/>
      <w:bookmarkEnd w:id="2187"/>
    </w:p>
    <w:p w14:paraId="15ABBB48" w14:textId="5DF96B27" w:rsidR="00FC79C1"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Artículo 2.3.7.2.3.1. Acceso a subsidios para esquemas diferenciales. Conforme a la normatividad vigente en materia de subsidios, los usuarios residenciales ubicados en un esquema diferencial podrán recibir subsidios de parte de la entidad territorial, para cada uno de los servicios de acueducto, alcantarillado o aseo, en el porcentaje correspondiente </w:t>
      </w:r>
      <w:proofErr w:type="gramStart"/>
      <w:r w:rsidRPr="009342F9">
        <w:rPr>
          <w:rFonts w:ascii="Arial" w:eastAsia="Times New Roman" w:hAnsi="Arial" w:cs="Arial"/>
          <w:color w:val="000000"/>
          <w:lang w:eastAsia="es-CO"/>
        </w:rPr>
        <w:t>de acuerdo al</w:t>
      </w:r>
      <w:proofErr w:type="gramEnd"/>
      <w:r w:rsidRPr="009342F9">
        <w:rPr>
          <w:rFonts w:ascii="Arial" w:eastAsia="Times New Roman" w:hAnsi="Arial" w:cs="Arial"/>
          <w:color w:val="000000"/>
          <w:lang w:eastAsia="es-CO"/>
        </w:rPr>
        <w:t xml:space="preserve"> estrato al que pertenezcan. </w:t>
      </w:r>
    </w:p>
    <w:p w14:paraId="4490A311" w14:textId="77777777" w:rsidR="00E95447" w:rsidRPr="009342F9" w:rsidRDefault="00E95447" w:rsidP="00FC79C1">
      <w:pPr>
        <w:spacing w:after="0" w:line="240" w:lineRule="auto"/>
        <w:jc w:val="both"/>
        <w:rPr>
          <w:rFonts w:ascii="Arial" w:eastAsia="Times New Roman" w:hAnsi="Arial" w:cs="Arial"/>
          <w:color w:val="000000"/>
          <w:lang w:eastAsia="es-CO"/>
        </w:rPr>
      </w:pPr>
    </w:p>
    <w:p w14:paraId="783C70E6" w14:textId="7BCC97B1" w:rsidR="00FC79C1" w:rsidRDefault="00FC79C1" w:rsidP="00FC79C1">
      <w:pPr>
        <w:spacing w:after="0" w:line="240" w:lineRule="auto"/>
        <w:ind w:left="-14"/>
        <w:jc w:val="both"/>
        <w:rPr>
          <w:rFonts w:ascii="Arial" w:eastAsia="Times New Roman" w:hAnsi="Arial" w:cs="Arial"/>
          <w:color w:val="000000"/>
          <w:lang w:eastAsia="es-CO"/>
        </w:rPr>
      </w:pPr>
      <w:r w:rsidRPr="009342F9">
        <w:rPr>
          <w:rFonts w:ascii="Arial" w:eastAsia="Times New Roman" w:hAnsi="Arial" w:cs="Arial"/>
          <w:color w:val="000000"/>
          <w:lang w:eastAsia="es-CO"/>
        </w:rPr>
        <w:t xml:space="preserve">Parágrafo 1°. Para el esquema diferencial en áreas de difícil gestión, para efectos de la facturación y el otorgamiento de los subsidios por parte de la entidad territorial, los inmuebles residenciales se considerarán de estrato 1, mientras la entidad territorial </w:t>
      </w:r>
      <w:proofErr w:type="gramStart"/>
      <w:r w:rsidRPr="009342F9">
        <w:rPr>
          <w:rFonts w:ascii="Arial" w:eastAsia="Times New Roman" w:hAnsi="Arial" w:cs="Arial"/>
          <w:color w:val="000000"/>
          <w:lang w:eastAsia="es-CO"/>
        </w:rPr>
        <w:t>de acuerdo a</w:t>
      </w:r>
      <w:proofErr w:type="gramEnd"/>
      <w:r w:rsidRPr="009342F9">
        <w:rPr>
          <w:rFonts w:ascii="Arial" w:eastAsia="Times New Roman" w:hAnsi="Arial" w:cs="Arial"/>
          <w:color w:val="000000"/>
          <w:lang w:eastAsia="es-CO"/>
        </w:rPr>
        <w:t xml:space="preserve"> sus competencias legales asigne de manera provisional o definitiva el estrato correspondiente para el otorgamiento de subsidios. </w:t>
      </w:r>
    </w:p>
    <w:p w14:paraId="72E45D4E" w14:textId="77777777" w:rsidR="00E95447" w:rsidRPr="009342F9" w:rsidRDefault="00E95447" w:rsidP="00FC79C1">
      <w:pPr>
        <w:spacing w:after="0" w:line="240" w:lineRule="auto"/>
        <w:ind w:left="-14"/>
        <w:jc w:val="both"/>
        <w:rPr>
          <w:rFonts w:ascii="Arial" w:eastAsia="Times New Roman" w:hAnsi="Arial" w:cs="Arial"/>
          <w:color w:val="000000"/>
          <w:lang w:eastAsia="es-CO"/>
        </w:rPr>
      </w:pPr>
    </w:p>
    <w:p w14:paraId="41C42D27" w14:textId="77777777" w:rsidR="00FC79C1" w:rsidRPr="009342F9" w:rsidRDefault="00FC79C1" w:rsidP="00FC79C1">
      <w:pPr>
        <w:spacing w:after="0" w:line="240" w:lineRule="auto"/>
        <w:ind w:left="-14"/>
        <w:jc w:val="both"/>
        <w:rPr>
          <w:rFonts w:ascii="Arial" w:eastAsia="Times New Roman" w:hAnsi="Arial" w:cs="Arial"/>
          <w:color w:val="000000"/>
          <w:lang w:eastAsia="es-CO"/>
        </w:rPr>
      </w:pPr>
      <w:r w:rsidRPr="009342F9">
        <w:rPr>
          <w:rFonts w:ascii="Arial" w:eastAsia="Times New Roman" w:hAnsi="Arial" w:cs="Arial"/>
          <w:color w:val="000000"/>
          <w:lang w:eastAsia="es-CO"/>
        </w:rPr>
        <w:t>Parágrafo 2°. Los usuarios no residenciales estarán sujetos a la aplicación de la normatividad vigente sobre aportes solidarios. </w:t>
      </w:r>
    </w:p>
    <w:p w14:paraId="1E0505EA"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2188" w:name="ver_30125137"/>
      <w:bookmarkEnd w:id="2188"/>
    </w:p>
    <w:p w14:paraId="41C0A631" w14:textId="6DCE75AB" w:rsidR="00FC79C1" w:rsidRPr="009342F9" w:rsidRDefault="00FC79C1" w:rsidP="00FC79C1">
      <w:pPr>
        <w:spacing w:after="0" w:line="240" w:lineRule="auto"/>
        <w:ind w:left="-14"/>
        <w:jc w:val="both"/>
        <w:rPr>
          <w:rFonts w:ascii="Arial" w:eastAsia="Times New Roman" w:hAnsi="Arial" w:cs="Arial"/>
          <w:color w:val="000000"/>
          <w:lang w:eastAsia="es-CO"/>
        </w:rPr>
      </w:pPr>
      <w:r w:rsidRPr="009342F9">
        <w:rPr>
          <w:rFonts w:ascii="Arial" w:eastAsia="Times New Roman" w:hAnsi="Arial" w:cs="Arial"/>
          <w:color w:val="000000"/>
          <w:lang w:eastAsia="es-CO"/>
        </w:rPr>
        <w:t>Artículo 2.3.7.2.3.2. Inspección, vigilancia y control a esquemas diferenciales. La Superintendencia de Servicios Públicos Domiciliarios en ejercicio de sus competencias inspeccionará, vigilará y controlará el cumplimiento de las condiciones diferenciales definidas en cada uno de los esquemas diferenciales señalados en el presente capítulo. </w:t>
      </w:r>
    </w:p>
    <w:p w14:paraId="24852140" w14:textId="77777777" w:rsidR="0015442F" w:rsidRPr="009342F9" w:rsidRDefault="0015442F" w:rsidP="00FC79C1">
      <w:pPr>
        <w:spacing w:after="0" w:line="240" w:lineRule="auto"/>
        <w:ind w:left="-14"/>
        <w:jc w:val="both"/>
        <w:rPr>
          <w:rFonts w:ascii="Arial" w:eastAsia="Times New Roman" w:hAnsi="Arial" w:cs="Arial"/>
          <w:color w:val="000000"/>
          <w:lang w:eastAsia="es-CO"/>
        </w:rPr>
      </w:pPr>
    </w:p>
    <w:p w14:paraId="16B48AE2" w14:textId="77777777" w:rsidR="00FC79C1" w:rsidRPr="009342F9" w:rsidRDefault="00FC79C1" w:rsidP="0015442F">
      <w:pPr>
        <w:spacing w:after="0" w:line="240" w:lineRule="auto"/>
        <w:jc w:val="center"/>
        <w:rPr>
          <w:rFonts w:ascii="Arial" w:eastAsia="Times New Roman" w:hAnsi="Arial" w:cs="Arial"/>
          <w:b/>
          <w:bCs/>
          <w:color w:val="000000"/>
          <w:lang w:eastAsia="es-CO"/>
        </w:rPr>
      </w:pPr>
      <w:bookmarkStart w:id="2189" w:name="ver_30125144"/>
      <w:bookmarkEnd w:id="2189"/>
      <w:r w:rsidRPr="009342F9">
        <w:rPr>
          <w:rFonts w:ascii="Arial" w:eastAsia="Times New Roman" w:hAnsi="Arial" w:cs="Arial"/>
          <w:b/>
          <w:bCs/>
          <w:color w:val="000000"/>
          <w:lang w:eastAsia="es-CO"/>
        </w:rPr>
        <w:t>LIBRO 3.</w:t>
      </w:r>
    </w:p>
    <w:p w14:paraId="2740B4DA" w14:textId="77777777" w:rsidR="00FC79C1" w:rsidRPr="009342F9" w:rsidRDefault="00FC79C1" w:rsidP="0015442F">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DISPOSICIONES FINALES</w:t>
      </w:r>
    </w:p>
    <w:p w14:paraId="46A94616" w14:textId="77777777" w:rsidR="00517D8A" w:rsidRDefault="00517D8A" w:rsidP="0015442F">
      <w:pPr>
        <w:spacing w:after="0" w:line="240" w:lineRule="auto"/>
        <w:jc w:val="center"/>
        <w:rPr>
          <w:rFonts w:ascii="Arial" w:eastAsia="Times New Roman" w:hAnsi="Arial" w:cs="Arial"/>
          <w:b/>
          <w:bCs/>
          <w:color w:val="000000"/>
          <w:lang w:eastAsia="es-CO"/>
        </w:rPr>
      </w:pPr>
    </w:p>
    <w:p w14:paraId="7866E43C" w14:textId="76B2DBDB" w:rsidR="00FC79C1" w:rsidRPr="009342F9" w:rsidRDefault="00FC79C1" w:rsidP="0015442F">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PARTE 1</w:t>
      </w:r>
    </w:p>
    <w:p w14:paraId="1E4ED838" w14:textId="77777777" w:rsidR="00FC79C1" w:rsidRPr="009342F9" w:rsidRDefault="00FC79C1" w:rsidP="0015442F">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Derogatoria y Vigencia</w:t>
      </w:r>
    </w:p>
    <w:p w14:paraId="03D61BC7" w14:textId="77777777" w:rsidR="00517D8A" w:rsidRDefault="00517D8A" w:rsidP="0015442F">
      <w:pPr>
        <w:spacing w:after="0" w:line="240" w:lineRule="auto"/>
        <w:jc w:val="center"/>
        <w:rPr>
          <w:rFonts w:ascii="Arial" w:eastAsia="Times New Roman" w:hAnsi="Arial" w:cs="Arial"/>
          <w:b/>
          <w:bCs/>
          <w:color w:val="000000"/>
          <w:lang w:eastAsia="es-CO"/>
        </w:rPr>
      </w:pPr>
    </w:p>
    <w:p w14:paraId="51C9B116" w14:textId="66F298A0" w:rsidR="00FC79C1" w:rsidRPr="009342F9" w:rsidRDefault="00FC79C1" w:rsidP="0015442F">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TÍTULO 1</w:t>
      </w:r>
    </w:p>
    <w:p w14:paraId="419B838A" w14:textId="77777777" w:rsidR="00FC79C1" w:rsidRPr="009342F9" w:rsidRDefault="00FC79C1" w:rsidP="0015442F">
      <w:pPr>
        <w:spacing w:after="0" w:line="240" w:lineRule="auto"/>
        <w:jc w:val="center"/>
        <w:rPr>
          <w:rFonts w:ascii="Arial" w:eastAsia="Times New Roman" w:hAnsi="Arial" w:cs="Arial"/>
          <w:b/>
          <w:bCs/>
          <w:color w:val="000000"/>
          <w:lang w:eastAsia="es-CO"/>
        </w:rPr>
      </w:pPr>
      <w:r w:rsidRPr="009342F9">
        <w:rPr>
          <w:rFonts w:ascii="Arial" w:eastAsia="Times New Roman" w:hAnsi="Arial" w:cs="Arial"/>
          <w:b/>
          <w:bCs/>
          <w:color w:val="000000"/>
          <w:lang w:eastAsia="es-CO"/>
        </w:rPr>
        <w:t>VIGENCIA Y DEROGATORIA</w:t>
      </w:r>
    </w:p>
    <w:p w14:paraId="06122A37" w14:textId="77777777" w:rsidR="00FC79C1" w:rsidRPr="009342F9" w:rsidRDefault="00FC79C1" w:rsidP="0015442F">
      <w:pPr>
        <w:spacing w:after="0" w:line="240" w:lineRule="auto"/>
        <w:jc w:val="center"/>
        <w:rPr>
          <w:rFonts w:ascii="Arial" w:eastAsia="Times New Roman" w:hAnsi="Arial" w:cs="Arial"/>
          <w:b/>
          <w:bCs/>
          <w:color w:val="000000"/>
          <w:lang w:eastAsia="es-CO"/>
        </w:rPr>
      </w:pPr>
      <w:bookmarkStart w:id="2190" w:name="ver_30076231"/>
      <w:bookmarkEnd w:id="2190"/>
    </w:p>
    <w:p w14:paraId="01EA34BC"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3.1.1. Derogatoria Integral. Este decreto regula íntegramente las materias contempladas en él. Por consiguiente, de conformidad con el artículo 3° de la Ley 153 de 1887, quedan derogadas todas las disposiciones de naturaleza reglamentaria relativas al sector Vivienda, Ciudad y Territorio que versan sobre las mismas materias, con excepción, exclusivamente, de los siguientes asuntos: </w:t>
      </w:r>
    </w:p>
    <w:p w14:paraId="10F5BEF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EAC5CE2"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lastRenderedPageBreak/>
        <w:t>1) No quedan cobijados por la derogatoria anterior los decretos relativos a la creación y conformación de comisiones intersectoriales, comisiones interinstitucionales, consejos, comités, sistemas administrativos y demás asuntos relacionados con la estructura, configuración y conformación de las entidades y organismos del sector administrativo. </w:t>
      </w:r>
    </w:p>
    <w:p w14:paraId="75740F55"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07D29C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2) Tampoco quedan cobijados por la derogatoria anterior los decretos que desarrollan leyes marco. </w:t>
      </w:r>
    </w:p>
    <w:p w14:paraId="5CB8F23D"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3E31EF6B"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3) Igualmente, quedan excluidas de esta derogatoria las normas de naturaleza reglamentaria de este sector administrativo que, a la fecha de expedición del presente decreto, se encuentren suspendidas por la Jurisdicción Contencioso Administrativa, las cuales serán compiladas en este decreto, en caso de recuperar su eficacia jurídica. </w:t>
      </w:r>
    </w:p>
    <w:p w14:paraId="1CBAB856"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423E7443"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4) Así mismo quedan vigentes y en consecuencia se exceptúan de esta derogatoria los decretos 926 de 2010, 2525 de 2010, 092 de 2011 y 340 de 2012 relacionados con normas técnicas sobre construcciones sismo resistentes. </w:t>
      </w:r>
    </w:p>
    <w:p w14:paraId="70FF10F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0439EF41" w14:textId="77777777"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Los actos administrativos expedidos con fundamento en las disposiciones compiladas en el presente decreto mantendrán su vigencia y ejecutoriedad bajo el entendido de que sus fundamentos jurídicos permanecen en el presente decreto compilatorio. </w:t>
      </w:r>
    </w:p>
    <w:p w14:paraId="3D9C5446"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2191" w:name="ver_30076232"/>
      <w:bookmarkEnd w:id="2191"/>
    </w:p>
    <w:p w14:paraId="3159DC18" w14:textId="0DBE59C1" w:rsidR="00FC79C1" w:rsidRPr="009342F9"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Artículo 3.1.2. Vigencia. El presente decreto rige a partir de su publicación en el Diario Oficial.  </w:t>
      </w:r>
    </w:p>
    <w:p w14:paraId="5A85F57D" w14:textId="77777777" w:rsidR="0015442F" w:rsidRPr="009342F9" w:rsidRDefault="0015442F" w:rsidP="00FC79C1">
      <w:pPr>
        <w:spacing w:after="0" w:line="240" w:lineRule="auto"/>
        <w:jc w:val="both"/>
        <w:rPr>
          <w:rFonts w:ascii="Arial" w:eastAsia="Times New Roman" w:hAnsi="Arial" w:cs="Arial"/>
          <w:color w:val="000000"/>
          <w:lang w:eastAsia="es-CO"/>
        </w:rPr>
      </w:pPr>
    </w:p>
    <w:p w14:paraId="5F5D5650" w14:textId="77777777" w:rsidR="00FC79C1" w:rsidRPr="009342F9" w:rsidRDefault="00FC79C1" w:rsidP="00FC79C1">
      <w:pPr>
        <w:spacing w:after="0" w:line="240" w:lineRule="auto"/>
        <w:jc w:val="both"/>
        <w:rPr>
          <w:rFonts w:ascii="Arial" w:eastAsia="Times New Roman" w:hAnsi="Arial" w:cs="Arial"/>
          <w:color w:val="000000"/>
          <w:lang w:eastAsia="es-CO"/>
        </w:rPr>
      </w:pPr>
      <w:bookmarkStart w:id="2192" w:name="ver_30076233"/>
      <w:bookmarkEnd w:id="2192"/>
      <w:r w:rsidRPr="009342F9">
        <w:rPr>
          <w:rFonts w:ascii="Arial" w:eastAsia="Times New Roman" w:hAnsi="Arial" w:cs="Arial"/>
          <w:color w:val="000000"/>
          <w:lang w:eastAsia="es-CO"/>
        </w:rPr>
        <w:t>Publíquese y cúmplase. </w:t>
      </w:r>
    </w:p>
    <w:p w14:paraId="1AC533D9" w14:textId="77777777" w:rsidR="00FC79C1" w:rsidRPr="00E95447" w:rsidRDefault="00FC79C1" w:rsidP="00FC79C1">
      <w:pPr>
        <w:spacing w:after="0" w:line="240" w:lineRule="auto"/>
        <w:jc w:val="both"/>
        <w:rPr>
          <w:rFonts w:ascii="Arial" w:eastAsia="Times New Roman" w:hAnsi="Arial" w:cs="Arial"/>
          <w:color w:val="000000"/>
          <w:lang w:eastAsia="es-CO"/>
        </w:rPr>
      </w:pPr>
      <w:r w:rsidRPr="009342F9">
        <w:rPr>
          <w:rFonts w:ascii="Arial" w:eastAsia="Times New Roman" w:hAnsi="Arial" w:cs="Arial"/>
          <w:color w:val="000000"/>
          <w:lang w:eastAsia="es-CO"/>
        </w:rPr>
        <w:t>  </w:t>
      </w:r>
    </w:p>
    <w:p w14:paraId="1A62DE2E" w14:textId="22595F1B" w:rsidR="00FC79C1" w:rsidRPr="00E95447" w:rsidRDefault="00FC79C1" w:rsidP="0015442F">
      <w:pPr>
        <w:spacing w:after="0" w:line="240" w:lineRule="auto"/>
        <w:jc w:val="center"/>
        <w:rPr>
          <w:rFonts w:ascii="Arial" w:eastAsia="Times New Roman" w:hAnsi="Arial" w:cs="Arial"/>
          <w:color w:val="000000"/>
          <w:lang w:eastAsia="es-CO"/>
        </w:rPr>
      </w:pPr>
      <w:r w:rsidRPr="00E95447">
        <w:rPr>
          <w:rFonts w:ascii="Arial" w:eastAsia="Times New Roman" w:hAnsi="Arial" w:cs="Arial"/>
          <w:color w:val="000000"/>
          <w:lang w:eastAsia="es-CO"/>
        </w:rPr>
        <w:t>Dado en Bogotá, D. C., a 26 de mayo de 2015.</w:t>
      </w:r>
    </w:p>
    <w:p w14:paraId="34DD7FDB" w14:textId="43793DCD" w:rsidR="00FC79C1" w:rsidRPr="00E95447" w:rsidRDefault="00FC79C1" w:rsidP="0015442F">
      <w:pPr>
        <w:spacing w:after="0" w:line="240" w:lineRule="auto"/>
        <w:jc w:val="center"/>
        <w:rPr>
          <w:rFonts w:ascii="Arial" w:eastAsia="Times New Roman" w:hAnsi="Arial" w:cs="Arial"/>
          <w:color w:val="000000"/>
          <w:lang w:eastAsia="es-CO"/>
        </w:rPr>
      </w:pPr>
      <w:r w:rsidRPr="00E95447">
        <w:rPr>
          <w:rFonts w:ascii="Arial" w:eastAsia="Times New Roman" w:hAnsi="Arial" w:cs="Arial"/>
          <w:color w:val="000000"/>
          <w:lang w:eastAsia="es-CO"/>
        </w:rPr>
        <w:t>JUAN MANUEL SANTOS CALDERÓN</w:t>
      </w:r>
    </w:p>
    <w:p w14:paraId="0A25E339" w14:textId="6F5A2EAC" w:rsidR="00FC79C1" w:rsidRPr="00E95447" w:rsidRDefault="00FC79C1" w:rsidP="0015442F">
      <w:pPr>
        <w:spacing w:after="0" w:line="240" w:lineRule="auto"/>
        <w:jc w:val="center"/>
        <w:rPr>
          <w:rFonts w:ascii="Arial" w:eastAsia="Times New Roman" w:hAnsi="Arial" w:cs="Arial"/>
          <w:color w:val="000000"/>
          <w:lang w:eastAsia="es-CO"/>
        </w:rPr>
      </w:pPr>
      <w:r w:rsidRPr="00E95447">
        <w:rPr>
          <w:rFonts w:ascii="Arial" w:eastAsia="Times New Roman" w:hAnsi="Arial" w:cs="Arial"/>
          <w:color w:val="000000"/>
          <w:lang w:eastAsia="es-CO"/>
        </w:rPr>
        <w:t>El Ministro de Vivienda, Ciudad y Territorio,</w:t>
      </w:r>
    </w:p>
    <w:p w14:paraId="6A8AC298" w14:textId="71BD7F02" w:rsidR="00FC79C1" w:rsidRPr="00E95447" w:rsidRDefault="00FC79C1" w:rsidP="0015442F">
      <w:pPr>
        <w:spacing w:after="0" w:line="240" w:lineRule="auto"/>
        <w:jc w:val="center"/>
        <w:rPr>
          <w:rFonts w:ascii="Arial" w:eastAsia="Times New Roman" w:hAnsi="Arial" w:cs="Arial"/>
          <w:color w:val="000000"/>
          <w:lang w:eastAsia="es-CO"/>
        </w:rPr>
      </w:pPr>
      <w:r w:rsidRPr="00E95447">
        <w:rPr>
          <w:rFonts w:ascii="Arial" w:eastAsia="Times New Roman" w:hAnsi="Arial" w:cs="Arial"/>
          <w:color w:val="000000"/>
          <w:lang w:eastAsia="es-CO"/>
        </w:rPr>
        <w:t>Luis Felipe Henao Cardona.</w:t>
      </w:r>
    </w:p>
    <w:p w14:paraId="2D44A3D0" w14:textId="4BFEEB65" w:rsidR="00D667A4" w:rsidRPr="009342F9" w:rsidRDefault="00D667A4" w:rsidP="0015442F">
      <w:pPr>
        <w:spacing w:after="0" w:line="240" w:lineRule="auto"/>
        <w:jc w:val="center"/>
        <w:rPr>
          <w:rFonts w:ascii="Arial" w:hAnsi="Arial" w:cs="Arial"/>
          <w:b/>
          <w:bCs/>
        </w:rPr>
      </w:pPr>
    </w:p>
    <w:sectPr w:rsidR="00D667A4" w:rsidRPr="009342F9" w:rsidSect="00B63A3F">
      <w:pgSz w:w="12240" w:h="15840"/>
      <w:pgMar w:top="1418" w:right="1418" w:bottom="1418"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27794"/>
    <w:multiLevelType w:val="multilevel"/>
    <w:tmpl w:val="8A9E4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346B2F"/>
    <w:multiLevelType w:val="multilevel"/>
    <w:tmpl w:val="53AC60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431C1C"/>
    <w:multiLevelType w:val="multilevel"/>
    <w:tmpl w:val="4B9057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61D3082"/>
    <w:multiLevelType w:val="multilevel"/>
    <w:tmpl w:val="67CC80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38616E"/>
    <w:multiLevelType w:val="multilevel"/>
    <w:tmpl w:val="273EC5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4704EB3"/>
    <w:multiLevelType w:val="multilevel"/>
    <w:tmpl w:val="E2709F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6957DA7"/>
    <w:multiLevelType w:val="multilevel"/>
    <w:tmpl w:val="A84CFA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7251F58"/>
    <w:multiLevelType w:val="multilevel"/>
    <w:tmpl w:val="6D18D0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E252386"/>
    <w:multiLevelType w:val="multilevel"/>
    <w:tmpl w:val="183286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180653F"/>
    <w:multiLevelType w:val="hybridMultilevel"/>
    <w:tmpl w:val="E54883C2"/>
    <w:lvl w:ilvl="0" w:tplc="37AC2738">
      <w:start w:val="1"/>
      <w:numFmt w:val="decimal"/>
      <w:lvlText w:val="%1."/>
      <w:lvlJc w:val="left"/>
      <w:pPr>
        <w:ind w:left="309" w:hanging="204"/>
      </w:pPr>
      <w:rPr>
        <w:rFonts w:ascii="Arial" w:eastAsia="Arial" w:hAnsi="Arial" w:cs="Arial" w:hint="default"/>
        <w:w w:val="102"/>
        <w:sz w:val="17"/>
        <w:szCs w:val="17"/>
        <w:lang w:val="es-ES" w:eastAsia="en-US" w:bidi="ar-SA"/>
      </w:rPr>
    </w:lvl>
    <w:lvl w:ilvl="1" w:tplc="D62CFCB4">
      <w:numFmt w:val="bullet"/>
      <w:lvlText w:val="•"/>
      <w:lvlJc w:val="left"/>
      <w:pPr>
        <w:ind w:left="1380" w:hanging="204"/>
      </w:pPr>
      <w:rPr>
        <w:rFonts w:hint="default"/>
        <w:lang w:val="es-ES" w:eastAsia="en-US" w:bidi="ar-SA"/>
      </w:rPr>
    </w:lvl>
    <w:lvl w:ilvl="2" w:tplc="2C88A492">
      <w:numFmt w:val="bullet"/>
      <w:lvlText w:val="•"/>
      <w:lvlJc w:val="left"/>
      <w:pPr>
        <w:ind w:left="2460" w:hanging="204"/>
      </w:pPr>
      <w:rPr>
        <w:rFonts w:hint="default"/>
        <w:lang w:val="es-ES" w:eastAsia="en-US" w:bidi="ar-SA"/>
      </w:rPr>
    </w:lvl>
    <w:lvl w:ilvl="3" w:tplc="0F1ACB2C">
      <w:numFmt w:val="bullet"/>
      <w:lvlText w:val="•"/>
      <w:lvlJc w:val="left"/>
      <w:pPr>
        <w:ind w:left="3540" w:hanging="204"/>
      </w:pPr>
      <w:rPr>
        <w:rFonts w:hint="default"/>
        <w:lang w:val="es-ES" w:eastAsia="en-US" w:bidi="ar-SA"/>
      </w:rPr>
    </w:lvl>
    <w:lvl w:ilvl="4" w:tplc="14683D88">
      <w:numFmt w:val="bullet"/>
      <w:lvlText w:val="•"/>
      <w:lvlJc w:val="left"/>
      <w:pPr>
        <w:ind w:left="4620" w:hanging="204"/>
      </w:pPr>
      <w:rPr>
        <w:rFonts w:hint="default"/>
        <w:lang w:val="es-ES" w:eastAsia="en-US" w:bidi="ar-SA"/>
      </w:rPr>
    </w:lvl>
    <w:lvl w:ilvl="5" w:tplc="0CEC0EC6">
      <w:numFmt w:val="bullet"/>
      <w:lvlText w:val="•"/>
      <w:lvlJc w:val="left"/>
      <w:pPr>
        <w:ind w:left="5700" w:hanging="204"/>
      </w:pPr>
      <w:rPr>
        <w:rFonts w:hint="default"/>
        <w:lang w:val="es-ES" w:eastAsia="en-US" w:bidi="ar-SA"/>
      </w:rPr>
    </w:lvl>
    <w:lvl w:ilvl="6" w:tplc="FE4A1B94">
      <w:numFmt w:val="bullet"/>
      <w:lvlText w:val="•"/>
      <w:lvlJc w:val="left"/>
      <w:pPr>
        <w:ind w:left="6780" w:hanging="204"/>
      </w:pPr>
      <w:rPr>
        <w:rFonts w:hint="default"/>
        <w:lang w:val="es-ES" w:eastAsia="en-US" w:bidi="ar-SA"/>
      </w:rPr>
    </w:lvl>
    <w:lvl w:ilvl="7" w:tplc="775C759C">
      <w:numFmt w:val="bullet"/>
      <w:lvlText w:val="•"/>
      <w:lvlJc w:val="left"/>
      <w:pPr>
        <w:ind w:left="7860" w:hanging="204"/>
      </w:pPr>
      <w:rPr>
        <w:rFonts w:hint="default"/>
        <w:lang w:val="es-ES" w:eastAsia="en-US" w:bidi="ar-SA"/>
      </w:rPr>
    </w:lvl>
    <w:lvl w:ilvl="8" w:tplc="63289262">
      <w:numFmt w:val="bullet"/>
      <w:lvlText w:val="•"/>
      <w:lvlJc w:val="left"/>
      <w:pPr>
        <w:ind w:left="8940" w:hanging="204"/>
      </w:pPr>
      <w:rPr>
        <w:rFonts w:hint="default"/>
        <w:lang w:val="es-ES" w:eastAsia="en-US" w:bidi="ar-SA"/>
      </w:rPr>
    </w:lvl>
  </w:abstractNum>
  <w:abstractNum w:abstractNumId="10" w15:restartNumberingAfterBreak="0">
    <w:nsid w:val="22CD45FD"/>
    <w:multiLevelType w:val="multilevel"/>
    <w:tmpl w:val="92A088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43B27CE"/>
    <w:multiLevelType w:val="multilevel"/>
    <w:tmpl w:val="A094CA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63F0169"/>
    <w:multiLevelType w:val="multilevel"/>
    <w:tmpl w:val="6EF2AC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8144679"/>
    <w:multiLevelType w:val="multilevel"/>
    <w:tmpl w:val="8F287F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DE73010"/>
    <w:multiLevelType w:val="multilevel"/>
    <w:tmpl w:val="2048AA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29700FA"/>
    <w:multiLevelType w:val="multilevel"/>
    <w:tmpl w:val="5A947B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3464593"/>
    <w:multiLevelType w:val="multilevel"/>
    <w:tmpl w:val="A56C93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6273D5B"/>
    <w:multiLevelType w:val="multilevel"/>
    <w:tmpl w:val="22764E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66D346A"/>
    <w:multiLevelType w:val="multilevel"/>
    <w:tmpl w:val="0EE4C2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93E5111"/>
    <w:multiLevelType w:val="multilevel"/>
    <w:tmpl w:val="8758CB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C1F362B"/>
    <w:multiLevelType w:val="multilevel"/>
    <w:tmpl w:val="B4C6B3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08F6E5C"/>
    <w:multiLevelType w:val="multilevel"/>
    <w:tmpl w:val="340C09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4CE43A9"/>
    <w:multiLevelType w:val="multilevel"/>
    <w:tmpl w:val="BAFE2B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5C85ED2"/>
    <w:multiLevelType w:val="multilevel"/>
    <w:tmpl w:val="CB5064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64453DB"/>
    <w:multiLevelType w:val="multilevel"/>
    <w:tmpl w:val="66CADC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9E75ACF"/>
    <w:multiLevelType w:val="multilevel"/>
    <w:tmpl w:val="FFCE2D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C99460D"/>
    <w:multiLevelType w:val="multilevel"/>
    <w:tmpl w:val="6024A1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F220BE6"/>
    <w:multiLevelType w:val="multilevel"/>
    <w:tmpl w:val="654C6B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F9D0670"/>
    <w:multiLevelType w:val="multilevel"/>
    <w:tmpl w:val="5FC44A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3D01E48"/>
    <w:multiLevelType w:val="multilevel"/>
    <w:tmpl w:val="CB0415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4A74A6D"/>
    <w:multiLevelType w:val="multilevel"/>
    <w:tmpl w:val="E1DC3D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7C6007D"/>
    <w:multiLevelType w:val="multilevel"/>
    <w:tmpl w:val="D69CDD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AF23483"/>
    <w:multiLevelType w:val="multilevel"/>
    <w:tmpl w:val="94445F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F4238B7"/>
    <w:multiLevelType w:val="multilevel"/>
    <w:tmpl w:val="11BEF4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131621A"/>
    <w:multiLevelType w:val="multilevel"/>
    <w:tmpl w:val="8BD85C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1595A21"/>
    <w:multiLevelType w:val="multilevel"/>
    <w:tmpl w:val="C2362A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1D564EB"/>
    <w:multiLevelType w:val="multilevel"/>
    <w:tmpl w:val="8F04FF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7836B47"/>
    <w:multiLevelType w:val="multilevel"/>
    <w:tmpl w:val="A53205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9B87870"/>
    <w:multiLevelType w:val="multilevel"/>
    <w:tmpl w:val="7C74ED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DD5582F"/>
    <w:multiLevelType w:val="multilevel"/>
    <w:tmpl w:val="9A624B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29E60C9"/>
    <w:multiLevelType w:val="multilevel"/>
    <w:tmpl w:val="76DC60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36F2E4D"/>
    <w:multiLevelType w:val="multilevel"/>
    <w:tmpl w:val="0826F8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4B22F53"/>
    <w:multiLevelType w:val="multilevel"/>
    <w:tmpl w:val="9AFC35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630536D"/>
    <w:multiLevelType w:val="multilevel"/>
    <w:tmpl w:val="7B4EF3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63228A0"/>
    <w:multiLevelType w:val="multilevel"/>
    <w:tmpl w:val="5E8692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89A772A"/>
    <w:multiLevelType w:val="multilevel"/>
    <w:tmpl w:val="ACF6DA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AF60860"/>
    <w:multiLevelType w:val="multilevel"/>
    <w:tmpl w:val="FAFE71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B8C06E0"/>
    <w:multiLevelType w:val="multilevel"/>
    <w:tmpl w:val="BB86A9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F024456"/>
    <w:multiLevelType w:val="multilevel"/>
    <w:tmpl w:val="AA0C120C"/>
    <w:lvl w:ilvl="0">
      <w:start w:val="1"/>
      <w:numFmt w:val="decimal"/>
      <w:lvlText w:val="%1."/>
      <w:lvlJc w:val="left"/>
      <w:pPr>
        <w:tabs>
          <w:tab w:val="num" w:pos="720"/>
        </w:tabs>
        <w:ind w:left="720" w:hanging="360"/>
      </w:pPr>
      <w:rPr>
        <w:rFonts w:ascii="Arial" w:eastAsia="Times New Roman" w:hAnsi="Arial"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48898156">
    <w:abstractNumId w:val="43"/>
  </w:num>
  <w:num w:numId="2" w16cid:durableId="275604249">
    <w:abstractNumId w:val="33"/>
    <w:lvlOverride w:ilvl="0">
      <w:startOverride w:val="2"/>
    </w:lvlOverride>
  </w:num>
  <w:num w:numId="3" w16cid:durableId="219632623">
    <w:abstractNumId w:val="18"/>
    <w:lvlOverride w:ilvl="0">
      <w:startOverride w:val="3"/>
    </w:lvlOverride>
  </w:num>
  <w:num w:numId="4" w16cid:durableId="2095473779">
    <w:abstractNumId w:val="16"/>
    <w:lvlOverride w:ilvl="0">
      <w:startOverride w:val="4"/>
    </w:lvlOverride>
  </w:num>
  <w:num w:numId="5" w16cid:durableId="160896955">
    <w:abstractNumId w:val="20"/>
    <w:lvlOverride w:ilvl="0">
      <w:startOverride w:val="5"/>
    </w:lvlOverride>
  </w:num>
  <w:num w:numId="6" w16cid:durableId="2056344661">
    <w:abstractNumId w:val="20"/>
    <w:lvlOverride w:ilvl="0">
      <w:startOverride w:val="6"/>
    </w:lvlOverride>
  </w:num>
  <w:num w:numId="7" w16cid:durableId="334694911">
    <w:abstractNumId w:val="23"/>
    <w:lvlOverride w:ilvl="0">
      <w:startOverride w:val="7"/>
    </w:lvlOverride>
  </w:num>
  <w:num w:numId="8" w16cid:durableId="400828491">
    <w:abstractNumId w:val="39"/>
    <w:lvlOverride w:ilvl="0">
      <w:startOverride w:val="8"/>
    </w:lvlOverride>
  </w:num>
  <w:num w:numId="9" w16cid:durableId="1274098663">
    <w:abstractNumId w:val="8"/>
  </w:num>
  <w:num w:numId="10" w16cid:durableId="792136423">
    <w:abstractNumId w:val="3"/>
  </w:num>
  <w:num w:numId="11" w16cid:durableId="2132632064">
    <w:abstractNumId w:val="4"/>
    <w:lvlOverride w:ilvl="0">
      <w:startOverride w:val="5"/>
    </w:lvlOverride>
  </w:num>
  <w:num w:numId="12" w16cid:durableId="1576236774">
    <w:abstractNumId w:val="40"/>
    <w:lvlOverride w:ilvl="0">
      <w:startOverride w:val="6"/>
    </w:lvlOverride>
  </w:num>
  <w:num w:numId="13" w16cid:durableId="1086458858">
    <w:abstractNumId w:val="40"/>
    <w:lvlOverride w:ilvl="0">
      <w:startOverride w:val="7"/>
    </w:lvlOverride>
  </w:num>
  <w:num w:numId="14" w16cid:durableId="660427488">
    <w:abstractNumId w:val="2"/>
    <w:lvlOverride w:ilvl="0">
      <w:startOverride w:val="8"/>
    </w:lvlOverride>
  </w:num>
  <w:num w:numId="15" w16cid:durableId="723912414">
    <w:abstractNumId w:val="28"/>
  </w:num>
  <w:num w:numId="16" w16cid:durableId="1768117018">
    <w:abstractNumId w:val="31"/>
    <w:lvlOverride w:ilvl="0">
      <w:startOverride w:val="5"/>
    </w:lvlOverride>
  </w:num>
  <w:num w:numId="17" w16cid:durableId="18049500">
    <w:abstractNumId w:val="5"/>
    <w:lvlOverride w:ilvl="0">
      <w:startOverride w:val="6"/>
    </w:lvlOverride>
  </w:num>
  <w:num w:numId="18" w16cid:durableId="1249926522">
    <w:abstractNumId w:val="5"/>
    <w:lvlOverride w:ilvl="0">
      <w:startOverride w:val="7"/>
    </w:lvlOverride>
  </w:num>
  <w:num w:numId="19" w16cid:durableId="760104913">
    <w:abstractNumId w:val="5"/>
    <w:lvlOverride w:ilvl="0">
      <w:startOverride w:val="8"/>
    </w:lvlOverride>
  </w:num>
  <w:num w:numId="20" w16cid:durableId="580067726">
    <w:abstractNumId w:val="5"/>
    <w:lvlOverride w:ilvl="0">
      <w:startOverride w:val="9"/>
    </w:lvlOverride>
  </w:num>
  <w:num w:numId="21" w16cid:durableId="713162931">
    <w:abstractNumId w:val="35"/>
  </w:num>
  <w:num w:numId="22" w16cid:durableId="1850751810">
    <w:abstractNumId w:val="48"/>
  </w:num>
  <w:num w:numId="23" w16cid:durableId="2128235654">
    <w:abstractNumId w:val="19"/>
  </w:num>
  <w:num w:numId="24" w16cid:durableId="467741582">
    <w:abstractNumId w:val="47"/>
    <w:lvlOverride w:ilvl="0">
      <w:startOverride w:val="2"/>
    </w:lvlOverride>
  </w:num>
  <w:num w:numId="25" w16cid:durableId="1136722520">
    <w:abstractNumId w:val="26"/>
  </w:num>
  <w:num w:numId="26" w16cid:durableId="1732463327">
    <w:abstractNumId w:val="37"/>
    <w:lvlOverride w:ilvl="0">
      <w:startOverride w:val="3"/>
    </w:lvlOverride>
  </w:num>
  <w:num w:numId="27" w16cid:durableId="1360739121">
    <w:abstractNumId w:val="37"/>
    <w:lvlOverride w:ilvl="0">
      <w:startOverride w:val="4"/>
    </w:lvlOverride>
  </w:num>
  <w:num w:numId="28" w16cid:durableId="1277522753">
    <w:abstractNumId w:val="37"/>
    <w:lvlOverride w:ilvl="0">
      <w:startOverride w:val="5"/>
    </w:lvlOverride>
  </w:num>
  <w:num w:numId="29" w16cid:durableId="1248076403">
    <w:abstractNumId w:val="15"/>
    <w:lvlOverride w:ilvl="0">
      <w:startOverride w:val="6"/>
    </w:lvlOverride>
  </w:num>
  <w:num w:numId="30" w16cid:durableId="2030254957">
    <w:abstractNumId w:val="7"/>
  </w:num>
  <w:num w:numId="31" w16cid:durableId="1647977260">
    <w:abstractNumId w:val="27"/>
    <w:lvlOverride w:ilvl="0">
      <w:startOverride w:val="2"/>
    </w:lvlOverride>
  </w:num>
  <w:num w:numId="32" w16cid:durableId="1672952236">
    <w:abstractNumId w:val="46"/>
    <w:lvlOverride w:ilvl="0">
      <w:startOverride w:val="3"/>
    </w:lvlOverride>
  </w:num>
  <w:num w:numId="33" w16cid:durableId="600600494">
    <w:abstractNumId w:val="36"/>
    <w:lvlOverride w:ilvl="0">
      <w:startOverride w:val="4"/>
    </w:lvlOverride>
  </w:num>
  <w:num w:numId="34" w16cid:durableId="2061244693">
    <w:abstractNumId w:val="11"/>
    <w:lvlOverride w:ilvl="0">
      <w:startOverride w:val="5"/>
    </w:lvlOverride>
  </w:num>
  <w:num w:numId="35" w16cid:durableId="1637372900">
    <w:abstractNumId w:val="0"/>
    <w:lvlOverride w:ilvl="0">
      <w:startOverride w:val="6"/>
    </w:lvlOverride>
  </w:num>
  <w:num w:numId="36" w16cid:durableId="1436824443">
    <w:abstractNumId w:val="24"/>
  </w:num>
  <w:num w:numId="37" w16cid:durableId="1694383991">
    <w:abstractNumId w:val="24"/>
  </w:num>
  <w:num w:numId="38" w16cid:durableId="263999374">
    <w:abstractNumId w:val="12"/>
    <w:lvlOverride w:ilvl="0">
      <w:startOverride w:val="2"/>
    </w:lvlOverride>
  </w:num>
  <w:num w:numId="39" w16cid:durableId="1113985468">
    <w:abstractNumId w:val="6"/>
    <w:lvlOverride w:ilvl="0">
      <w:startOverride w:val="2"/>
    </w:lvlOverride>
  </w:num>
  <w:num w:numId="40" w16cid:durableId="1987971794">
    <w:abstractNumId w:val="29"/>
    <w:lvlOverride w:ilvl="0">
      <w:startOverride w:val="2"/>
    </w:lvlOverride>
  </w:num>
  <w:num w:numId="41" w16cid:durableId="1007244875">
    <w:abstractNumId w:val="42"/>
    <w:lvlOverride w:ilvl="0">
      <w:startOverride w:val="3"/>
    </w:lvlOverride>
  </w:num>
  <w:num w:numId="42" w16cid:durableId="1159004910">
    <w:abstractNumId w:val="38"/>
    <w:lvlOverride w:ilvl="0">
      <w:startOverride w:val="4"/>
    </w:lvlOverride>
  </w:num>
  <w:num w:numId="43" w16cid:durableId="1760562739">
    <w:abstractNumId w:val="25"/>
  </w:num>
  <w:num w:numId="44" w16cid:durableId="238247257">
    <w:abstractNumId w:val="1"/>
  </w:num>
  <w:num w:numId="45" w16cid:durableId="1781680258">
    <w:abstractNumId w:val="44"/>
    <w:lvlOverride w:ilvl="0">
      <w:startOverride w:val="3"/>
    </w:lvlOverride>
  </w:num>
  <w:num w:numId="46" w16cid:durableId="2047025424">
    <w:abstractNumId w:val="10"/>
    <w:lvlOverride w:ilvl="0">
      <w:startOverride w:val="4"/>
    </w:lvlOverride>
  </w:num>
  <w:num w:numId="47" w16cid:durableId="935288974">
    <w:abstractNumId w:val="21"/>
    <w:lvlOverride w:ilvl="0">
      <w:startOverride w:val="5"/>
    </w:lvlOverride>
  </w:num>
  <w:num w:numId="48" w16cid:durableId="151989091">
    <w:abstractNumId w:val="32"/>
    <w:lvlOverride w:ilvl="0">
      <w:startOverride w:val="6"/>
    </w:lvlOverride>
  </w:num>
  <w:num w:numId="49" w16cid:durableId="26178936">
    <w:abstractNumId w:val="17"/>
  </w:num>
  <w:num w:numId="50" w16cid:durableId="1668896985">
    <w:abstractNumId w:val="45"/>
    <w:lvlOverride w:ilvl="0">
      <w:startOverride w:val="2"/>
    </w:lvlOverride>
  </w:num>
  <w:num w:numId="51" w16cid:durableId="676470162">
    <w:abstractNumId w:val="34"/>
    <w:lvlOverride w:ilvl="0">
      <w:startOverride w:val="3"/>
    </w:lvlOverride>
  </w:num>
  <w:num w:numId="52" w16cid:durableId="256602753">
    <w:abstractNumId w:val="30"/>
    <w:lvlOverride w:ilvl="0">
      <w:startOverride w:val="4"/>
    </w:lvlOverride>
  </w:num>
  <w:num w:numId="53" w16cid:durableId="1272398445">
    <w:abstractNumId w:val="41"/>
    <w:lvlOverride w:ilvl="0">
      <w:startOverride w:val="5"/>
    </w:lvlOverride>
  </w:num>
  <w:num w:numId="54" w16cid:durableId="223686494">
    <w:abstractNumId w:val="22"/>
    <w:lvlOverride w:ilvl="0">
      <w:startOverride w:val="6"/>
    </w:lvlOverride>
  </w:num>
  <w:num w:numId="55" w16cid:durableId="1065300649">
    <w:abstractNumId w:val="14"/>
  </w:num>
  <w:num w:numId="56" w16cid:durableId="259484159">
    <w:abstractNumId w:val="14"/>
  </w:num>
  <w:num w:numId="57" w16cid:durableId="1792626109">
    <w:abstractNumId w:val="13"/>
  </w:num>
  <w:num w:numId="58" w16cid:durableId="1683969306">
    <w:abstractNumId w:val="9"/>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79C1"/>
    <w:rsid w:val="000443A9"/>
    <w:rsid w:val="0009578D"/>
    <w:rsid w:val="000A72FF"/>
    <w:rsid w:val="000B3E77"/>
    <w:rsid w:val="000D26CD"/>
    <w:rsid w:val="000D2B8A"/>
    <w:rsid w:val="00106C26"/>
    <w:rsid w:val="0012676B"/>
    <w:rsid w:val="00137660"/>
    <w:rsid w:val="0015034A"/>
    <w:rsid w:val="0015442F"/>
    <w:rsid w:val="0015707B"/>
    <w:rsid w:val="00176ACC"/>
    <w:rsid w:val="001A4E5B"/>
    <w:rsid w:val="001B62FD"/>
    <w:rsid w:val="001E1D91"/>
    <w:rsid w:val="0021587D"/>
    <w:rsid w:val="00264AD8"/>
    <w:rsid w:val="00287A00"/>
    <w:rsid w:val="0029338B"/>
    <w:rsid w:val="002A08F3"/>
    <w:rsid w:val="002A2BC4"/>
    <w:rsid w:val="002B70CD"/>
    <w:rsid w:val="002B75F7"/>
    <w:rsid w:val="003017FD"/>
    <w:rsid w:val="00302F72"/>
    <w:rsid w:val="00316384"/>
    <w:rsid w:val="00317D10"/>
    <w:rsid w:val="003251A7"/>
    <w:rsid w:val="003662D3"/>
    <w:rsid w:val="00377DAA"/>
    <w:rsid w:val="003A7066"/>
    <w:rsid w:val="003A7D54"/>
    <w:rsid w:val="003C72F3"/>
    <w:rsid w:val="003E2F1C"/>
    <w:rsid w:val="003F63E6"/>
    <w:rsid w:val="004079A3"/>
    <w:rsid w:val="00452CA3"/>
    <w:rsid w:val="004743A4"/>
    <w:rsid w:val="00487A29"/>
    <w:rsid w:val="00491748"/>
    <w:rsid w:val="004A4ED6"/>
    <w:rsid w:val="004E2147"/>
    <w:rsid w:val="004E425A"/>
    <w:rsid w:val="004E79A7"/>
    <w:rsid w:val="00517D8A"/>
    <w:rsid w:val="00524495"/>
    <w:rsid w:val="00531AF5"/>
    <w:rsid w:val="005565AB"/>
    <w:rsid w:val="0059131F"/>
    <w:rsid w:val="005A1FCF"/>
    <w:rsid w:val="005C501F"/>
    <w:rsid w:val="005C5EEB"/>
    <w:rsid w:val="006044BF"/>
    <w:rsid w:val="006162BD"/>
    <w:rsid w:val="006237D5"/>
    <w:rsid w:val="00631E13"/>
    <w:rsid w:val="00653BB0"/>
    <w:rsid w:val="00656E60"/>
    <w:rsid w:val="0066689E"/>
    <w:rsid w:val="00672CC5"/>
    <w:rsid w:val="00683694"/>
    <w:rsid w:val="006A76D3"/>
    <w:rsid w:val="006B25F9"/>
    <w:rsid w:val="006C03C2"/>
    <w:rsid w:val="006E2607"/>
    <w:rsid w:val="007039AE"/>
    <w:rsid w:val="007111A1"/>
    <w:rsid w:val="00723293"/>
    <w:rsid w:val="00725032"/>
    <w:rsid w:val="00762899"/>
    <w:rsid w:val="00796DE8"/>
    <w:rsid w:val="007C38C8"/>
    <w:rsid w:val="007C5A48"/>
    <w:rsid w:val="007C7D44"/>
    <w:rsid w:val="008220FB"/>
    <w:rsid w:val="00847FA1"/>
    <w:rsid w:val="00872F25"/>
    <w:rsid w:val="008773E6"/>
    <w:rsid w:val="008A536D"/>
    <w:rsid w:val="008D71AB"/>
    <w:rsid w:val="009342F9"/>
    <w:rsid w:val="00965E4C"/>
    <w:rsid w:val="009A3227"/>
    <w:rsid w:val="009C22F2"/>
    <w:rsid w:val="00A24F96"/>
    <w:rsid w:val="00A27815"/>
    <w:rsid w:val="00A57EE6"/>
    <w:rsid w:val="00A61D20"/>
    <w:rsid w:val="00A7403B"/>
    <w:rsid w:val="00AA07E8"/>
    <w:rsid w:val="00AA5FD1"/>
    <w:rsid w:val="00AB531D"/>
    <w:rsid w:val="00AB7126"/>
    <w:rsid w:val="00AC2E8D"/>
    <w:rsid w:val="00AD0669"/>
    <w:rsid w:val="00AD58C2"/>
    <w:rsid w:val="00AF1E3B"/>
    <w:rsid w:val="00AF4EF6"/>
    <w:rsid w:val="00AF54B1"/>
    <w:rsid w:val="00B00C41"/>
    <w:rsid w:val="00B3621E"/>
    <w:rsid w:val="00B476AA"/>
    <w:rsid w:val="00B63A3F"/>
    <w:rsid w:val="00B86CD1"/>
    <w:rsid w:val="00B91BA0"/>
    <w:rsid w:val="00BA5705"/>
    <w:rsid w:val="00BB55A2"/>
    <w:rsid w:val="00BC1E8B"/>
    <w:rsid w:val="00BD03DD"/>
    <w:rsid w:val="00C2229B"/>
    <w:rsid w:val="00C27507"/>
    <w:rsid w:val="00C8117B"/>
    <w:rsid w:val="00C821B4"/>
    <w:rsid w:val="00CC2259"/>
    <w:rsid w:val="00CC325A"/>
    <w:rsid w:val="00D02DC1"/>
    <w:rsid w:val="00D0428F"/>
    <w:rsid w:val="00D04AB5"/>
    <w:rsid w:val="00D07FCE"/>
    <w:rsid w:val="00D25E1B"/>
    <w:rsid w:val="00D33608"/>
    <w:rsid w:val="00D4095E"/>
    <w:rsid w:val="00D41493"/>
    <w:rsid w:val="00D42757"/>
    <w:rsid w:val="00D569FF"/>
    <w:rsid w:val="00D667A4"/>
    <w:rsid w:val="00DA0745"/>
    <w:rsid w:val="00DA08A0"/>
    <w:rsid w:val="00DD5703"/>
    <w:rsid w:val="00DE4105"/>
    <w:rsid w:val="00DF7F30"/>
    <w:rsid w:val="00E35FDD"/>
    <w:rsid w:val="00E476D9"/>
    <w:rsid w:val="00E63A77"/>
    <w:rsid w:val="00E94347"/>
    <w:rsid w:val="00E95447"/>
    <w:rsid w:val="00EC38A7"/>
    <w:rsid w:val="00ED3B66"/>
    <w:rsid w:val="00ED7506"/>
    <w:rsid w:val="00EE4153"/>
    <w:rsid w:val="00F0102D"/>
    <w:rsid w:val="00F647A1"/>
    <w:rsid w:val="00F65A39"/>
    <w:rsid w:val="00F739F4"/>
    <w:rsid w:val="00F74103"/>
    <w:rsid w:val="00F87F8B"/>
    <w:rsid w:val="00FB6CBF"/>
    <w:rsid w:val="00FC2FED"/>
    <w:rsid w:val="00FC5DB8"/>
    <w:rsid w:val="00FC79C1"/>
    <w:rsid w:val="00FF226E"/>
    <w:rsid w:val="0819AB7C"/>
    <w:rsid w:val="0CEF5355"/>
    <w:rsid w:val="0D323E20"/>
    <w:rsid w:val="175D19F7"/>
    <w:rsid w:val="189FF168"/>
    <w:rsid w:val="1AB9CBB0"/>
    <w:rsid w:val="218B8C3B"/>
    <w:rsid w:val="231E957E"/>
    <w:rsid w:val="279E2229"/>
    <w:rsid w:val="2CBEFC49"/>
    <w:rsid w:val="3C79BE54"/>
    <w:rsid w:val="3DD719FF"/>
    <w:rsid w:val="3E24935F"/>
    <w:rsid w:val="4109EC5C"/>
    <w:rsid w:val="429AF363"/>
    <w:rsid w:val="43016C1B"/>
    <w:rsid w:val="44761284"/>
    <w:rsid w:val="46D29FB6"/>
    <w:rsid w:val="46EF9201"/>
    <w:rsid w:val="48ABE02E"/>
    <w:rsid w:val="532F79A2"/>
    <w:rsid w:val="53C0C9FE"/>
    <w:rsid w:val="558ADB0B"/>
    <w:rsid w:val="5EE8C017"/>
    <w:rsid w:val="62811359"/>
    <w:rsid w:val="63427264"/>
    <w:rsid w:val="6FC6EF31"/>
    <w:rsid w:val="78DACA52"/>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C33EC0"/>
  <w15:chartTrackingRefBased/>
  <w15:docId w15:val="{F8BC2B4B-7328-4014-B621-C96530CFF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msonormal0">
    <w:name w:val="msonormal"/>
    <w:basedOn w:val="Normal"/>
    <w:rsid w:val="00FC79C1"/>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unhideWhenUsed/>
    <w:rsid w:val="00FC79C1"/>
    <w:rPr>
      <w:color w:val="0000FF"/>
      <w:u w:val="single"/>
    </w:rPr>
  </w:style>
  <w:style w:type="paragraph" w:styleId="NormalWeb">
    <w:name w:val="Normal (Web)"/>
    <w:basedOn w:val="Normal"/>
    <w:uiPriority w:val="99"/>
    <w:semiHidden/>
    <w:unhideWhenUsed/>
    <w:rsid w:val="00FC79C1"/>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toctoggle">
    <w:name w:val="toctoggle"/>
    <w:basedOn w:val="Fuentedeprrafopredeter"/>
    <w:rsid w:val="00FC79C1"/>
  </w:style>
  <w:style w:type="character" w:styleId="Textoennegrita">
    <w:name w:val="Strong"/>
    <w:basedOn w:val="Fuentedeprrafopredeter"/>
    <w:uiPriority w:val="22"/>
    <w:qFormat/>
    <w:rsid w:val="00FC79C1"/>
    <w:rPr>
      <w:b/>
      <w:bCs/>
    </w:rPr>
  </w:style>
  <w:style w:type="paragraph" w:customStyle="1" w:styleId="parrafo-division">
    <w:name w:val="parrafo-division"/>
    <w:basedOn w:val="Normal"/>
    <w:rsid w:val="00FC79C1"/>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nfasis">
    <w:name w:val="Emphasis"/>
    <w:basedOn w:val="Fuentedeprrafopredeter"/>
    <w:uiPriority w:val="20"/>
    <w:qFormat/>
    <w:rsid w:val="00FC79C1"/>
    <w:rPr>
      <w:i/>
      <w:iCs/>
    </w:rPr>
  </w:style>
  <w:style w:type="paragraph" w:styleId="Prrafodelista">
    <w:name w:val="List Paragraph"/>
    <w:basedOn w:val="Normal"/>
    <w:uiPriority w:val="1"/>
    <w:qFormat/>
    <w:rsid w:val="005A1FCF"/>
    <w:pPr>
      <w:ind w:left="720"/>
      <w:contextualSpacing/>
    </w:pPr>
  </w:style>
  <w:style w:type="paragraph" w:styleId="Textoindependiente">
    <w:name w:val="Body Text"/>
    <w:basedOn w:val="Normal"/>
    <w:link w:val="TextoindependienteCar"/>
    <w:uiPriority w:val="1"/>
    <w:qFormat/>
    <w:rsid w:val="00F647A1"/>
    <w:pPr>
      <w:widowControl w:val="0"/>
      <w:autoSpaceDE w:val="0"/>
      <w:autoSpaceDN w:val="0"/>
      <w:spacing w:after="0" w:line="240" w:lineRule="auto"/>
    </w:pPr>
    <w:rPr>
      <w:rFonts w:ascii="Arial" w:eastAsia="Arial" w:hAnsi="Arial" w:cs="Arial"/>
      <w:sz w:val="17"/>
      <w:szCs w:val="17"/>
      <w:lang w:val="es-ES"/>
    </w:rPr>
  </w:style>
  <w:style w:type="character" w:customStyle="1" w:styleId="TextoindependienteCar">
    <w:name w:val="Texto independiente Car"/>
    <w:basedOn w:val="Fuentedeprrafopredeter"/>
    <w:link w:val="Textoindependiente"/>
    <w:uiPriority w:val="1"/>
    <w:rsid w:val="00F647A1"/>
    <w:rPr>
      <w:rFonts w:ascii="Arial" w:eastAsia="Arial" w:hAnsi="Arial" w:cs="Arial"/>
      <w:sz w:val="17"/>
      <w:szCs w:val="17"/>
      <w:lang w:val="es-ES"/>
    </w:rPr>
  </w:style>
  <w:style w:type="character" w:customStyle="1" w:styleId="normaltextrun">
    <w:name w:val="normaltextrun"/>
    <w:basedOn w:val="Fuentedeprrafopredeter"/>
    <w:rsid w:val="00B91BA0"/>
  </w:style>
  <w:style w:type="paragraph" w:styleId="Textodeglobo">
    <w:name w:val="Balloon Text"/>
    <w:basedOn w:val="Normal"/>
    <w:link w:val="TextodegloboCar"/>
    <w:uiPriority w:val="99"/>
    <w:semiHidden/>
    <w:unhideWhenUsed/>
    <w:rsid w:val="00A61D2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61D20"/>
    <w:rPr>
      <w:rFonts w:ascii="Segoe UI" w:hAnsi="Segoe UI" w:cs="Segoe UI"/>
      <w:sz w:val="18"/>
      <w:szCs w:val="18"/>
    </w:rPr>
  </w:style>
  <w:style w:type="character" w:styleId="Mencinsinresolver">
    <w:name w:val="Unresolved Mention"/>
    <w:basedOn w:val="Fuentedeprrafopredeter"/>
    <w:uiPriority w:val="99"/>
    <w:semiHidden/>
    <w:unhideWhenUsed/>
    <w:rsid w:val="00A61D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5165266">
      <w:bodyDiv w:val="1"/>
      <w:marLeft w:val="0"/>
      <w:marRight w:val="0"/>
      <w:marTop w:val="0"/>
      <w:marBottom w:val="0"/>
      <w:divBdr>
        <w:top w:val="none" w:sz="0" w:space="0" w:color="auto"/>
        <w:left w:val="none" w:sz="0" w:space="0" w:color="auto"/>
        <w:bottom w:val="none" w:sz="0" w:space="0" w:color="auto"/>
        <w:right w:val="none" w:sz="0" w:space="0" w:color="auto"/>
      </w:divBdr>
    </w:div>
    <w:div w:id="1108432423">
      <w:bodyDiv w:val="1"/>
      <w:marLeft w:val="0"/>
      <w:marRight w:val="0"/>
      <w:marTop w:val="0"/>
      <w:marBottom w:val="0"/>
      <w:divBdr>
        <w:top w:val="none" w:sz="0" w:space="0" w:color="auto"/>
        <w:left w:val="none" w:sz="0" w:space="0" w:color="auto"/>
        <w:bottom w:val="none" w:sz="0" w:space="0" w:color="auto"/>
        <w:right w:val="none" w:sz="0" w:space="0" w:color="auto"/>
      </w:divBdr>
      <w:divsChild>
        <w:div w:id="299724289">
          <w:marLeft w:val="0"/>
          <w:marRight w:val="0"/>
          <w:marTop w:val="0"/>
          <w:marBottom w:val="0"/>
          <w:divBdr>
            <w:top w:val="none" w:sz="0" w:space="0" w:color="auto"/>
            <w:left w:val="none" w:sz="0" w:space="0" w:color="auto"/>
            <w:bottom w:val="none" w:sz="0" w:space="0" w:color="auto"/>
            <w:right w:val="none" w:sz="0" w:space="0" w:color="auto"/>
          </w:divBdr>
          <w:divsChild>
            <w:div w:id="1398161">
              <w:marLeft w:val="0"/>
              <w:marRight w:val="0"/>
              <w:marTop w:val="0"/>
              <w:marBottom w:val="0"/>
              <w:divBdr>
                <w:top w:val="none" w:sz="0" w:space="0" w:color="auto"/>
                <w:left w:val="none" w:sz="0" w:space="0" w:color="auto"/>
                <w:bottom w:val="none" w:sz="0" w:space="0" w:color="auto"/>
                <w:right w:val="none" w:sz="0" w:space="0" w:color="auto"/>
              </w:divBdr>
              <w:divsChild>
                <w:div w:id="1571111957">
                  <w:marLeft w:val="0"/>
                  <w:marRight w:val="0"/>
                  <w:marTop w:val="0"/>
                  <w:marBottom w:val="0"/>
                  <w:divBdr>
                    <w:top w:val="none" w:sz="0" w:space="0" w:color="auto"/>
                    <w:left w:val="none" w:sz="0" w:space="0" w:color="auto"/>
                    <w:bottom w:val="none" w:sz="0" w:space="0" w:color="auto"/>
                    <w:right w:val="none" w:sz="0" w:space="0" w:color="auto"/>
                  </w:divBdr>
                </w:div>
              </w:divsChild>
            </w:div>
            <w:div w:id="2981813">
              <w:marLeft w:val="0"/>
              <w:marRight w:val="0"/>
              <w:marTop w:val="0"/>
              <w:marBottom w:val="0"/>
              <w:divBdr>
                <w:top w:val="none" w:sz="0" w:space="0" w:color="auto"/>
                <w:left w:val="none" w:sz="0" w:space="0" w:color="auto"/>
                <w:bottom w:val="none" w:sz="0" w:space="0" w:color="auto"/>
                <w:right w:val="none" w:sz="0" w:space="0" w:color="auto"/>
              </w:divBdr>
              <w:divsChild>
                <w:div w:id="188880497">
                  <w:marLeft w:val="0"/>
                  <w:marRight w:val="0"/>
                  <w:marTop w:val="0"/>
                  <w:marBottom w:val="0"/>
                  <w:divBdr>
                    <w:top w:val="none" w:sz="0" w:space="0" w:color="auto"/>
                    <w:left w:val="none" w:sz="0" w:space="0" w:color="auto"/>
                    <w:bottom w:val="none" w:sz="0" w:space="0" w:color="auto"/>
                    <w:right w:val="none" w:sz="0" w:space="0" w:color="auto"/>
                  </w:divBdr>
                </w:div>
              </w:divsChild>
            </w:div>
            <w:div w:id="4094315">
              <w:marLeft w:val="0"/>
              <w:marRight w:val="0"/>
              <w:marTop w:val="300"/>
              <w:marBottom w:val="300"/>
              <w:divBdr>
                <w:top w:val="none" w:sz="0" w:space="0" w:color="auto"/>
                <w:left w:val="none" w:sz="0" w:space="0" w:color="auto"/>
                <w:bottom w:val="none" w:sz="0" w:space="0" w:color="auto"/>
                <w:right w:val="none" w:sz="0" w:space="0" w:color="auto"/>
              </w:divBdr>
            </w:div>
            <w:div w:id="4793733">
              <w:marLeft w:val="0"/>
              <w:marRight w:val="0"/>
              <w:marTop w:val="0"/>
              <w:marBottom w:val="0"/>
              <w:divBdr>
                <w:top w:val="none" w:sz="0" w:space="0" w:color="auto"/>
                <w:left w:val="none" w:sz="0" w:space="0" w:color="auto"/>
                <w:bottom w:val="none" w:sz="0" w:space="0" w:color="auto"/>
                <w:right w:val="none" w:sz="0" w:space="0" w:color="auto"/>
              </w:divBdr>
              <w:divsChild>
                <w:div w:id="1819373622">
                  <w:marLeft w:val="0"/>
                  <w:marRight w:val="0"/>
                  <w:marTop w:val="0"/>
                  <w:marBottom w:val="0"/>
                  <w:divBdr>
                    <w:top w:val="none" w:sz="0" w:space="0" w:color="auto"/>
                    <w:left w:val="none" w:sz="0" w:space="0" w:color="auto"/>
                    <w:bottom w:val="none" w:sz="0" w:space="0" w:color="auto"/>
                    <w:right w:val="none" w:sz="0" w:space="0" w:color="auto"/>
                  </w:divBdr>
                </w:div>
              </w:divsChild>
            </w:div>
            <w:div w:id="5834705">
              <w:marLeft w:val="0"/>
              <w:marRight w:val="0"/>
              <w:marTop w:val="0"/>
              <w:marBottom w:val="0"/>
              <w:divBdr>
                <w:top w:val="none" w:sz="0" w:space="0" w:color="auto"/>
                <w:left w:val="none" w:sz="0" w:space="0" w:color="auto"/>
                <w:bottom w:val="none" w:sz="0" w:space="0" w:color="auto"/>
                <w:right w:val="none" w:sz="0" w:space="0" w:color="auto"/>
              </w:divBdr>
              <w:divsChild>
                <w:div w:id="1810127942">
                  <w:marLeft w:val="0"/>
                  <w:marRight w:val="0"/>
                  <w:marTop w:val="0"/>
                  <w:marBottom w:val="0"/>
                  <w:divBdr>
                    <w:top w:val="none" w:sz="0" w:space="0" w:color="auto"/>
                    <w:left w:val="none" w:sz="0" w:space="0" w:color="auto"/>
                    <w:bottom w:val="none" w:sz="0" w:space="0" w:color="auto"/>
                    <w:right w:val="none" w:sz="0" w:space="0" w:color="auto"/>
                  </w:divBdr>
                </w:div>
              </w:divsChild>
            </w:div>
            <w:div w:id="9528863">
              <w:marLeft w:val="0"/>
              <w:marRight w:val="0"/>
              <w:marTop w:val="0"/>
              <w:marBottom w:val="0"/>
              <w:divBdr>
                <w:top w:val="none" w:sz="0" w:space="0" w:color="auto"/>
                <w:left w:val="none" w:sz="0" w:space="0" w:color="auto"/>
                <w:bottom w:val="none" w:sz="0" w:space="0" w:color="auto"/>
                <w:right w:val="none" w:sz="0" w:space="0" w:color="auto"/>
              </w:divBdr>
              <w:divsChild>
                <w:div w:id="1482116028">
                  <w:marLeft w:val="0"/>
                  <w:marRight w:val="0"/>
                  <w:marTop w:val="0"/>
                  <w:marBottom w:val="0"/>
                  <w:divBdr>
                    <w:top w:val="none" w:sz="0" w:space="0" w:color="auto"/>
                    <w:left w:val="none" w:sz="0" w:space="0" w:color="auto"/>
                    <w:bottom w:val="none" w:sz="0" w:space="0" w:color="auto"/>
                    <w:right w:val="none" w:sz="0" w:space="0" w:color="auto"/>
                  </w:divBdr>
                </w:div>
              </w:divsChild>
            </w:div>
            <w:div w:id="11419874">
              <w:marLeft w:val="0"/>
              <w:marRight w:val="0"/>
              <w:marTop w:val="0"/>
              <w:marBottom w:val="0"/>
              <w:divBdr>
                <w:top w:val="none" w:sz="0" w:space="0" w:color="auto"/>
                <w:left w:val="none" w:sz="0" w:space="0" w:color="auto"/>
                <w:bottom w:val="none" w:sz="0" w:space="0" w:color="auto"/>
                <w:right w:val="none" w:sz="0" w:space="0" w:color="auto"/>
              </w:divBdr>
              <w:divsChild>
                <w:div w:id="172113928">
                  <w:marLeft w:val="0"/>
                  <w:marRight w:val="0"/>
                  <w:marTop w:val="0"/>
                  <w:marBottom w:val="0"/>
                  <w:divBdr>
                    <w:top w:val="none" w:sz="0" w:space="0" w:color="auto"/>
                    <w:left w:val="none" w:sz="0" w:space="0" w:color="auto"/>
                    <w:bottom w:val="none" w:sz="0" w:space="0" w:color="auto"/>
                    <w:right w:val="none" w:sz="0" w:space="0" w:color="auto"/>
                  </w:divBdr>
                </w:div>
              </w:divsChild>
            </w:div>
            <w:div w:id="11422199">
              <w:marLeft w:val="0"/>
              <w:marRight w:val="0"/>
              <w:marTop w:val="0"/>
              <w:marBottom w:val="0"/>
              <w:divBdr>
                <w:top w:val="none" w:sz="0" w:space="0" w:color="auto"/>
                <w:left w:val="none" w:sz="0" w:space="0" w:color="auto"/>
                <w:bottom w:val="none" w:sz="0" w:space="0" w:color="auto"/>
                <w:right w:val="none" w:sz="0" w:space="0" w:color="auto"/>
              </w:divBdr>
              <w:divsChild>
                <w:div w:id="1976251139">
                  <w:marLeft w:val="0"/>
                  <w:marRight w:val="0"/>
                  <w:marTop w:val="0"/>
                  <w:marBottom w:val="0"/>
                  <w:divBdr>
                    <w:top w:val="none" w:sz="0" w:space="0" w:color="auto"/>
                    <w:left w:val="none" w:sz="0" w:space="0" w:color="auto"/>
                    <w:bottom w:val="none" w:sz="0" w:space="0" w:color="auto"/>
                    <w:right w:val="none" w:sz="0" w:space="0" w:color="auto"/>
                  </w:divBdr>
                </w:div>
              </w:divsChild>
            </w:div>
            <w:div w:id="12265030">
              <w:marLeft w:val="0"/>
              <w:marRight w:val="0"/>
              <w:marTop w:val="0"/>
              <w:marBottom w:val="0"/>
              <w:divBdr>
                <w:top w:val="none" w:sz="0" w:space="0" w:color="auto"/>
                <w:left w:val="none" w:sz="0" w:space="0" w:color="auto"/>
                <w:bottom w:val="none" w:sz="0" w:space="0" w:color="auto"/>
                <w:right w:val="none" w:sz="0" w:space="0" w:color="auto"/>
              </w:divBdr>
              <w:divsChild>
                <w:div w:id="571549285">
                  <w:marLeft w:val="0"/>
                  <w:marRight w:val="0"/>
                  <w:marTop w:val="0"/>
                  <w:marBottom w:val="0"/>
                  <w:divBdr>
                    <w:top w:val="none" w:sz="0" w:space="0" w:color="auto"/>
                    <w:left w:val="none" w:sz="0" w:space="0" w:color="auto"/>
                    <w:bottom w:val="none" w:sz="0" w:space="0" w:color="auto"/>
                    <w:right w:val="none" w:sz="0" w:space="0" w:color="auto"/>
                  </w:divBdr>
                </w:div>
              </w:divsChild>
            </w:div>
            <w:div w:id="13580767">
              <w:marLeft w:val="0"/>
              <w:marRight w:val="0"/>
              <w:marTop w:val="0"/>
              <w:marBottom w:val="0"/>
              <w:divBdr>
                <w:top w:val="none" w:sz="0" w:space="0" w:color="auto"/>
                <w:left w:val="none" w:sz="0" w:space="0" w:color="auto"/>
                <w:bottom w:val="none" w:sz="0" w:space="0" w:color="auto"/>
                <w:right w:val="none" w:sz="0" w:space="0" w:color="auto"/>
              </w:divBdr>
              <w:divsChild>
                <w:div w:id="882906450">
                  <w:marLeft w:val="0"/>
                  <w:marRight w:val="0"/>
                  <w:marTop w:val="0"/>
                  <w:marBottom w:val="0"/>
                  <w:divBdr>
                    <w:top w:val="none" w:sz="0" w:space="0" w:color="auto"/>
                    <w:left w:val="none" w:sz="0" w:space="0" w:color="auto"/>
                    <w:bottom w:val="none" w:sz="0" w:space="0" w:color="auto"/>
                    <w:right w:val="none" w:sz="0" w:space="0" w:color="auto"/>
                  </w:divBdr>
                </w:div>
              </w:divsChild>
            </w:div>
            <w:div w:id="13768946">
              <w:marLeft w:val="0"/>
              <w:marRight w:val="0"/>
              <w:marTop w:val="0"/>
              <w:marBottom w:val="0"/>
              <w:divBdr>
                <w:top w:val="none" w:sz="0" w:space="0" w:color="auto"/>
                <w:left w:val="none" w:sz="0" w:space="0" w:color="auto"/>
                <w:bottom w:val="none" w:sz="0" w:space="0" w:color="auto"/>
                <w:right w:val="none" w:sz="0" w:space="0" w:color="auto"/>
              </w:divBdr>
              <w:divsChild>
                <w:div w:id="550383452">
                  <w:marLeft w:val="0"/>
                  <w:marRight w:val="0"/>
                  <w:marTop w:val="0"/>
                  <w:marBottom w:val="0"/>
                  <w:divBdr>
                    <w:top w:val="none" w:sz="0" w:space="0" w:color="auto"/>
                    <w:left w:val="none" w:sz="0" w:space="0" w:color="auto"/>
                    <w:bottom w:val="none" w:sz="0" w:space="0" w:color="auto"/>
                    <w:right w:val="none" w:sz="0" w:space="0" w:color="auto"/>
                  </w:divBdr>
                </w:div>
              </w:divsChild>
            </w:div>
            <w:div w:id="15622605">
              <w:marLeft w:val="0"/>
              <w:marRight w:val="0"/>
              <w:marTop w:val="0"/>
              <w:marBottom w:val="0"/>
              <w:divBdr>
                <w:top w:val="none" w:sz="0" w:space="0" w:color="auto"/>
                <w:left w:val="none" w:sz="0" w:space="0" w:color="auto"/>
                <w:bottom w:val="none" w:sz="0" w:space="0" w:color="auto"/>
                <w:right w:val="none" w:sz="0" w:space="0" w:color="auto"/>
              </w:divBdr>
              <w:divsChild>
                <w:div w:id="537664627">
                  <w:marLeft w:val="0"/>
                  <w:marRight w:val="0"/>
                  <w:marTop w:val="0"/>
                  <w:marBottom w:val="0"/>
                  <w:divBdr>
                    <w:top w:val="none" w:sz="0" w:space="0" w:color="auto"/>
                    <w:left w:val="none" w:sz="0" w:space="0" w:color="auto"/>
                    <w:bottom w:val="none" w:sz="0" w:space="0" w:color="auto"/>
                    <w:right w:val="none" w:sz="0" w:space="0" w:color="auto"/>
                  </w:divBdr>
                </w:div>
              </w:divsChild>
            </w:div>
            <w:div w:id="16084463">
              <w:marLeft w:val="0"/>
              <w:marRight w:val="0"/>
              <w:marTop w:val="0"/>
              <w:marBottom w:val="0"/>
              <w:divBdr>
                <w:top w:val="none" w:sz="0" w:space="0" w:color="auto"/>
                <w:left w:val="none" w:sz="0" w:space="0" w:color="auto"/>
                <w:bottom w:val="none" w:sz="0" w:space="0" w:color="auto"/>
                <w:right w:val="none" w:sz="0" w:space="0" w:color="auto"/>
              </w:divBdr>
              <w:divsChild>
                <w:div w:id="42102181">
                  <w:marLeft w:val="0"/>
                  <w:marRight w:val="0"/>
                  <w:marTop w:val="0"/>
                  <w:marBottom w:val="0"/>
                  <w:divBdr>
                    <w:top w:val="none" w:sz="0" w:space="0" w:color="auto"/>
                    <w:left w:val="none" w:sz="0" w:space="0" w:color="auto"/>
                    <w:bottom w:val="none" w:sz="0" w:space="0" w:color="auto"/>
                    <w:right w:val="none" w:sz="0" w:space="0" w:color="auto"/>
                  </w:divBdr>
                </w:div>
              </w:divsChild>
            </w:div>
            <w:div w:id="16393228">
              <w:marLeft w:val="0"/>
              <w:marRight w:val="0"/>
              <w:marTop w:val="300"/>
              <w:marBottom w:val="300"/>
              <w:divBdr>
                <w:top w:val="none" w:sz="0" w:space="0" w:color="auto"/>
                <w:left w:val="none" w:sz="0" w:space="0" w:color="auto"/>
                <w:bottom w:val="none" w:sz="0" w:space="0" w:color="auto"/>
                <w:right w:val="none" w:sz="0" w:space="0" w:color="auto"/>
              </w:divBdr>
            </w:div>
            <w:div w:id="17394253">
              <w:marLeft w:val="0"/>
              <w:marRight w:val="0"/>
              <w:marTop w:val="0"/>
              <w:marBottom w:val="0"/>
              <w:divBdr>
                <w:top w:val="none" w:sz="0" w:space="0" w:color="auto"/>
                <w:left w:val="none" w:sz="0" w:space="0" w:color="auto"/>
                <w:bottom w:val="none" w:sz="0" w:space="0" w:color="auto"/>
                <w:right w:val="none" w:sz="0" w:space="0" w:color="auto"/>
              </w:divBdr>
              <w:divsChild>
                <w:div w:id="1810591211">
                  <w:marLeft w:val="0"/>
                  <w:marRight w:val="0"/>
                  <w:marTop w:val="0"/>
                  <w:marBottom w:val="0"/>
                  <w:divBdr>
                    <w:top w:val="none" w:sz="0" w:space="0" w:color="auto"/>
                    <w:left w:val="none" w:sz="0" w:space="0" w:color="auto"/>
                    <w:bottom w:val="none" w:sz="0" w:space="0" w:color="auto"/>
                    <w:right w:val="none" w:sz="0" w:space="0" w:color="auto"/>
                  </w:divBdr>
                </w:div>
              </w:divsChild>
            </w:div>
            <w:div w:id="17432610">
              <w:marLeft w:val="0"/>
              <w:marRight w:val="0"/>
              <w:marTop w:val="0"/>
              <w:marBottom w:val="0"/>
              <w:divBdr>
                <w:top w:val="none" w:sz="0" w:space="0" w:color="auto"/>
                <w:left w:val="none" w:sz="0" w:space="0" w:color="auto"/>
                <w:bottom w:val="none" w:sz="0" w:space="0" w:color="auto"/>
                <w:right w:val="none" w:sz="0" w:space="0" w:color="auto"/>
              </w:divBdr>
              <w:divsChild>
                <w:div w:id="2128237354">
                  <w:marLeft w:val="0"/>
                  <w:marRight w:val="0"/>
                  <w:marTop w:val="0"/>
                  <w:marBottom w:val="0"/>
                  <w:divBdr>
                    <w:top w:val="none" w:sz="0" w:space="0" w:color="auto"/>
                    <w:left w:val="none" w:sz="0" w:space="0" w:color="auto"/>
                    <w:bottom w:val="none" w:sz="0" w:space="0" w:color="auto"/>
                    <w:right w:val="none" w:sz="0" w:space="0" w:color="auto"/>
                  </w:divBdr>
                </w:div>
              </w:divsChild>
            </w:div>
            <w:div w:id="17435661">
              <w:marLeft w:val="0"/>
              <w:marRight w:val="0"/>
              <w:marTop w:val="300"/>
              <w:marBottom w:val="300"/>
              <w:divBdr>
                <w:top w:val="none" w:sz="0" w:space="0" w:color="auto"/>
                <w:left w:val="none" w:sz="0" w:space="0" w:color="auto"/>
                <w:bottom w:val="none" w:sz="0" w:space="0" w:color="auto"/>
                <w:right w:val="none" w:sz="0" w:space="0" w:color="auto"/>
              </w:divBdr>
            </w:div>
            <w:div w:id="17969485">
              <w:marLeft w:val="0"/>
              <w:marRight w:val="0"/>
              <w:marTop w:val="0"/>
              <w:marBottom w:val="0"/>
              <w:divBdr>
                <w:top w:val="none" w:sz="0" w:space="0" w:color="auto"/>
                <w:left w:val="none" w:sz="0" w:space="0" w:color="auto"/>
                <w:bottom w:val="none" w:sz="0" w:space="0" w:color="auto"/>
                <w:right w:val="none" w:sz="0" w:space="0" w:color="auto"/>
              </w:divBdr>
              <w:divsChild>
                <w:div w:id="103155165">
                  <w:marLeft w:val="0"/>
                  <w:marRight w:val="0"/>
                  <w:marTop w:val="0"/>
                  <w:marBottom w:val="0"/>
                  <w:divBdr>
                    <w:top w:val="none" w:sz="0" w:space="0" w:color="auto"/>
                    <w:left w:val="none" w:sz="0" w:space="0" w:color="auto"/>
                    <w:bottom w:val="none" w:sz="0" w:space="0" w:color="auto"/>
                    <w:right w:val="none" w:sz="0" w:space="0" w:color="auto"/>
                  </w:divBdr>
                </w:div>
              </w:divsChild>
            </w:div>
            <w:div w:id="18436255">
              <w:marLeft w:val="0"/>
              <w:marRight w:val="0"/>
              <w:marTop w:val="0"/>
              <w:marBottom w:val="0"/>
              <w:divBdr>
                <w:top w:val="none" w:sz="0" w:space="0" w:color="auto"/>
                <w:left w:val="none" w:sz="0" w:space="0" w:color="auto"/>
                <w:bottom w:val="none" w:sz="0" w:space="0" w:color="auto"/>
                <w:right w:val="none" w:sz="0" w:space="0" w:color="auto"/>
              </w:divBdr>
              <w:divsChild>
                <w:div w:id="1846675383">
                  <w:marLeft w:val="0"/>
                  <w:marRight w:val="0"/>
                  <w:marTop w:val="0"/>
                  <w:marBottom w:val="0"/>
                  <w:divBdr>
                    <w:top w:val="none" w:sz="0" w:space="0" w:color="auto"/>
                    <w:left w:val="none" w:sz="0" w:space="0" w:color="auto"/>
                    <w:bottom w:val="none" w:sz="0" w:space="0" w:color="auto"/>
                    <w:right w:val="none" w:sz="0" w:space="0" w:color="auto"/>
                  </w:divBdr>
                </w:div>
              </w:divsChild>
            </w:div>
            <w:div w:id="22755887">
              <w:marLeft w:val="0"/>
              <w:marRight w:val="0"/>
              <w:marTop w:val="0"/>
              <w:marBottom w:val="0"/>
              <w:divBdr>
                <w:top w:val="none" w:sz="0" w:space="0" w:color="auto"/>
                <w:left w:val="none" w:sz="0" w:space="0" w:color="auto"/>
                <w:bottom w:val="none" w:sz="0" w:space="0" w:color="auto"/>
                <w:right w:val="none" w:sz="0" w:space="0" w:color="auto"/>
              </w:divBdr>
              <w:divsChild>
                <w:div w:id="1897472796">
                  <w:marLeft w:val="0"/>
                  <w:marRight w:val="0"/>
                  <w:marTop w:val="0"/>
                  <w:marBottom w:val="0"/>
                  <w:divBdr>
                    <w:top w:val="none" w:sz="0" w:space="0" w:color="auto"/>
                    <w:left w:val="none" w:sz="0" w:space="0" w:color="auto"/>
                    <w:bottom w:val="none" w:sz="0" w:space="0" w:color="auto"/>
                    <w:right w:val="none" w:sz="0" w:space="0" w:color="auto"/>
                  </w:divBdr>
                </w:div>
              </w:divsChild>
            </w:div>
            <w:div w:id="23095355">
              <w:marLeft w:val="0"/>
              <w:marRight w:val="0"/>
              <w:marTop w:val="0"/>
              <w:marBottom w:val="0"/>
              <w:divBdr>
                <w:top w:val="none" w:sz="0" w:space="0" w:color="auto"/>
                <w:left w:val="none" w:sz="0" w:space="0" w:color="auto"/>
                <w:bottom w:val="none" w:sz="0" w:space="0" w:color="auto"/>
                <w:right w:val="none" w:sz="0" w:space="0" w:color="auto"/>
              </w:divBdr>
              <w:divsChild>
                <w:div w:id="957755615">
                  <w:marLeft w:val="0"/>
                  <w:marRight w:val="0"/>
                  <w:marTop w:val="0"/>
                  <w:marBottom w:val="0"/>
                  <w:divBdr>
                    <w:top w:val="none" w:sz="0" w:space="0" w:color="auto"/>
                    <w:left w:val="none" w:sz="0" w:space="0" w:color="auto"/>
                    <w:bottom w:val="none" w:sz="0" w:space="0" w:color="auto"/>
                    <w:right w:val="none" w:sz="0" w:space="0" w:color="auto"/>
                  </w:divBdr>
                </w:div>
              </w:divsChild>
            </w:div>
            <w:div w:id="23869704">
              <w:marLeft w:val="0"/>
              <w:marRight w:val="0"/>
              <w:marTop w:val="0"/>
              <w:marBottom w:val="0"/>
              <w:divBdr>
                <w:top w:val="none" w:sz="0" w:space="0" w:color="auto"/>
                <w:left w:val="none" w:sz="0" w:space="0" w:color="auto"/>
                <w:bottom w:val="none" w:sz="0" w:space="0" w:color="auto"/>
                <w:right w:val="none" w:sz="0" w:space="0" w:color="auto"/>
              </w:divBdr>
              <w:divsChild>
                <w:div w:id="379210784">
                  <w:marLeft w:val="0"/>
                  <w:marRight w:val="0"/>
                  <w:marTop w:val="0"/>
                  <w:marBottom w:val="0"/>
                  <w:divBdr>
                    <w:top w:val="none" w:sz="0" w:space="0" w:color="auto"/>
                    <w:left w:val="none" w:sz="0" w:space="0" w:color="auto"/>
                    <w:bottom w:val="none" w:sz="0" w:space="0" w:color="auto"/>
                    <w:right w:val="none" w:sz="0" w:space="0" w:color="auto"/>
                  </w:divBdr>
                </w:div>
              </w:divsChild>
            </w:div>
            <w:div w:id="24252556">
              <w:marLeft w:val="0"/>
              <w:marRight w:val="0"/>
              <w:marTop w:val="300"/>
              <w:marBottom w:val="300"/>
              <w:divBdr>
                <w:top w:val="none" w:sz="0" w:space="0" w:color="auto"/>
                <w:left w:val="none" w:sz="0" w:space="0" w:color="auto"/>
                <w:bottom w:val="none" w:sz="0" w:space="0" w:color="auto"/>
                <w:right w:val="none" w:sz="0" w:space="0" w:color="auto"/>
              </w:divBdr>
            </w:div>
            <w:div w:id="24838649">
              <w:marLeft w:val="0"/>
              <w:marRight w:val="0"/>
              <w:marTop w:val="0"/>
              <w:marBottom w:val="0"/>
              <w:divBdr>
                <w:top w:val="none" w:sz="0" w:space="0" w:color="auto"/>
                <w:left w:val="none" w:sz="0" w:space="0" w:color="auto"/>
                <w:bottom w:val="none" w:sz="0" w:space="0" w:color="auto"/>
                <w:right w:val="none" w:sz="0" w:space="0" w:color="auto"/>
              </w:divBdr>
              <w:divsChild>
                <w:div w:id="667901622">
                  <w:marLeft w:val="0"/>
                  <w:marRight w:val="0"/>
                  <w:marTop w:val="0"/>
                  <w:marBottom w:val="0"/>
                  <w:divBdr>
                    <w:top w:val="none" w:sz="0" w:space="0" w:color="auto"/>
                    <w:left w:val="none" w:sz="0" w:space="0" w:color="auto"/>
                    <w:bottom w:val="none" w:sz="0" w:space="0" w:color="auto"/>
                    <w:right w:val="none" w:sz="0" w:space="0" w:color="auto"/>
                  </w:divBdr>
                </w:div>
              </w:divsChild>
            </w:div>
            <w:div w:id="26151815">
              <w:marLeft w:val="0"/>
              <w:marRight w:val="0"/>
              <w:marTop w:val="0"/>
              <w:marBottom w:val="0"/>
              <w:divBdr>
                <w:top w:val="none" w:sz="0" w:space="0" w:color="auto"/>
                <w:left w:val="none" w:sz="0" w:space="0" w:color="auto"/>
                <w:bottom w:val="none" w:sz="0" w:space="0" w:color="auto"/>
                <w:right w:val="none" w:sz="0" w:space="0" w:color="auto"/>
              </w:divBdr>
              <w:divsChild>
                <w:div w:id="1349407336">
                  <w:marLeft w:val="0"/>
                  <w:marRight w:val="0"/>
                  <w:marTop w:val="0"/>
                  <w:marBottom w:val="0"/>
                  <w:divBdr>
                    <w:top w:val="none" w:sz="0" w:space="0" w:color="auto"/>
                    <w:left w:val="none" w:sz="0" w:space="0" w:color="auto"/>
                    <w:bottom w:val="none" w:sz="0" w:space="0" w:color="auto"/>
                    <w:right w:val="none" w:sz="0" w:space="0" w:color="auto"/>
                  </w:divBdr>
                </w:div>
              </w:divsChild>
            </w:div>
            <w:div w:id="27224078">
              <w:marLeft w:val="0"/>
              <w:marRight w:val="0"/>
              <w:marTop w:val="0"/>
              <w:marBottom w:val="0"/>
              <w:divBdr>
                <w:top w:val="none" w:sz="0" w:space="0" w:color="auto"/>
                <w:left w:val="none" w:sz="0" w:space="0" w:color="auto"/>
                <w:bottom w:val="none" w:sz="0" w:space="0" w:color="auto"/>
                <w:right w:val="none" w:sz="0" w:space="0" w:color="auto"/>
              </w:divBdr>
              <w:divsChild>
                <w:div w:id="551162404">
                  <w:marLeft w:val="0"/>
                  <w:marRight w:val="0"/>
                  <w:marTop w:val="0"/>
                  <w:marBottom w:val="0"/>
                  <w:divBdr>
                    <w:top w:val="none" w:sz="0" w:space="0" w:color="auto"/>
                    <w:left w:val="none" w:sz="0" w:space="0" w:color="auto"/>
                    <w:bottom w:val="none" w:sz="0" w:space="0" w:color="auto"/>
                    <w:right w:val="none" w:sz="0" w:space="0" w:color="auto"/>
                  </w:divBdr>
                </w:div>
              </w:divsChild>
            </w:div>
            <w:div w:id="27341013">
              <w:marLeft w:val="0"/>
              <w:marRight w:val="0"/>
              <w:marTop w:val="300"/>
              <w:marBottom w:val="300"/>
              <w:divBdr>
                <w:top w:val="none" w:sz="0" w:space="0" w:color="auto"/>
                <w:left w:val="none" w:sz="0" w:space="0" w:color="auto"/>
                <w:bottom w:val="none" w:sz="0" w:space="0" w:color="auto"/>
                <w:right w:val="none" w:sz="0" w:space="0" w:color="auto"/>
              </w:divBdr>
            </w:div>
            <w:div w:id="27490990">
              <w:marLeft w:val="0"/>
              <w:marRight w:val="0"/>
              <w:marTop w:val="0"/>
              <w:marBottom w:val="0"/>
              <w:divBdr>
                <w:top w:val="none" w:sz="0" w:space="0" w:color="auto"/>
                <w:left w:val="none" w:sz="0" w:space="0" w:color="auto"/>
                <w:bottom w:val="none" w:sz="0" w:space="0" w:color="auto"/>
                <w:right w:val="none" w:sz="0" w:space="0" w:color="auto"/>
              </w:divBdr>
              <w:divsChild>
                <w:div w:id="147597815">
                  <w:marLeft w:val="0"/>
                  <w:marRight w:val="0"/>
                  <w:marTop w:val="0"/>
                  <w:marBottom w:val="0"/>
                  <w:divBdr>
                    <w:top w:val="none" w:sz="0" w:space="0" w:color="auto"/>
                    <w:left w:val="none" w:sz="0" w:space="0" w:color="auto"/>
                    <w:bottom w:val="none" w:sz="0" w:space="0" w:color="auto"/>
                    <w:right w:val="none" w:sz="0" w:space="0" w:color="auto"/>
                  </w:divBdr>
                </w:div>
              </w:divsChild>
            </w:div>
            <w:div w:id="28574252">
              <w:marLeft w:val="0"/>
              <w:marRight w:val="0"/>
              <w:marTop w:val="0"/>
              <w:marBottom w:val="0"/>
              <w:divBdr>
                <w:top w:val="none" w:sz="0" w:space="0" w:color="auto"/>
                <w:left w:val="none" w:sz="0" w:space="0" w:color="auto"/>
                <w:bottom w:val="none" w:sz="0" w:space="0" w:color="auto"/>
                <w:right w:val="none" w:sz="0" w:space="0" w:color="auto"/>
              </w:divBdr>
              <w:divsChild>
                <w:div w:id="685211450">
                  <w:marLeft w:val="0"/>
                  <w:marRight w:val="0"/>
                  <w:marTop w:val="0"/>
                  <w:marBottom w:val="0"/>
                  <w:divBdr>
                    <w:top w:val="none" w:sz="0" w:space="0" w:color="auto"/>
                    <w:left w:val="none" w:sz="0" w:space="0" w:color="auto"/>
                    <w:bottom w:val="none" w:sz="0" w:space="0" w:color="auto"/>
                    <w:right w:val="none" w:sz="0" w:space="0" w:color="auto"/>
                  </w:divBdr>
                </w:div>
              </w:divsChild>
            </w:div>
            <w:div w:id="28797974">
              <w:marLeft w:val="0"/>
              <w:marRight w:val="0"/>
              <w:marTop w:val="0"/>
              <w:marBottom w:val="0"/>
              <w:divBdr>
                <w:top w:val="none" w:sz="0" w:space="0" w:color="auto"/>
                <w:left w:val="none" w:sz="0" w:space="0" w:color="auto"/>
                <w:bottom w:val="none" w:sz="0" w:space="0" w:color="auto"/>
                <w:right w:val="none" w:sz="0" w:space="0" w:color="auto"/>
              </w:divBdr>
              <w:divsChild>
                <w:div w:id="1849128541">
                  <w:marLeft w:val="0"/>
                  <w:marRight w:val="0"/>
                  <w:marTop w:val="0"/>
                  <w:marBottom w:val="0"/>
                  <w:divBdr>
                    <w:top w:val="none" w:sz="0" w:space="0" w:color="auto"/>
                    <w:left w:val="none" w:sz="0" w:space="0" w:color="auto"/>
                    <w:bottom w:val="none" w:sz="0" w:space="0" w:color="auto"/>
                    <w:right w:val="none" w:sz="0" w:space="0" w:color="auto"/>
                  </w:divBdr>
                </w:div>
              </w:divsChild>
            </w:div>
            <w:div w:id="30154426">
              <w:marLeft w:val="0"/>
              <w:marRight w:val="0"/>
              <w:marTop w:val="0"/>
              <w:marBottom w:val="0"/>
              <w:divBdr>
                <w:top w:val="none" w:sz="0" w:space="0" w:color="auto"/>
                <w:left w:val="none" w:sz="0" w:space="0" w:color="auto"/>
                <w:bottom w:val="none" w:sz="0" w:space="0" w:color="auto"/>
                <w:right w:val="none" w:sz="0" w:space="0" w:color="auto"/>
              </w:divBdr>
              <w:divsChild>
                <w:div w:id="1193229716">
                  <w:marLeft w:val="0"/>
                  <w:marRight w:val="0"/>
                  <w:marTop w:val="0"/>
                  <w:marBottom w:val="0"/>
                  <w:divBdr>
                    <w:top w:val="none" w:sz="0" w:space="0" w:color="auto"/>
                    <w:left w:val="none" w:sz="0" w:space="0" w:color="auto"/>
                    <w:bottom w:val="none" w:sz="0" w:space="0" w:color="auto"/>
                    <w:right w:val="none" w:sz="0" w:space="0" w:color="auto"/>
                  </w:divBdr>
                </w:div>
              </w:divsChild>
            </w:div>
            <w:div w:id="31616564">
              <w:marLeft w:val="0"/>
              <w:marRight w:val="0"/>
              <w:marTop w:val="0"/>
              <w:marBottom w:val="0"/>
              <w:divBdr>
                <w:top w:val="none" w:sz="0" w:space="0" w:color="auto"/>
                <w:left w:val="none" w:sz="0" w:space="0" w:color="auto"/>
                <w:bottom w:val="none" w:sz="0" w:space="0" w:color="auto"/>
                <w:right w:val="none" w:sz="0" w:space="0" w:color="auto"/>
              </w:divBdr>
              <w:divsChild>
                <w:div w:id="72632278">
                  <w:marLeft w:val="0"/>
                  <w:marRight w:val="0"/>
                  <w:marTop w:val="0"/>
                  <w:marBottom w:val="0"/>
                  <w:divBdr>
                    <w:top w:val="none" w:sz="0" w:space="0" w:color="auto"/>
                    <w:left w:val="none" w:sz="0" w:space="0" w:color="auto"/>
                    <w:bottom w:val="none" w:sz="0" w:space="0" w:color="auto"/>
                    <w:right w:val="none" w:sz="0" w:space="0" w:color="auto"/>
                  </w:divBdr>
                </w:div>
              </w:divsChild>
            </w:div>
            <w:div w:id="32506264">
              <w:marLeft w:val="0"/>
              <w:marRight w:val="0"/>
              <w:marTop w:val="300"/>
              <w:marBottom w:val="300"/>
              <w:divBdr>
                <w:top w:val="none" w:sz="0" w:space="0" w:color="auto"/>
                <w:left w:val="none" w:sz="0" w:space="0" w:color="auto"/>
                <w:bottom w:val="none" w:sz="0" w:space="0" w:color="auto"/>
                <w:right w:val="none" w:sz="0" w:space="0" w:color="auto"/>
              </w:divBdr>
            </w:div>
            <w:div w:id="32509430">
              <w:marLeft w:val="0"/>
              <w:marRight w:val="0"/>
              <w:marTop w:val="0"/>
              <w:marBottom w:val="0"/>
              <w:divBdr>
                <w:top w:val="none" w:sz="0" w:space="0" w:color="auto"/>
                <w:left w:val="none" w:sz="0" w:space="0" w:color="auto"/>
                <w:bottom w:val="none" w:sz="0" w:space="0" w:color="auto"/>
                <w:right w:val="none" w:sz="0" w:space="0" w:color="auto"/>
              </w:divBdr>
              <w:divsChild>
                <w:div w:id="2104260810">
                  <w:marLeft w:val="0"/>
                  <w:marRight w:val="0"/>
                  <w:marTop w:val="0"/>
                  <w:marBottom w:val="0"/>
                  <w:divBdr>
                    <w:top w:val="none" w:sz="0" w:space="0" w:color="auto"/>
                    <w:left w:val="none" w:sz="0" w:space="0" w:color="auto"/>
                    <w:bottom w:val="none" w:sz="0" w:space="0" w:color="auto"/>
                    <w:right w:val="none" w:sz="0" w:space="0" w:color="auto"/>
                  </w:divBdr>
                </w:div>
              </w:divsChild>
            </w:div>
            <w:div w:id="32580320">
              <w:marLeft w:val="0"/>
              <w:marRight w:val="0"/>
              <w:marTop w:val="0"/>
              <w:marBottom w:val="0"/>
              <w:divBdr>
                <w:top w:val="none" w:sz="0" w:space="0" w:color="auto"/>
                <w:left w:val="none" w:sz="0" w:space="0" w:color="auto"/>
                <w:bottom w:val="none" w:sz="0" w:space="0" w:color="auto"/>
                <w:right w:val="none" w:sz="0" w:space="0" w:color="auto"/>
              </w:divBdr>
              <w:divsChild>
                <w:div w:id="1086028308">
                  <w:marLeft w:val="0"/>
                  <w:marRight w:val="0"/>
                  <w:marTop w:val="0"/>
                  <w:marBottom w:val="0"/>
                  <w:divBdr>
                    <w:top w:val="none" w:sz="0" w:space="0" w:color="auto"/>
                    <w:left w:val="none" w:sz="0" w:space="0" w:color="auto"/>
                    <w:bottom w:val="none" w:sz="0" w:space="0" w:color="auto"/>
                    <w:right w:val="none" w:sz="0" w:space="0" w:color="auto"/>
                  </w:divBdr>
                </w:div>
              </w:divsChild>
            </w:div>
            <w:div w:id="32662130">
              <w:marLeft w:val="0"/>
              <w:marRight w:val="0"/>
              <w:marTop w:val="0"/>
              <w:marBottom w:val="0"/>
              <w:divBdr>
                <w:top w:val="none" w:sz="0" w:space="0" w:color="auto"/>
                <w:left w:val="none" w:sz="0" w:space="0" w:color="auto"/>
                <w:bottom w:val="none" w:sz="0" w:space="0" w:color="auto"/>
                <w:right w:val="none" w:sz="0" w:space="0" w:color="auto"/>
              </w:divBdr>
              <w:divsChild>
                <w:div w:id="840661924">
                  <w:marLeft w:val="0"/>
                  <w:marRight w:val="0"/>
                  <w:marTop w:val="0"/>
                  <w:marBottom w:val="0"/>
                  <w:divBdr>
                    <w:top w:val="none" w:sz="0" w:space="0" w:color="auto"/>
                    <w:left w:val="none" w:sz="0" w:space="0" w:color="auto"/>
                    <w:bottom w:val="none" w:sz="0" w:space="0" w:color="auto"/>
                    <w:right w:val="none" w:sz="0" w:space="0" w:color="auto"/>
                  </w:divBdr>
                </w:div>
              </w:divsChild>
            </w:div>
            <w:div w:id="33507402">
              <w:marLeft w:val="0"/>
              <w:marRight w:val="0"/>
              <w:marTop w:val="0"/>
              <w:marBottom w:val="0"/>
              <w:divBdr>
                <w:top w:val="none" w:sz="0" w:space="0" w:color="auto"/>
                <w:left w:val="none" w:sz="0" w:space="0" w:color="auto"/>
                <w:bottom w:val="none" w:sz="0" w:space="0" w:color="auto"/>
                <w:right w:val="none" w:sz="0" w:space="0" w:color="auto"/>
              </w:divBdr>
              <w:divsChild>
                <w:div w:id="1569150045">
                  <w:marLeft w:val="0"/>
                  <w:marRight w:val="0"/>
                  <w:marTop w:val="0"/>
                  <w:marBottom w:val="0"/>
                  <w:divBdr>
                    <w:top w:val="none" w:sz="0" w:space="0" w:color="auto"/>
                    <w:left w:val="none" w:sz="0" w:space="0" w:color="auto"/>
                    <w:bottom w:val="none" w:sz="0" w:space="0" w:color="auto"/>
                    <w:right w:val="none" w:sz="0" w:space="0" w:color="auto"/>
                  </w:divBdr>
                </w:div>
              </w:divsChild>
            </w:div>
            <w:div w:id="33582272">
              <w:marLeft w:val="0"/>
              <w:marRight w:val="0"/>
              <w:marTop w:val="0"/>
              <w:marBottom w:val="0"/>
              <w:divBdr>
                <w:top w:val="none" w:sz="0" w:space="0" w:color="auto"/>
                <w:left w:val="none" w:sz="0" w:space="0" w:color="auto"/>
                <w:bottom w:val="none" w:sz="0" w:space="0" w:color="auto"/>
                <w:right w:val="none" w:sz="0" w:space="0" w:color="auto"/>
              </w:divBdr>
              <w:divsChild>
                <w:div w:id="10759985">
                  <w:marLeft w:val="0"/>
                  <w:marRight w:val="0"/>
                  <w:marTop w:val="0"/>
                  <w:marBottom w:val="0"/>
                  <w:divBdr>
                    <w:top w:val="none" w:sz="0" w:space="0" w:color="auto"/>
                    <w:left w:val="none" w:sz="0" w:space="0" w:color="auto"/>
                    <w:bottom w:val="none" w:sz="0" w:space="0" w:color="auto"/>
                    <w:right w:val="none" w:sz="0" w:space="0" w:color="auto"/>
                  </w:divBdr>
                </w:div>
              </w:divsChild>
            </w:div>
            <w:div w:id="35931479">
              <w:marLeft w:val="0"/>
              <w:marRight w:val="0"/>
              <w:marTop w:val="0"/>
              <w:marBottom w:val="0"/>
              <w:divBdr>
                <w:top w:val="none" w:sz="0" w:space="0" w:color="auto"/>
                <w:left w:val="none" w:sz="0" w:space="0" w:color="auto"/>
                <w:bottom w:val="none" w:sz="0" w:space="0" w:color="auto"/>
                <w:right w:val="none" w:sz="0" w:space="0" w:color="auto"/>
              </w:divBdr>
              <w:divsChild>
                <w:div w:id="710152670">
                  <w:marLeft w:val="0"/>
                  <w:marRight w:val="0"/>
                  <w:marTop w:val="0"/>
                  <w:marBottom w:val="0"/>
                  <w:divBdr>
                    <w:top w:val="none" w:sz="0" w:space="0" w:color="auto"/>
                    <w:left w:val="none" w:sz="0" w:space="0" w:color="auto"/>
                    <w:bottom w:val="none" w:sz="0" w:space="0" w:color="auto"/>
                    <w:right w:val="none" w:sz="0" w:space="0" w:color="auto"/>
                  </w:divBdr>
                </w:div>
              </w:divsChild>
            </w:div>
            <w:div w:id="37046263">
              <w:marLeft w:val="0"/>
              <w:marRight w:val="0"/>
              <w:marTop w:val="0"/>
              <w:marBottom w:val="0"/>
              <w:divBdr>
                <w:top w:val="none" w:sz="0" w:space="0" w:color="auto"/>
                <w:left w:val="none" w:sz="0" w:space="0" w:color="auto"/>
                <w:bottom w:val="none" w:sz="0" w:space="0" w:color="auto"/>
                <w:right w:val="none" w:sz="0" w:space="0" w:color="auto"/>
              </w:divBdr>
              <w:divsChild>
                <w:div w:id="1314869637">
                  <w:marLeft w:val="0"/>
                  <w:marRight w:val="0"/>
                  <w:marTop w:val="0"/>
                  <w:marBottom w:val="0"/>
                  <w:divBdr>
                    <w:top w:val="none" w:sz="0" w:space="0" w:color="auto"/>
                    <w:left w:val="none" w:sz="0" w:space="0" w:color="auto"/>
                    <w:bottom w:val="none" w:sz="0" w:space="0" w:color="auto"/>
                    <w:right w:val="none" w:sz="0" w:space="0" w:color="auto"/>
                  </w:divBdr>
                </w:div>
              </w:divsChild>
            </w:div>
            <w:div w:id="37516486">
              <w:marLeft w:val="0"/>
              <w:marRight w:val="0"/>
              <w:marTop w:val="0"/>
              <w:marBottom w:val="0"/>
              <w:divBdr>
                <w:top w:val="none" w:sz="0" w:space="0" w:color="auto"/>
                <w:left w:val="none" w:sz="0" w:space="0" w:color="auto"/>
                <w:bottom w:val="none" w:sz="0" w:space="0" w:color="auto"/>
                <w:right w:val="none" w:sz="0" w:space="0" w:color="auto"/>
              </w:divBdr>
              <w:divsChild>
                <w:div w:id="380833956">
                  <w:marLeft w:val="0"/>
                  <w:marRight w:val="0"/>
                  <w:marTop w:val="0"/>
                  <w:marBottom w:val="0"/>
                  <w:divBdr>
                    <w:top w:val="none" w:sz="0" w:space="0" w:color="auto"/>
                    <w:left w:val="none" w:sz="0" w:space="0" w:color="auto"/>
                    <w:bottom w:val="none" w:sz="0" w:space="0" w:color="auto"/>
                    <w:right w:val="none" w:sz="0" w:space="0" w:color="auto"/>
                  </w:divBdr>
                </w:div>
              </w:divsChild>
            </w:div>
            <w:div w:id="38671173">
              <w:marLeft w:val="0"/>
              <w:marRight w:val="0"/>
              <w:marTop w:val="0"/>
              <w:marBottom w:val="0"/>
              <w:divBdr>
                <w:top w:val="none" w:sz="0" w:space="0" w:color="auto"/>
                <w:left w:val="none" w:sz="0" w:space="0" w:color="auto"/>
                <w:bottom w:val="none" w:sz="0" w:space="0" w:color="auto"/>
                <w:right w:val="none" w:sz="0" w:space="0" w:color="auto"/>
              </w:divBdr>
              <w:divsChild>
                <w:div w:id="922880624">
                  <w:marLeft w:val="0"/>
                  <w:marRight w:val="0"/>
                  <w:marTop w:val="0"/>
                  <w:marBottom w:val="0"/>
                  <w:divBdr>
                    <w:top w:val="none" w:sz="0" w:space="0" w:color="auto"/>
                    <w:left w:val="none" w:sz="0" w:space="0" w:color="auto"/>
                    <w:bottom w:val="none" w:sz="0" w:space="0" w:color="auto"/>
                    <w:right w:val="none" w:sz="0" w:space="0" w:color="auto"/>
                  </w:divBdr>
                </w:div>
              </w:divsChild>
            </w:div>
            <w:div w:id="39017631">
              <w:marLeft w:val="0"/>
              <w:marRight w:val="0"/>
              <w:marTop w:val="0"/>
              <w:marBottom w:val="0"/>
              <w:divBdr>
                <w:top w:val="none" w:sz="0" w:space="0" w:color="auto"/>
                <w:left w:val="none" w:sz="0" w:space="0" w:color="auto"/>
                <w:bottom w:val="none" w:sz="0" w:space="0" w:color="auto"/>
                <w:right w:val="none" w:sz="0" w:space="0" w:color="auto"/>
              </w:divBdr>
              <w:divsChild>
                <w:div w:id="1865970779">
                  <w:marLeft w:val="0"/>
                  <w:marRight w:val="0"/>
                  <w:marTop w:val="0"/>
                  <w:marBottom w:val="0"/>
                  <w:divBdr>
                    <w:top w:val="none" w:sz="0" w:space="0" w:color="auto"/>
                    <w:left w:val="none" w:sz="0" w:space="0" w:color="auto"/>
                    <w:bottom w:val="none" w:sz="0" w:space="0" w:color="auto"/>
                    <w:right w:val="none" w:sz="0" w:space="0" w:color="auto"/>
                  </w:divBdr>
                </w:div>
              </w:divsChild>
            </w:div>
            <w:div w:id="41174682">
              <w:marLeft w:val="0"/>
              <w:marRight w:val="0"/>
              <w:marTop w:val="0"/>
              <w:marBottom w:val="0"/>
              <w:divBdr>
                <w:top w:val="none" w:sz="0" w:space="0" w:color="auto"/>
                <w:left w:val="none" w:sz="0" w:space="0" w:color="auto"/>
                <w:bottom w:val="none" w:sz="0" w:space="0" w:color="auto"/>
                <w:right w:val="none" w:sz="0" w:space="0" w:color="auto"/>
              </w:divBdr>
              <w:divsChild>
                <w:div w:id="226958565">
                  <w:marLeft w:val="0"/>
                  <w:marRight w:val="0"/>
                  <w:marTop w:val="0"/>
                  <w:marBottom w:val="0"/>
                  <w:divBdr>
                    <w:top w:val="none" w:sz="0" w:space="0" w:color="auto"/>
                    <w:left w:val="none" w:sz="0" w:space="0" w:color="auto"/>
                    <w:bottom w:val="none" w:sz="0" w:space="0" w:color="auto"/>
                    <w:right w:val="none" w:sz="0" w:space="0" w:color="auto"/>
                  </w:divBdr>
                </w:div>
              </w:divsChild>
            </w:div>
            <w:div w:id="41291474">
              <w:marLeft w:val="0"/>
              <w:marRight w:val="0"/>
              <w:marTop w:val="300"/>
              <w:marBottom w:val="300"/>
              <w:divBdr>
                <w:top w:val="none" w:sz="0" w:space="0" w:color="auto"/>
                <w:left w:val="none" w:sz="0" w:space="0" w:color="auto"/>
                <w:bottom w:val="none" w:sz="0" w:space="0" w:color="auto"/>
                <w:right w:val="none" w:sz="0" w:space="0" w:color="auto"/>
              </w:divBdr>
            </w:div>
            <w:div w:id="41752578">
              <w:marLeft w:val="0"/>
              <w:marRight w:val="0"/>
              <w:marTop w:val="0"/>
              <w:marBottom w:val="0"/>
              <w:divBdr>
                <w:top w:val="none" w:sz="0" w:space="0" w:color="auto"/>
                <w:left w:val="none" w:sz="0" w:space="0" w:color="auto"/>
                <w:bottom w:val="none" w:sz="0" w:space="0" w:color="auto"/>
                <w:right w:val="none" w:sz="0" w:space="0" w:color="auto"/>
              </w:divBdr>
              <w:divsChild>
                <w:div w:id="1680623961">
                  <w:marLeft w:val="0"/>
                  <w:marRight w:val="0"/>
                  <w:marTop w:val="0"/>
                  <w:marBottom w:val="0"/>
                  <w:divBdr>
                    <w:top w:val="none" w:sz="0" w:space="0" w:color="auto"/>
                    <w:left w:val="none" w:sz="0" w:space="0" w:color="auto"/>
                    <w:bottom w:val="none" w:sz="0" w:space="0" w:color="auto"/>
                    <w:right w:val="none" w:sz="0" w:space="0" w:color="auto"/>
                  </w:divBdr>
                </w:div>
              </w:divsChild>
            </w:div>
            <w:div w:id="42363784">
              <w:marLeft w:val="0"/>
              <w:marRight w:val="0"/>
              <w:marTop w:val="300"/>
              <w:marBottom w:val="300"/>
              <w:divBdr>
                <w:top w:val="none" w:sz="0" w:space="0" w:color="auto"/>
                <w:left w:val="none" w:sz="0" w:space="0" w:color="auto"/>
                <w:bottom w:val="none" w:sz="0" w:space="0" w:color="auto"/>
                <w:right w:val="none" w:sz="0" w:space="0" w:color="auto"/>
              </w:divBdr>
            </w:div>
            <w:div w:id="42561794">
              <w:marLeft w:val="0"/>
              <w:marRight w:val="0"/>
              <w:marTop w:val="0"/>
              <w:marBottom w:val="0"/>
              <w:divBdr>
                <w:top w:val="none" w:sz="0" w:space="0" w:color="auto"/>
                <w:left w:val="none" w:sz="0" w:space="0" w:color="auto"/>
                <w:bottom w:val="none" w:sz="0" w:space="0" w:color="auto"/>
                <w:right w:val="none" w:sz="0" w:space="0" w:color="auto"/>
              </w:divBdr>
              <w:divsChild>
                <w:div w:id="839858126">
                  <w:marLeft w:val="0"/>
                  <w:marRight w:val="0"/>
                  <w:marTop w:val="0"/>
                  <w:marBottom w:val="0"/>
                  <w:divBdr>
                    <w:top w:val="none" w:sz="0" w:space="0" w:color="auto"/>
                    <w:left w:val="none" w:sz="0" w:space="0" w:color="auto"/>
                    <w:bottom w:val="none" w:sz="0" w:space="0" w:color="auto"/>
                    <w:right w:val="none" w:sz="0" w:space="0" w:color="auto"/>
                  </w:divBdr>
                </w:div>
              </w:divsChild>
            </w:div>
            <w:div w:id="44987751">
              <w:marLeft w:val="0"/>
              <w:marRight w:val="0"/>
              <w:marTop w:val="300"/>
              <w:marBottom w:val="300"/>
              <w:divBdr>
                <w:top w:val="none" w:sz="0" w:space="0" w:color="auto"/>
                <w:left w:val="none" w:sz="0" w:space="0" w:color="auto"/>
                <w:bottom w:val="none" w:sz="0" w:space="0" w:color="auto"/>
                <w:right w:val="none" w:sz="0" w:space="0" w:color="auto"/>
              </w:divBdr>
            </w:div>
            <w:div w:id="45614271">
              <w:marLeft w:val="0"/>
              <w:marRight w:val="0"/>
              <w:marTop w:val="0"/>
              <w:marBottom w:val="0"/>
              <w:divBdr>
                <w:top w:val="none" w:sz="0" w:space="0" w:color="auto"/>
                <w:left w:val="none" w:sz="0" w:space="0" w:color="auto"/>
                <w:bottom w:val="none" w:sz="0" w:space="0" w:color="auto"/>
                <w:right w:val="none" w:sz="0" w:space="0" w:color="auto"/>
              </w:divBdr>
              <w:divsChild>
                <w:div w:id="416561112">
                  <w:marLeft w:val="0"/>
                  <w:marRight w:val="0"/>
                  <w:marTop w:val="0"/>
                  <w:marBottom w:val="0"/>
                  <w:divBdr>
                    <w:top w:val="none" w:sz="0" w:space="0" w:color="auto"/>
                    <w:left w:val="none" w:sz="0" w:space="0" w:color="auto"/>
                    <w:bottom w:val="none" w:sz="0" w:space="0" w:color="auto"/>
                    <w:right w:val="none" w:sz="0" w:space="0" w:color="auto"/>
                  </w:divBdr>
                </w:div>
              </w:divsChild>
            </w:div>
            <w:div w:id="45764247">
              <w:marLeft w:val="0"/>
              <w:marRight w:val="0"/>
              <w:marTop w:val="0"/>
              <w:marBottom w:val="0"/>
              <w:divBdr>
                <w:top w:val="none" w:sz="0" w:space="0" w:color="auto"/>
                <w:left w:val="none" w:sz="0" w:space="0" w:color="auto"/>
                <w:bottom w:val="none" w:sz="0" w:space="0" w:color="auto"/>
                <w:right w:val="none" w:sz="0" w:space="0" w:color="auto"/>
              </w:divBdr>
              <w:divsChild>
                <w:div w:id="1691713074">
                  <w:marLeft w:val="0"/>
                  <w:marRight w:val="0"/>
                  <w:marTop w:val="0"/>
                  <w:marBottom w:val="0"/>
                  <w:divBdr>
                    <w:top w:val="none" w:sz="0" w:space="0" w:color="auto"/>
                    <w:left w:val="none" w:sz="0" w:space="0" w:color="auto"/>
                    <w:bottom w:val="none" w:sz="0" w:space="0" w:color="auto"/>
                    <w:right w:val="none" w:sz="0" w:space="0" w:color="auto"/>
                  </w:divBdr>
                </w:div>
              </w:divsChild>
            </w:div>
            <w:div w:id="47842223">
              <w:marLeft w:val="0"/>
              <w:marRight w:val="0"/>
              <w:marTop w:val="0"/>
              <w:marBottom w:val="0"/>
              <w:divBdr>
                <w:top w:val="none" w:sz="0" w:space="0" w:color="auto"/>
                <w:left w:val="none" w:sz="0" w:space="0" w:color="auto"/>
                <w:bottom w:val="none" w:sz="0" w:space="0" w:color="auto"/>
                <w:right w:val="none" w:sz="0" w:space="0" w:color="auto"/>
              </w:divBdr>
              <w:divsChild>
                <w:div w:id="1169558996">
                  <w:marLeft w:val="0"/>
                  <w:marRight w:val="0"/>
                  <w:marTop w:val="0"/>
                  <w:marBottom w:val="0"/>
                  <w:divBdr>
                    <w:top w:val="none" w:sz="0" w:space="0" w:color="auto"/>
                    <w:left w:val="none" w:sz="0" w:space="0" w:color="auto"/>
                    <w:bottom w:val="none" w:sz="0" w:space="0" w:color="auto"/>
                    <w:right w:val="none" w:sz="0" w:space="0" w:color="auto"/>
                  </w:divBdr>
                </w:div>
              </w:divsChild>
            </w:div>
            <w:div w:id="48455633">
              <w:marLeft w:val="0"/>
              <w:marRight w:val="0"/>
              <w:marTop w:val="0"/>
              <w:marBottom w:val="0"/>
              <w:divBdr>
                <w:top w:val="none" w:sz="0" w:space="0" w:color="auto"/>
                <w:left w:val="none" w:sz="0" w:space="0" w:color="auto"/>
                <w:bottom w:val="none" w:sz="0" w:space="0" w:color="auto"/>
                <w:right w:val="none" w:sz="0" w:space="0" w:color="auto"/>
              </w:divBdr>
              <w:divsChild>
                <w:div w:id="776023420">
                  <w:marLeft w:val="0"/>
                  <w:marRight w:val="0"/>
                  <w:marTop w:val="0"/>
                  <w:marBottom w:val="0"/>
                  <w:divBdr>
                    <w:top w:val="none" w:sz="0" w:space="0" w:color="auto"/>
                    <w:left w:val="none" w:sz="0" w:space="0" w:color="auto"/>
                    <w:bottom w:val="none" w:sz="0" w:space="0" w:color="auto"/>
                    <w:right w:val="none" w:sz="0" w:space="0" w:color="auto"/>
                  </w:divBdr>
                </w:div>
              </w:divsChild>
            </w:div>
            <w:div w:id="53546524">
              <w:marLeft w:val="0"/>
              <w:marRight w:val="0"/>
              <w:marTop w:val="0"/>
              <w:marBottom w:val="0"/>
              <w:divBdr>
                <w:top w:val="none" w:sz="0" w:space="0" w:color="auto"/>
                <w:left w:val="none" w:sz="0" w:space="0" w:color="auto"/>
                <w:bottom w:val="none" w:sz="0" w:space="0" w:color="auto"/>
                <w:right w:val="none" w:sz="0" w:space="0" w:color="auto"/>
              </w:divBdr>
              <w:divsChild>
                <w:div w:id="2123725282">
                  <w:marLeft w:val="0"/>
                  <w:marRight w:val="0"/>
                  <w:marTop w:val="0"/>
                  <w:marBottom w:val="0"/>
                  <w:divBdr>
                    <w:top w:val="none" w:sz="0" w:space="0" w:color="auto"/>
                    <w:left w:val="none" w:sz="0" w:space="0" w:color="auto"/>
                    <w:bottom w:val="none" w:sz="0" w:space="0" w:color="auto"/>
                    <w:right w:val="none" w:sz="0" w:space="0" w:color="auto"/>
                  </w:divBdr>
                </w:div>
              </w:divsChild>
            </w:div>
            <w:div w:id="53898458">
              <w:marLeft w:val="0"/>
              <w:marRight w:val="0"/>
              <w:marTop w:val="0"/>
              <w:marBottom w:val="0"/>
              <w:divBdr>
                <w:top w:val="none" w:sz="0" w:space="0" w:color="auto"/>
                <w:left w:val="none" w:sz="0" w:space="0" w:color="auto"/>
                <w:bottom w:val="none" w:sz="0" w:space="0" w:color="auto"/>
                <w:right w:val="none" w:sz="0" w:space="0" w:color="auto"/>
              </w:divBdr>
              <w:divsChild>
                <w:div w:id="1207526437">
                  <w:marLeft w:val="0"/>
                  <w:marRight w:val="0"/>
                  <w:marTop w:val="0"/>
                  <w:marBottom w:val="0"/>
                  <w:divBdr>
                    <w:top w:val="none" w:sz="0" w:space="0" w:color="auto"/>
                    <w:left w:val="none" w:sz="0" w:space="0" w:color="auto"/>
                    <w:bottom w:val="none" w:sz="0" w:space="0" w:color="auto"/>
                    <w:right w:val="none" w:sz="0" w:space="0" w:color="auto"/>
                  </w:divBdr>
                </w:div>
              </w:divsChild>
            </w:div>
            <w:div w:id="55322811">
              <w:marLeft w:val="0"/>
              <w:marRight w:val="0"/>
              <w:marTop w:val="0"/>
              <w:marBottom w:val="0"/>
              <w:divBdr>
                <w:top w:val="none" w:sz="0" w:space="0" w:color="auto"/>
                <w:left w:val="none" w:sz="0" w:space="0" w:color="auto"/>
                <w:bottom w:val="none" w:sz="0" w:space="0" w:color="auto"/>
                <w:right w:val="none" w:sz="0" w:space="0" w:color="auto"/>
              </w:divBdr>
              <w:divsChild>
                <w:div w:id="1925217539">
                  <w:marLeft w:val="0"/>
                  <w:marRight w:val="0"/>
                  <w:marTop w:val="0"/>
                  <w:marBottom w:val="0"/>
                  <w:divBdr>
                    <w:top w:val="none" w:sz="0" w:space="0" w:color="auto"/>
                    <w:left w:val="none" w:sz="0" w:space="0" w:color="auto"/>
                    <w:bottom w:val="none" w:sz="0" w:space="0" w:color="auto"/>
                    <w:right w:val="none" w:sz="0" w:space="0" w:color="auto"/>
                  </w:divBdr>
                </w:div>
              </w:divsChild>
            </w:div>
            <w:div w:id="56058227">
              <w:marLeft w:val="0"/>
              <w:marRight w:val="0"/>
              <w:marTop w:val="0"/>
              <w:marBottom w:val="0"/>
              <w:divBdr>
                <w:top w:val="none" w:sz="0" w:space="0" w:color="auto"/>
                <w:left w:val="none" w:sz="0" w:space="0" w:color="auto"/>
                <w:bottom w:val="none" w:sz="0" w:space="0" w:color="auto"/>
                <w:right w:val="none" w:sz="0" w:space="0" w:color="auto"/>
              </w:divBdr>
              <w:divsChild>
                <w:div w:id="1335566632">
                  <w:marLeft w:val="0"/>
                  <w:marRight w:val="0"/>
                  <w:marTop w:val="0"/>
                  <w:marBottom w:val="0"/>
                  <w:divBdr>
                    <w:top w:val="none" w:sz="0" w:space="0" w:color="auto"/>
                    <w:left w:val="none" w:sz="0" w:space="0" w:color="auto"/>
                    <w:bottom w:val="none" w:sz="0" w:space="0" w:color="auto"/>
                    <w:right w:val="none" w:sz="0" w:space="0" w:color="auto"/>
                  </w:divBdr>
                </w:div>
              </w:divsChild>
            </w:div>
            <w:div w:id="57871480">
              <w:marLeft w:val="0"/>
              <w:marRight w:val="0"/>
              <w:marTop w:val="0"/>
              <w:marBottom w:val="0"/>
              <w:divBdr>
                <w:top w:val="none" w:sz="0" w:space="0" w:color="auto"/>
                <w:left w:val="none" w:sz="0" w:space="0" w:color="auto"/>
                <w:bottom w:val="none" w:sz="0" w:space="0" w:color="auto"/>
                <w:right w:val="none" w:sz="0" w:space="0" w:color="auto"/>
              </w:divBdr>
              <w:divsChild>
                <w:div w:id="2071998144">
                  <w:marLeft w:val="0"/>
                  <w:marRight w:val="0"/>
                  <w:marTop w:val="0"/>
                  <w:marBottom w:val="0"/>
                  <w:divBdr>
                    <w:top w:val="none" w:sz="0" w:space="0" w:color="auto"/>
                    <w:left w:val="none" w:sz="0" w:space="0" w:color="auto"/>
                    <w:bottom w:val="none" w:sz="0" w:space="0" w:color="auto"/>
                    <w:right w:val="none" w:sz="0" w:space="0" w:color="auto"/>
                  </w:divBdr>
                </w:div>
              </w:divsChild>
            </w:div>
            <w:div w:id="59057527">
              <w:marLeft w:val="0"/>
              <w:marRight w:val="0"/>
              <w:marTop w:val="0"/>
              <w:marBottom w:val="0"/>
              <w:divBdr>
                <w:top w:val="none" w:sz="0" w:space="0" w:color="auto"/>
                <w:left w:val="none" w:sz="0" w:space="0" w:color="auto"/>
                <w:bottom w:val="none" w:sz="0" w:space="0" w:color="auto"/>
                <w:right w:val="none" w:sz="0" w:space="0" w:color="auto"/>
              </w:divBdr>
              <w:divsChild>
                <w:div w:id="1927760401">
                  <w:marLeft w:val="0"/>
                  <w:marRight w:val="0"/>
                  <w:marTop w:val="0"/>
                  <w:marBottom w:val="0"/>
                  <w:divBdr>
                    <w:top w:val="none" w:sz="0" w:space="0" w:color="auto"/>
                    <w:left w:val="none" w:sz="0" w:space="0" w:color="auto"/>
                    <w:bottom w:val="none" w:sz="0" w:space="0" w:color="auto"/>
                    <w:right w:val="none" w:sz="0" w:space="0" w:color="auto"/>
                  </w:divBdr>
                </w:div>
              </w:divsChild>
            </w:div>
            <w:div w:id="59326894">
              <w:marLeft w:val="0"/>
              <w:marRight w:val="0"/>
              <w:marTop w:val="300"/>
              <w:marBottom w:val="300"/>
              <w:divBdr>
                <w:top w:val="none" w:sz="0" w:space="0" w:color="auto"/>
                <w:left w:val="none" w:sz="0" w:space="0" w:color="auto"/>
                <w:bottom w:val="none" w:sz="0" w:space="0" w:color="auto"/>
                <w:right w:val="none" w:sz="0" w:space="0" w:color="auto"/>
              </w:divBdr>
            </w:div>
            <w:div w:id="63456832">
              <w:marLeft w:val="0"/>
              <w:marRight w:val="0"/>
              <w:marTop w:val="300"/>
              <w:marBottom w:val="300"/>
              <w:divBdr>
                <w:top w:val="none" w:sz="0" w:space="0" w:color="auto"/>
                <w:left w:val="none" w:sz="0" w:space="0" w:color="auto"/>
                <w:bottom w:val="none" w:sz="0" w:space="0" w:color="auto"/>
                <w:right w:val="none" w:sz="0" w:space="0" w:color="auto"/>
              </w:divBdr>
            </w:div>
            <w:div w:id="66146655">
              <w:marLeft w:val="0"/>
              <w:marRight w:val="0"/>
              <w:marTop w:val="0"/>
              <w:marBottom w:val="0"/>
              <w:divBdr>
                <w:top w:val="none" w:sz="0" w:space="0" w:color="auto"/>
                <w:left w:val="none" w:sz="0" w:space="0" w:color="auto"/>
                <w:bottom w:val="none" w:sz="0" w:space="0" w:color="auto"/>
                <w:right w:val="none" w:sz="0" w:space="0" w:color="auto"/>
              </w:divBdr>
              <w:divsChild>
                <w:div w:id="398600568">
                  <w:marLeft w:val="0"/>
                  <w:marRight w:val="0"/>
                  <w:marTop w:val="0"/>
                  <w:marBottom w:val="0"/>
                  <w:divBdr>
                    <w:top w:val="none" w:sz="0" w:space="0" w:color="auto"/>
                    <w:left w:val="none" w:sz="0" w:space="0" w:color="auto"/>
                    <w:bottom w:val="none" w:sz="0" w:space="0" w:color="auto"/>
                    <w:right w:val="none" w:sz="0" w:space="0" w:color="auto"/>
                  </w:divBdr>
                </w:div>
              </w:divsChild>
            </w:div>
            <w:div w:id="68189339">
              <w:marLeft w:val="0"/>
              <w:marRight w:val="0"/>
              <w:marTop w:val="0"/>
              <w:marBottom w:val="0"/>
              <w:divBdr>
                <w:top w:val="none" w:sz="0" w:space="0" w:color="auto"/>
                <w:left w:val="none" w:sz="0" w:space="0" w:color="auto"/>
                <w:bottom w:val="none" w:sz="0" w:space="0" w:color="auto"/>
                <w:right w:val="none" w:sz="0" w:space="0" w:color="auto"/>
              </w:divBdr>
              <w:divsChild>
                <w:div w:id="1499617129">
                  <w:marLeft w:val="0"/>
                  <w:marRight w:val="0"/>
                  <w:marTop w:val="0"/>
                  <w:marBottom w:val="0"/>
                  <w:divBdr>
                    <w:top w:val="none" w:sz="0" w:space="0" w:color="auto"/>
                    <w:left w:val="none" w:sz="0" w:space="0" w:color="auto"/>
                    <w:bottom w:val="none" w:sz="0" w:space="0" w:color="auto"/>
                    <w:right w:val="none" w:sz="0" w:space="0" w:color="auto"/>
                  </w:divBdr>
                </w:div>
              </w:divsChild>
            </w:div>
            <w:div w:id="68817525">
              <w:marLeft w:val="0"/>
              <w:marRight w:val="0"/>
              <w:marTop w:val="0"/>
              <w:marBottom w:val="0"/>
              <w:divBdr>
                <w:top w:val="none" w:sz="0" w:space="0" w:color="auto"/>
                <w:left w:val="none" w:sz="0" w:space="0" w:color="auto"/>
                <w:bottom w:val="none" w:sz="0" w:space="0" w:color="auto"/>
                <w:right w:val="none" w:sz="0" w:space="0" w:color="auto"/>
              </w:divBdr>
              <w:divsChild>
                <w:div w:id="1709531009">
                  <w:marLeft w:val="0"/>
                  <w:marRight w:val="0"/>
                  <w:marTop w:val="0"/>
                  <w:marBottom w:val="0"/>
                  <w:divBdr>
                    <w:top w:val="none" w:sz="0" w:space="0" w:color="auto"/>
                    <w:left w:val="none" w:sz="0" w:space="0" w:color="auto"/>
                    <w:bottom w:val="none" w:sz="0" w:space="0" w:color="auto"/>
                    <w:right w:val="none" w:sz="0" w:space="0" w:color="auto"/>
                  </w:divBdr>
                </w:div>
              </w:divsChild>
            </w:div>
            <w:div w:id="73942847">
              <w:marLeft w:val="0"/>
              <w:marRight w:val="0"/>
              <w:marTop w:val="0"/>
              <w:marBottom w:val="0"/>
              <w:divBdr>
                <w:top w:val="none" w:sz="0" w:space="0" w:color="auto"/>
                <w:left w:val="none" w:sz="0" w:space="0" w:color="auto"/>
                <w:bottom w:val="none" w:sz="0" w:space="0" w:color="auto"/>
                <w:right w:val="none" w:sz="0" w:space="0" w:color="auto"/>
              </w:divBdr>
              <w:divsChild>
                <w:div w:id="1682968617">
                  <w:marLeft w:val="0"/>
                  <w:marRight w:val="0"/>
                  <w:marTop w:val="0"/>
                  <w:marBottom w:val="0"/>
                  <w:divBdr>
                    <w:top w:val="none" w:sz="0" w:space="0" w:color="auto"/>
                    <w:left w:val="none" w:sz="0" w:space="0" w:color="auto"/>
                    <w:bottom w:val="none" w:sz="0" w:space="0" w:color="auto"/>
                    <w:right w:val="none" w:sz="0" w:space="0" w:color="auto"/>
                  </w:divBdr>
                </w:div>
              </w:divsChild>
            </w:div>
            <w:div w:id="74665214">
              <w:marLeft w:val="0"/>
              <w:marRight w:val="0"/>
              <w:marTop w:val="0"/>
              <w:marBottom w:val="0"/>
              <w:divBdr>
                <w:top w:val="none" w:sz="0" w:space="0" w:color="auto"/>
                <w:left w:val="none" w:sz="0" w:space="0" w:color="auto"/>
                <w:bottom w:val="none" w:sz="0" w:space="0" w:color="auto"/>
                <w:right w:val="none" w:sz="0" w:space="0" w:color="auto"/>
              </w:divBdr>
              <w:divsChild>
                <w:div w:id="204873296">
                  <w:marLeft w:val="0"/>
                  <w:marRight w:val="0"/>
                  <w:marTop w:val="0"/>
                  <w:marBottom w:val="0"/>
                  <w:divBdr>
                    <w:top w:val="none" w:sz="0" w:space="0" w:color="auto"/>
                    <w:left w:val="none" w:sz="0" w:space="0" w:color="auto"/>
                    <w:bottom w:val="none" w:sz="0" w:space="0" w:color="auto"/>
                    <w:right w:val="none" w:sz="0" w:space="0" w:color="auto"/>
                  </w:divBdr>
                </w:div>
              </w:divsChild>
            </w:div>
            <w:div w:id="74979673">
              <w:marLeft w:val="0"/>
              <w:marRight w:val="0"/>
              <w:marTop w:val="0"/>
              <w:marBottom w:val="0"/>
              <w:divBdr>
                <w:top w:val="none" w:sz="0" w:space="0" w:color="auto"/>
                <w:left w:val="none" w:sz="0" w:space="0" w:color="auto"/>
                <w:bottom w:val="none" w:sz="0" w:space="0" w:color="auto"/>
                <w:right w:val="none" w:sz="0" w:space="0" w:color="auto"/>
              </w:divBdr>
              <w:divsChild>
                <w:div w:id="611405152">
                  <w:marLeft w:val="0"/>
                  <w:marRight w:val="0"/>
                  <w:marTop w:val="0"/>
                  <w:marBottom w:val="0"/>
                  <w:divBdr>
                    <w:top w:val="none" w:sz="0" w:space="0" w:color="auto"/>
                    <w:left w:val="none" w:sz="0" w:space="0" w:color="auto"/>
                    <w:bottom w:val="none" w:sz="0" w:space="0" w:color="auto"/>
                    <w:right w:val="none" w:sz="0" w:space="0" w:color="auto"/>
                  </w:divBdr>
                </w:div>
              </w:divsChild>
            </w:div>
            <w:div w:id="75324754">
              <w:marLeft w:val="0"/>
              <w:marRight w:val="0"/>
              <w:marTop w:val="300"/>
              <w:marBottom w:val="300"/>
              <w:divBdr>
                <w:top w:val="none" w:sz="0" w:space="0" w:color="auto"/>
                <w:left w:val="none" w:sz="0" w:space="0" w:color="auto"/>
                <w:bottom w:val="none" w:sz="0" w:space="0" w:color="auto"/>
                <w:right w:val="none" w:sz="0" w:space="0" w:color="auto"/>
              </w:divBdr>
            </w:div>
            <w:div w:id="76875305">
              <w:marLeft w:val="0"/>
              <w:marRight w:val="0"/>
              <w:marTop w:val="0"/>
              <w:marBottom w:val="0"/>
              <w:divBdr>
                <w:top w:val="none" w:sz="0" w:space="0" w:color="auto"/>
                <w:left w:val="none" w:sz="0" w:space="0" w:color="auto"/>
                <w:bottom w:val="none" w:sz="0" w:space="0" w:color="auto"/>
                <w:right w:val="none" w:sz="0" w:space="0" w:color="auto"/>
              </w:divBdr>
              <w:divsChild>
                <w:div w:id="73627676">
                  <w:marLeft w:val="0"/>
                  <w:marRight w:val="0"/>
                  <w:marTop w:val="0"/>
                  <w:marBottom w:val="0"/>
                  <w:divBdr>
                    <w:top w:val="none" w:sz="0" w:space="0" w:color="auto"/>
                    <w:left w:val="none" w:sz="0" w:space="0" w:color="auto"/>
                    <w:bottom w:val="none" w:sz="0" w:space="0" w:color="auto"/>
                    <w:right w:val="none" w:sz="0" w:space="0" w:color="auto"/>
                  </w:divBdr>
                </w:div>
              </w:divsChild>
            </w:div>
            <w:div w:id="77875725">
              <w:marLeft w:val="0"/>
              <w:marRight w:val="0"/>
              <w:marTop w:val="0"/>
              <w:marBottom w:val="0"/>
              <w:divBdr>
                <w:top w:val="none" w:sz="0" w:space="0" w:color="auto"/>
                <w:left w:val="none" w:sz="0" w:space="0" w:color="auto"/>
                <w:bottom w:val="none" w:sz="0" w:space="0" w:color="auto"/>
                <w:right w:val="none" w:sz="0" w:space="0" w:color="auto"/>
              </w:divBdr>
              <w:divsChild>
                <w:div w:id="1500541530">
                  <w:marLeft w:val="0"/>
                  <w:marRight w:val="0"/>
                  <w:marTop w:val="0"/>
                  <w:marBottom w:val="0"/>
                  <w:divBdr>
                    <w:top w:val="none" w:sz="0" w:space="0" w:color="auto"/>
                    <w:left w:val="none" w:sz="0" w:space="0" w:color="auto"/>
                    <w:bottom w:val="none" w:sz="0" w:space="0" w:color="auto"/>
                    <w:right w:val="none" w:sz="0" w:space="0" w:color="auto"/>
                  </w:divBdr>
                </w:div>
              </w:divsChild>
            </w:div>
            <w:div w:id="79446798">
              <w:marLeft w:val="0"/>
              <w:marRight w:val="0"/>
              <w:marTop w:val="300"/>
              <w:marBottom w:val="300"/>
              <w:divBdr>
                <w:top w:val="none" w:sz="0" w:space="0" w:color="auto"/>
                <w:left w:val="none" w:sz="0" w:space="0" w:color="auto"/>
                <w:bottom w:val="none" w:sz="0" w:space="0" w:color="auto"/>
                <w:right w:val="none" w:sz="0" w:space="0" w:color="auto"/>
              </w:divBdr>
            </w:div>
            <w:div w:id="79527770">
              <w:marLeft w:val="0"/>
              <w:marRight w:val="0"/>
              <w:marTop w:val="0"/>
              <w:marBottom w:val="0"/>
              <w:divBdr>
                <w:top w:val="none" w:sz="0" w:space="0" w:color="auto"/>
                <w:left w:val="none" w:sz="0" w:space="0" w:color="auto"/>
                <w:bottom w:val="none" w:sz="0" w:space="0" w:color="auto"/>
                <w:right w:val="none" w:sz="0" w:space="0" w:color="auto"/>
              </w:divBdr>
              <w:divsChild>
                <w:div w:id="1238708548">
                  <w:marLeft w:val="0"/>
                  <w:marRight w:val="0"/>
                  <w:marTop w:val="0"/>
                  <w:marBottom w:val="0"/>
                  <w:divBdr>
                    <w:top w:val="none" w:sz="0" w:space="0" w:color="auto"/>
                    <w:left w:val="none" w:sz="0" w:space="0" w:color="auto"/>
                    <w:bottom w:val="none" w:sz="0" w:space="0" w:color="auto"/>
                    <w:right w:val="none" w:sz="0" w:space="0" w:color="auto"/>
                  </w:divBdr>
                </w:div>
              </w:divsChild>
            </w:div>
            <w:div w:id="80494858">
              <w:marLeft w:val="0"/>
              <w:marRight w:val="0"/>
              <w:marTop w:val="0"/>
              <w:marBottom w:val="0"/>
              <w:divBdr>
                <w:top w:val="none" w:sz="0" w:space="0" w:color="auto"/>
                <w:left w:val="none" w:sz="0" w:space="0" w:color="auto"/>
                <w:bottom w:val="none" w:sz="0" w:space="0" w:color="auto"/>
                <w:right w:val="none" w:sz="0" w:space="0" w:color="auto"/>
              </w:divBdr>
              <w:divsChild>
                <w:div w:id="1723094255">
                  <w:marLeft w:val="0"/>
                  <w:marRight w:val="0"/>
                  <w:marTop w:val="0"/>
                  <w:marBottom w:val="0"/>
                  <w:divBdr>
                    <w:top w:val="none" w:sz="0" w:space="0" w:color="auto"/>
                    <w:left w:val="none" w:sz="0" w:space="0" w:color="auto"/>
                    <w:bottom w:val="none" w:sz="0" w:space="0" w:color="auto"/>
                    <w:right w:val="none" w:sz="0" w:space="0" w:color="auto"/>
                  </w:divBdr>
                </w:div>
              </w:divsChild>
            </w:div>
            <w:div w:id="82459321">
              <w:marLeft w:val="0"/>
              <w:marRight w:val="0"/>
              <w:marTop w:val="0"/>
              <w:marBottom w:val="150"/>
              <w:divBdr>
                <w:top w:val="none" w:sz="0" w:space="0" w:color="auto"/>
                <w:left w:val="none" w:sz="0" w:space="0" w:color="auto"/>
                <w:bottom w:val="none" w:sz="0" w:space="0" w:color="auto"/>
                <w:right w:val="none" w:sz="0" w:space="0" w:color="auto"/>
              </w:divBdr>
            </w:div>
            <w:div w:id="82655677">
              <w:marLeft w:val="0"/>
              <w:marRight w:val="0"/>
              <w:marTop w:val="0"/>
              <w:marBottom w:val="0"/>
              <w:divBdr>
                <w:top w:val="none" w:sz="0" w:space="0" w:color="auto"/>
                <w:left w:val="none" w:sz="0" w:space="0" w:color="auto"/>
                <w:bottom w:val="none" w:sz="0" w:space="0" w:color="auto"/>
                <w:right w:val="none" w:sz="0" w:space="0" w:color="auto"/>
              </w:divBdr>
              <w:divsChild>
                <w:div w:id="674499802">
                  <w:marLeft w:val="0"/>
                  <w:marRight w:val="0"/>
                  <w:marTop w:val="0"/>
                  <w:marBottom w:val="0"/>
                  <w:divBdr>
                    <w:top w:val="none" w:sz="0" w:space="0" w:color="auto"/>
                    <w:left w:val="none" w:sz="0" w:space="0" w:color="auto"/>
                    <w:bottom w:val="none" w:sz="0" w:space="0" w:color="auto"/>
                    <w:right w:val="none" w:sz="0" w:space="0" w:color="auto"/>
                  </w:divBdr>
                </w:div>
              </w:divsChild>
            </w:div>
            <w:div w:id="83037152">
              <w:marLeft w:val="0"/>
              <w:marRight w:val="0"/>
              <w:marTop w:val="0"/>
              <w:marBottom w:val="0"/>
              <w:divBdr>
                <w:top w:val="none" w:sz="0" w:space="0" w:color="auto"/>
                <w:left w:val="none" w:sz="0" w:space="0" w:color="auto"/>
                <w:bottom w:val="none" w:sz="0" w:space="0" w:color="auto"/>
                <w:right w:val="none" w:sz="0" w:space="0" w:color="auto"/>
              </w:divBdr>
              <w:divsChild>
                <w:div w:id="1880193723">
                  <w:marLeft w:val="0"/>
                  <w:marRight w:val="0"/>
                  <w:marTop w:val="0"/>
                  <w:marBottom w:val="0"/>
                  <w:divBdr>
                    <w:top w:val="none" w:sz="0" w:space="0" w:color="auto"/>
                    <w:left w:val="none" w:sz="0" w:space="0" w:color="auto"/>
                    <w:bottom w:val="none" w:sz="0" w:space="0" w:color="auto"/>
                    <w:right w:val="none" w:sz="0" w:space="0" w:color="auto"/>
                  </w:divBdr>
                </w:div>
              </w:divsChild>
            </w:div>
            <w:div w:id="83380056">
              <w:marLeft w:val="0"/>
              <w:marRight w:val="0"/>
              <w:marTop w:val="0"/>
              <w:marBottom w:val="0"/>
              <w:divBdr>
                <w:top w:val="none" w:sz="0" w:space="0" w:color="auto"/>
                <w:left w:val="none" w:sz="0" w:space="0" w:color="auto"/>
                <w:bottom w:val="none" w:sz="0" w:space="0" w:color="auto"/>
                <w:right w:val="none" w:sz="0" w:space="0" w:color="auto"/>
              </w:divBdr>
              <w:divsChild>
                <w:div w:id="566647975">
                  <w:marLeft w:val="0"/>
                  <w:marRight w:val="0"/>
                  <w:marTop w:val="0"/>
                  <w:marBottom w:val="0"/>
                  <w:divBdr>
                    <w:top w:val="none" w:sz="0" w:space="0" w:color="auto"/>
                    <w:left w:val="none" w:sz="0" w:space="0" w:color="auto"/>
                    <w:bottom w:val="none" w:sz="0" w:space="0" w:color="auto"/>
                    <w:right w:val="none" w:sz="0" w:space="0" w:color="auto"/>
                  </w:divBdr>
                </w:div>
              </w:divsChild>
            </w:div>
            <w:div w:id="88434684">
              <w:marLeft w:val="0"/>
              <w:marRight w:val="0"/>
              <w:marTop w:val="0"/>
              <w:marBottom w:val="0"/>
              <w:divBdr>
                <w:top w:val="none" w:sz="0" w:space="0" w:color="auto"/>
                <w:left w:val="none" w:sz="0" w:space="0" w:color="auto"/>
                <w:bottom w:val="none" w:sz="0" w:space="0" w:color="auto"/>
                <w:right w:val="none" w:sz="0" w:space="0" w:color="auto"/>
              </w:divBdr>
              <w:divsChild>
                <w:div w:id="1444955404">
                  <w:marLeft w:val="0"/>
                  <w:marRight w:val="0"/>
                  <w:marTop w:val="0"/>
                  <w:marBottom w:val="0"/>
                  <w:divBdr>
                    <w:top w:val="none" w:sz="0" w:space="0" w:color="auto"/>
                    <w:left w:val="none" w:sz="0" w:space="0" w:color="auto"/>
                    <w:bottom w:val="none" w:sz="0" w:space="0" w:color="auto"/>
                    <w:right w:val="none" w:sz="0" w:space="0" w:color="auto"/>
                  </w:divBdr>
                </w:div>
              </w:divsChild>
            </w:div>
            <w:div w:id="88893960">
              <w:marLeft w:val="0"/>
              <w:marRight w:val="0"/>
              <w:marTop w:val="0"/>
              <w:marBottom w:val="0"/>
              <w:divBdr>
                <w:top w:val="none" w:sz="0" w:space="0" w:color="auto"/>
                <w:left w:val="none" w:sz="0" w:space="0" w:color="auto"/>
                <w:bottom w:val="none" w:sz="0" w:space="0" w:color="auto"/>
                <w:right w:val="none" w:sz="0" w:space="0" w:color="auto"/>
              </w:divBdr>
              <w:divsChild>
                <w:div w:id="1792045754">
                  <w:marLeft w:val="0"/>
                  <w:marRight w:val="0"/>
                  <w:marTop w:val="0"/>
                  <w:marBottom w:val="0"/>
                  <w:divBdr>
                    <w:top w:val="none" w:sz="0" w:space="0" w:color="auto"/>
                    <w:left w:val="none" w:sz="0" w:space="0" w:color="auto"/>
                    <w:bottom w:val="none" w:sz="0" w:space="0" w:color="auto"/>
                    <w:right w:val="none" w:sz="0" w:space="0" w:color="auto"/>
                  </w:divBdr>
                </w:div>
              </w:divsChild>
            </w:div>
            <w:div w:id="89158509">
              <w:marLeft w:val="0"/>
              <w:marRight w:val="0"/>
              <w:marTop w:val="0"/>
              <w:marBottom w:val="0"/>
              <w:divBdr>
                <w:top w:val="none" w:sz="0" w:space="0" w:color="auto"/>
                <w:left w:val="none" w:sz="0" w:space="0" w:color="auto"/>
                <w:bottom w:val="none" w:sz="0" w:space="0" w:color="auto"/>
                <w:right w:val="none" w:sz="0" w:space="0" w:color="auto"/>
              </w:divBdr>
              <w:divsChild>
                <w:div w:id="901060316">
                  <w:marLeft w:val="0"/>
                  <w:marRight w:val="0"/>
                  <w:marTop w:val="0"/>
                  <w:marBottom w:val="0"/>
                  <w:divBdr>
                    <w:top w:val="none" w:sz="0" w:space="0" w:color="auto"/>
                    <w:left w:val="none" w:sz="0" w:space="0" w:color="auto"/>
                    <w:bottom w:val="none" w:sz="0" w:space="0" w:color="auto"/>
                    <w:right w:val="none" w:sz="0" w:space="0" w:color="auto"/>
                  </w:divBdr>
                </w:div>
              </w:divsChild>
            </w:div>
            <w:div w:id="90048000">
              <w:marLeft w:val="0"/>
              <w:marRight w:val="0"/>
              <w:marTop w:val="0"/>
              <w:marBottom w:val="0"/>
              <w:divBdr>
                <w:top w:val="none" w:sz="0" w:space="0" w:color="auto"/>
                <w:left w:val="none" w:sz="0" w:space="0" w:color="auto"/>
                <w:bottom w:val="none" w:sz="0" w:space="0" w:color="auto"/>
                <w:right w:val="none" w:sz="0" w:space="0" w:color="auto"/>
              </w:divBdr>
              <w:divsChild>
                <w:div w:id="1383409997">
                  <w:marLeft w:val="0"/>
                  <w:marRight w:val="0"/>
                  <w:marTop w:val="0"/>
                  <w:marBottom w:val="0"/>
                  <w:divBdr>
                    <w:top w:val="none" w:sz="0" w:space="0" w:color="auto"/>
                    <w:left w:val="none" w:sz="0" w:space="0" w:color="auto"/>
                    <w:bottom w:val="none" w:sz="0" w:space="0" w:color="auto"/>
                    <w:right w:val="none" w:sz="0" w:space="0" w:color="auto"/>
                  </w:divBdr>
                </w:div>
              </w:divsChild>
            </w:div>
            <w:div w:id="91512021">
              <w:marLeft w:val="0"/>
              <w:marRight w:val="0"/>
              <w:marTop w:val="300"/>
              <w:marBottom w:val="300"/>
              <w:divBdr>
                <w:top w:val="none" w:sz="0" w:space="0" w:color="auto"/>
                <w:left w:val="none" w:sz="0" w:space="0" w:color="auto"/>
                <w:bottom w:val="none" w:sz="0" w:space="0" w:color="auto"/>
                <w:right w:val="none" w:sz="0" w:space="0" w:color="auto"/>
              </w:divBdr>
            </w:div>
            <w:div w:id="96482354">
              <w:marLeft w:val="0"/>
              <w:marRight w:val="0"/>
              <w:marTop w:val="0"/>
              <w:marBottom w:val="0"/>
              <w:divBdr>
                <w:top w:val="none" w:sz="0" w:space="0" w:color="auto"/>
                <w:left w:val="none" w:sz="0" w:space="0" w:color="auto"/>
                <w:bottom w:val="none" w:sz="0" w:space="0" w:color="auto"/>
                <w:right w:val="none" w:sz="0" w:space="0" w:color="auto"/>
              </w:divBdr>
              <w:divsChild>
                <w:div w:id="471338342">
                  <w:marLeft w:val="0"/>
                  <w:marRight w:val="0"/>
                  <w:marTop w:val="0"/>
                  <w:marBottom w:val="0"/>
                  <w:divBdr>
                    <w:top w:val="none" w:sz="0" w:space="0" w:color="auto"/>
                    <w:left w:val="none" w:sz="0" w:space="0" w:color="auto"/>
                    <w:bottom w:val="none" w:sz="0" w:space="0" w:color="auto"/>
                    <w:right w:val="none" w:sz="0" w:space="0" w:color="auto"/>
                  </w:divBdr>
                </w:div>
              </w:divsChild>
            </w:div>
            <w:div w:id="97139992">
              <w:marLeft w:val="0"/>
              <w:marRight w:val="0"/>
              <w:marTop w:val="0"/>
              <w:marBottom w:val="0"/>
              <w:divBdr>
                <w:top w:val="none" w:sz="0" w:space="0" w:color="auto"/>
                <w:left w:val="none" w:sz="0" w:space="0" w:color="auto"/>
                <w:bottom w:val="none" w:sz="0" w:space="0" w:color="auto"/>
                <w:right w:val="none" w:sz="0" w:space="0" w:color="auto"/>
              </w:divBdr>
              <w:divsChild>
                <w:div w:id="793326052">
                  <w:marLeft w:val="0"/>
                  <w:marRight w:val="0"/>
                  <w:marTop w:val="0"/>
                  <w:marBottom w:val="0"/>
                  <w:divBdr>
                    <w:top w:val="none" w:sz="0" w:space="0" w:color="auto"/>
                    <w:left w:val="none" w:sz="0" w:space="0" w:color="auto"/>
                    <w:bottom w:val="none" w:sz="0" w:space="0" w:color="auto"/>
                    <w:right w:val="none" w:sz="0" w:space="0" w:color="auto"/>
                  </w:divBdr>
                </w:div>
              </w:divsChild>
            </w:div>
            <w:div w:id="97529522">
              <w:marLeft w:val="0"/>
              <w:marRight w:val="0"/>
              <w:marTop w:val="0"/>
              <w:marBottom w:val="0"/>
              <w:divBdr>
                <w:top w:val="none" w:sz="0" w:space="0" w:color="auto"/>
                <w:left w:val="none" w:sz="0" w:space="0" w:color="auto"/>
                <w:bottom w:val="none" w:sz="0" w:space="0" w:color="auto"/>
                <w:right w:val="none" w:sz="0" w:space="0" w:color="auto"/>
              </w:divBdr>
              <w:divsChild>
                <w:div w:id="71591092">
                  <w:marLeft w:val="0"/>
                  <w:marRight w:val="0"/>
                  <w:marTop w:val="0"/>
                  <w:marBottom w:val="0"/>
                  <w:divBdr>
                    <w:top w:val="none" w:sz="0" w:space="0" w:color="auto"/>
                    <w:left w:val="none" w:sz="0" w:space="0" w:color="auto"/>
                    <w:bottom w:val="none" w:sz="0" w:space="0" w:color="auto"/>
                    <w:right w:val="none" w:sz="0" w:space="0" w:color="auto"/>
                  </w:divBdr>
                </w:div>
              </w:divsChild>
            </w:div>
            <w:div w:id="101993022">
              <w:marLeft w:val="0"/>
              <w:marRight w:val="0"/>
              <w:marTop w:val="0"/>
              <w:marBottom w:val="0"/>
              <w:divBdr>
                <w:top w:val="none" w:sz="0" w:space="0" w:color="auto"/>
                <w:left w:val="none" w:sz="0" w:space="0" w:color="auto"/>
                <w:bottom w:val="none" w:sz="0" w:space="0" w:color="auto"/>
                <w:right w:val="none" w:sz="0" w:space="0" w:color="auto"/>
              </w:divBdr>
              <w:divsChild>
                <w:div w:id="1111436138">
                  <w:marLeft w:val="0"/>
                  <w:marRight w:val="0"/>
                  <w:marTop w:val="0"/>
                  <w:marBottom w:val="0"/>
                  <w:divBdr>
                    <w:top w:val="none" w:sz="0" w:space="0" w:color="auto"/>
                    <w:left w:val="none" w:sz="0" w:space="0" w:color="auto"/>
                    <w:bottom w:val="none" w:sz="0" w:space="0" w:color="auto"/>
                    <w:right w:val="none" w:sz="0" w:space="0" w:color="auto"/>
                  </w:divBdr>
                </w:div>
              </w:divsChild>
            </w:div>
            <w:div w:id="104229661">
              <w:marLeft w:val="0"/>
              <w:marRight w:val="0"/>
              <w:marTop w:val="0"/>
              <w:marBottom w:val="0"/>
              <w:divBdr>
                <w:top w:val="none" w:sz="0" w:space="0" w:color="auto"/>
                <w:left w:val="none" w:sz="0" w:space="0" w:color="auto"/>
                <w:bottom w:val="none" w:sz="0" w:space="0" w:color="auto"/>
                <w:right w:val="none" w:sz="0" w:space="0" w:color="auto"/>
              </w:divBdr>
              <w:divsChild>
                <w:div w:id="702559462">
                  <w:marLeft w:val="0"/>
                  <w:marRight w:val="0"/>
                  <w:marTop w:val="0"/>
                  <w:marBottom w:val="0"/>
                  <w:divBdr>
                    <w:top w:val="none" w:sz="0" w:space="0" w:color="auto"/>
                    <w:left w:val="none" w:sz="0" w:space="0" w:color="auto"/>
                    <w:bottom w:val="none" w:sz="0" w:space="0" w:color="auto"/>
                    <w:right w:val="none" w:sz="0" w:space="0" w:color="auto"/>
                  </w:divBdr>
                </w:div>
              </w:divsChild>
            </w:div>
            <w:div w:id="104232110">
              <w:marLeft w:val="0"/>
              <w:marRight w:val="0"/>
              <w:marTop w:val="0"/>
              <w:marBottom w:val="0"/>
              <w:divBdr>
                <w:top w:val="none" w:sz="0" w:space="0" w:color="auto"/>
                <w:left w:val="none" w:sz="0" w:space="0" w:color="auto"/>
                <w:bottom w:val="none" w:sz="0" w:space="0" w:color="auto"/>
                <w:right w:val="none" w:sz="0" w:space="0" w:color="auto"/>
              </w:divBdr>
              <w:divsChild>
                <w:div w:id="1702314476">
                  <w:marLeft w:val="0"/>
                  <w:marRight w:val="0"/>
                  <w:marTop w:val="0"/>
                  <w:marBottom w:val="0"/>
                  <w:divBdr>
                    <w:top w:val="none" w:sz="0" w:space="0" w:color="auto"/>
                    <w:left w:val="none" w:sz="0" w:space="0" w:color="auto"/>
                    <w:bottom w:val="none" w:sz="0" w:space="0" w:color="auto"/>
                    <w:right w:val="none" w:sz="0" w:space="0" w:color="auto"/>
                  </w:divBdr>
                </w:div>
              </w:divsChild>
            </w:div>
            <w:div w:id="104733711">
              <w:marLeft w:val="0"/>
              <w:marRight w:val="0"/>
              <w:marTop w:val="0"/>
              <w:marBottom w:val="0"/>
              <w:divBdr>
                <w:top w:val="none" w:sz="0" w:space="0" w:color="auto"/>
                <w:left w:val="none" w:sz="0" w:space="0" w:color="auto"/>
                <w:bottom w:val="none" w:sz="0" w:space="0" w:color="auto"/>
                <w:right w:val="none" w:sz="0" w:space="0" w:color="auto"/>
              </w:divBdr>
              <w:divsChild>
                <w:div w:id="1829904596">
                  <w:marLeft w:val="0"/>
                  <w:marRight w:val="0"/>
                  <w:marTop w:val="0"/>
                  <w:marBottom w:val="0"/>
                  <w:divBdr>
                    <w:top w:val="none" w:sz="0" w:space="0" w:color="auto"/>
                    <w:left w:val="none" w:sz="0" w:space="0" w:color="auto"/>
                    <w:bottom w:val="none" w:sz="0" w:space="0" w:color="auto"/>
                    <w:right w:val="none" w:sz="0" w:space="0" w:color="auto"/>
                  </w:divBdr>
                </w:div>
              </w:divsChild>
            </w:div>
            <w:div w:id="105122725">
              <w:marLeft w:val="0"/>
              <w:marRight w:val="0"/>
              <w:marTop w:val="300"/>
              <w:marBottom w:val="300"/>
              <w:divBdr>
                <w:top w:val="none" w:sz="0" w:space="0" w:color="auto"/>
                <w:left w:val="none" w:sz="0" w:space="0" w:color="auto"/>
                <w:bottom w:val="none" w:sz="0" w:space="0" w:color="auto"/>
                <w:right w:val="none" w:sz="0" w:space="0" w:color="auto"/>
              </w:divBdr>
            </w:div>
            <w:div w:id="105316848">
              <w:marLeft w:val="0"/>
              <w:marRight w:val="0"/>
              <w:marTop w:val="0"/>
              <w:marBottom w:val="0"/>
              <w:divBdr>
                <w:top w:val="none" w:sz="0" w:space="0" w:color="auto"/>
                <w:left w:val="none" w:sz="0" w:space="0" w:color="auto"/>
                <w:bottom w:val="none" w:sz="0" w:space="0" w:color="auto"/>
                <w:right w:val="none" w:sz="0" w:space="0" w:color="auto"/>
              </w:divBdr>
              <w:divsChild>
                <w:div w:id="2052219871">
                  <w:marLeft w:val="0"/>
                  <w:marRight w:val="0"/>
                  <w:marTop w:val="0"/>
                  <w:marBottom w:val="0"/>
                  <w:divBdr>
                    <w:top w:val="none" w:sz="0" w:space="0" w:color="auto"/>
                    <w:left w:val="none" w:sz="0" w:space="0" w:color="auto"/>
                    <w:bottom w:val="none" w:sz="0" w:space="0" w:color="auto"/>
                    <w:right w:val="none" w:sz="0" w:space="0" w:color="auto"/>
                  </w:divBdr>
                </w:div>
              </w:divsChild>
            </w:div>
            <w:div w:id="105348165">
              <w:marLeft w:val="0"/>
              <w:marRight w:val="0"/>
              <w:marTop w:val="0"/>
              <w:marBottom w:val="0"/>
              <w:divBdr>
                <w:top w:val="none" w:sz="0" w:space="0" w:color="auto"/>
                <w:left w:val="none" w:sz="0" w:space="0" w:color="auto"/>
                <w:bottom w:val="none" w:sz="0" w:space="0" w:color="auto"/>
                <w:right w:val="none" w:sz="0" w:space="0" w:color="auto"/>
              </w:divBdr>
              <w:divsChild>
                <w:div w:id="1560435421">
                  <w:marLeft w:val="0"/>
                  <w:marRight w:val="0"/>
                  <w:marTop w:val="0"/>
                  <w:marBottom w:val="0"/>
                  <w:divBdr>
                    <w:top w:val="none" w:sz="0" w:space="0" w:color="auto"/>
                    <w:left w:val="none" w:sz="0" w:space="0" w:color="auto"/>
                    <w:bottom w:val="none" w:sz="0" w:space="0" w:color="auto"/>
                    <w:right w:val="none" w:sz="0" w:space="0" w:color="auto"/>
                  </w:divBdr>
                </w:div>
              </w:divsChild>
            </w:div>
            <w:div w:id="106971274">
              <w:marLeft w:val="0"/>
              <w:marRight w:val="0"/>
              <w:marTop w:val="0"/>
              <w:marBottom w:val="0"/>
              <w:divBdr>
                <w:top w:val="none" w:sz="0" w:space="0" w:color="auto"/>
                <w:left w:val="none" w:sz="0" w:space="0" w:color="auto"/>
                <w:bottom w:val="none" w:sz="0" w:space="0" w:color="auto"/>
                <w:right w:val="none" w:sz="0" w:space="0" w:color="auto"/>
              </w:divBdr>
              <w:divsChild>
                <w:div w:id="609623799">
                  <w:marLeft w:val="0"/>
                  <w:marRight w:val="0"/>
                  <w:marTop w:val="0"/>
                  <w:marBottom w:val="0"/>
                  <w:divBdr>
                    <w:top w:val="none" w:sz="0" w:space="0" w:color="auto"/>
                    <w:left w:val="none" w:sz="0" w:space="0" w:color="auto"/>
                    <w:bottom w:val="none" w:sz="0" w:space="0" w:color="auto"/>
                    <w:right w:val="none" w:sz="0" w:space="0" w:color="auto"/>
                  </w:divBdr>
                </w:div>
              </w:divsChild>
            </w:div>
            <w:div w:id="108014356">
              <w:marLeft w:val="0"/>
              <w:marRight w:val="0"/>
              <w:marTop w:val="0"/>
              <w:marBottom w:val="0"/>
              <w:divBdr>
                <w:top w:val="none" w:sz="0" w:space="0" w:color="auto"/>
                <w:left w:val="none" w:sz="0" w:space="0" w:color="auto"/>
                <w:bottom w:val="none" w:sz="0" w:space="0" w:color="auto"/>
                <w:right w:val="none" w:sz="0" w:space="0" w:color="auto"/>
              </w:divBdr>
              <w:divsChild>
                <w:div w:id="1019158964">
                  <w:marLeft w:val="0"/>
                  <w:marRight w:val="0"/>
                  <w:marTop w:val="0"/>
                  <w:marBottom w:val="0"/>
                  <w:divBdr>
                    <w:top w:val="none" w:sz="0" w:space="0" w:color="auto"/>
                    <w:left w:val="none" w:sz="0" w:space="0" w:color="auto"/>
                    <w:bottom w:val="none" w:sz="0" w:space="0" w:color="auto"/>
                    <w:right w:val="none" w:sz="0" w:space="0" w:color="auto"/>
                  </w:divBdr>
                </w:div>
              </w:divsChild>
            </w:div>
            <w:div w:id="108934046">
              <w:marLeft w:val="0"/>
              <w:marRight w:val="0"/>
              <w:marTop w:val="0"/>
              <w:marBottom w:val="0"/>
              <w:divBdr>
                <w:top w:val="none" w:sz="0" w:space="0" w:color="auto"/>
                <w:left w:val="none" w:sz="0" w:space="0" w:color="auto"/>
                <w:bottom w:val="none" w:sz="0" w:space="0" w:color="auto"/>
                <w:right w:val="none" w:sz="0" w:space="0" w:color="auto"/>
              </w:divBdr>
              <w:divsChild>
                <w:div w:id="561214275">
                  <w:marLeft w:val="0"/>
                  <w:marRight w:val="0"/>
                  <w:marTop w:val="0"/>
                  <w:marBottom w:val="0"/>
                  <w:divBdr>
                    <w:top w:val="none" w:sz="0" w:space="0" w:color="auto"/>
                    <w:left w:val="none" w:sz="0" w:space="0" w:color="auto"/>
                    <w:bottom w:val="none" w:sz="0" w:space="0" w:color="auto"/>
                    <w:right w:val="none" w:sz="0" w:space="0" w:color="auto"/>
                  </w:divBdr>
                </w:div>
              </w:divsChild>
            </w:div>
            <w:div w:id="112529534">
              <w:marLeft w:val="0"/>
              <w:marRight w:val="0"/>
              <w:marTop w:val="0"/>
              <w:marBottom w:val="0"/>
              <w:divBdr>
                <w:top w:val="none" w:sz="0" w:space="0" w:color="auto"/>
                <w:left w:val="none" w:sz="0" w:space="0" w:color="auto"/>
                <w:bottom w:val="none" w:sz="0" w:space="0" w:color="auto"/>
                <w:right w:val="none" w:sz="0" w:space="0" w:color="auto"/>
              </w:divBdr>
              <w:divsChild>
                <w:div w:id="1675184600">
                  <w:marLeft w:val="0"/>
                  <w:marRight w:val="0"/>
                  <w:marTop w:val="0"/>
                  <w:marBottom w:val="0"/>
                  <w:divBdr>
                    <w:top w:val="none" w:sz="0" w:space="0" w:color="auto"/>
                    <w:left w:val="none" w:sz="0" w:space="0" w:color="auto"/>
                    <w:bottom w:val="none" w:sz="0" w:space="0" w:color="auto"/>
                    <w:right w:val="none" w:sz="0" w:space="0" w:color="auto"/>
                  </w:divBdr>
                </w:div>
              </w:divsChild>
            </w:div>
            <w:div w:id="115224851">
              <w:marLeft w:val="0"/>
              <w:marRight w:val="0"/>
              <w:marTop w:val="0"/>
              <w:marBottom w:val="0"/>
              <w:divBdr>
                <w:top w:val="none" w:sz="0" w:space="0" w:color="auto"/>
                <w:left w:val="none" w:sz="0" w:space="0" w:color="auto"/>
                <w:bottom w:val="none" w:sz="0" w:space="0" w:color="auto"/>
                <w:right w:val="none" w:sz="0" w:space="0" w:color="auto"/>
              </w:divBdr>
              <w:divsChild>
                <w:div w:id="308091752">
                  <w:marLeft w:val="0"/>
                  <w:marRight w:val="0"/>
                  <w:marTop w:val="0"/>
                  <w:marBottom w:val="0"/>
                  <w:divBdr>
                    <w:top w:val="none" w:sz="0" w:space="0" w:color="auto"/>
                    <w:left w:val="none" w:sz="0" w:space="0" w:color="auto"/>
                    <w:bottom w:val="none" w:sz="0" w:space="0" w:color="auto"/>
                    <w:right w:val="none" w:sz="0" w:space="0" w:color="auto"/>
                  </w:divBdr>
                </w:div>
              </w:divsChild>
            </w:div>
            <w:div w:id="119303785">
              <w:marLeft w:val="0"/>
              <w:marRight w:val="0"/>
              <w:marTop w:val="300"/>
              <w:marBottom w:val="300"/>
              <w:divBdr>
                <w:top w:val="none" w:sz="0" w:space="0" w:color="auto"/>
                <w:left w:val="none" w:sz="0" w:space="0" w:color="auto"/>
                <w:bottom w:val="none" w:sz="0" w:space="0" w:color="auto"/>
                <w:right w:val="none" w:sz="0" w:space="0" w:color="auto"/>
              </w:divBdr>
            </w:div>
            <w:div w:id="119418787">
              <w:marLeft w:val="0"/>
              <w:marRight w:val="0"/>
              <w:marTop w:val="0"/>
              <w:marBottom w:val="0"/>
              <w:divBdr>
                <w:top w:val="none" w:sz="0" w:space="0" w:color="auto"/>
                <w:left w:val="none" w:sz="0" w:space="0" w:color="auto"/>
                <w:bottom w:val="none" w:sz="0" w:space="0" w:color="auto"/>
                <w:right w:val="none" w:sz="0" w:space="0" w:color="auto"/>
              </w:divBdr>
              <w:divsChild>
                <w:div w:id="1152330745">
                  <w:marLeft w:val="0"/>
                  <w:marRight w:val="0"/>
                  <w:marTop w:val="0"/>
                  <w:marBottom w:val="0"/>
                  <w:divBdr>
                    <w:top w:val="none" w:sz="0" w:space="0" w:color="auto"/>
                    <w:left w:val="none" w:sz="0" w:space="0" w:color="auto"/>
                    <w:bottom w:val="none" w:sz="0" w:space="0" w:color="auto"/>
                    <w:right w:val="none" w:sz="0" w:space="0" w:color="auto"/>
                  </w:divBdr>
                </w:div>
              </w:divsChild>
            </w:div>
            <w:div w:id="120732975">
              <w:marLeft w:val="0"/>
              <w:marRight w:val="0"/>
              <w:marTop w:val="0"/>
              <w:marBottom w:val="0"/>
              <w:divBdr>
                <w:top w:val="none" w:sz="0" w:space="0" w:color="auto"/>
                <w:left w:val="none" w:sz="0" w:space="0" w:color="auto"/>
                <w:bottom w:val="none" w:sz="0" w:space="0" w:color="auto"/>
                <w:right w:val="none" w:sz="0" w:space="0" w:color="auto"/>
              </w:divBdr>
              <w:divsChild>
                <w:div w:id="751781653">
                  <w:marLeft w:val="0"/>
                  <w:marRight w:val="0"/>
                  <w:marTop w:val="0"/>
                  <w:marBottom w:val="0"/>
                  <w:divBdr>
                    <w:top w:val="none" w:sz="0" w:space="0" w:color="auto"/>
                    <w:left w:val="none" w:sz="0" w:space="0" w:color="auto"/>
                    <w:bottom w:val="none" w:sz="0" w:space="0" w:color="auto"/>
                    <w:right w:val="none" w:sz="0" w:space="0" w:color="auto"/>
                  </w:divBdr>
                </w:div>
              </w:divsChild>
            </w:div>
            <w:div w:id="120854360">
              <w:marLeft w:val="0"/>
              <w:marRight w:val="0"/>
              <w:marTop w:val="0"/>
              <w:marBottom w:val="0"/>
              <w:divBdr>
                <w:top w:val="none" w:sz="0" w:space="0" w:color="auto"/>
                <w:left w:val="none" w:sz="0" w:space="0" w:color="auto"/>
                <w:bottom w:val="none" w:sz="0" w:space="0" w:color="auto"/>
                <w:right w:val="none" w:sz="0" w:space="0" w:color="auto"/>
              </w:divBdr>
              <w:divsChild>
                <w:div w:id="1199198304">
                  <w:marLeft w:val="0"/>
                  <w:marRight w:val="0"/>
                  <w:marTop w:val="0"/>
                  <w:marBottom w:val="0"/>
                  <w:divBdr>
                    <w:top w:val="none" w:sz="0" w:space="0" w:color="auto"/>
                    <w:left w:val="none" w:sz="0" w:space="0" w:color="auto"/>
                    <w:bottom w:val="none" w:sz="0" w:space="0" w:color="auto"/>
                    <w:right w:val="none" w:sz="0" w:space="0" w:color="auto"/>
                  </w:divBdr>
                </w:div>
              </w:divsChild>
            </w:div>
            <w:div w:id="121463200">
              <w:marLeft w:val="0"/>
              <w:marRight w:val="0"/>
              <w:marTop w:val="0"/>
              <w:marBottom w:val="0"/>
              <w:divBdr>
                <w:top w:val="none" w:sz="0" w:space="0" w:color="auto"/>
                <w:left w:val="none" w:sz="0" w:space="0" w:color="auto"/>
                <w:bottom w:val="none" w:sz="0" w:space="0" w:color="auto"/>
                <w:right w:val="none" w:sz="0" w:space="0" w:color="auto"/>
              </w:divBdr>
              <w:divsChild>
                <w:div w:id="901519585">
                  <w:marLeft w:val="0"/>
                  <w:marRight w:val="0"/>
                  <w:marTop w:val="0"/>
                  <w:marBottom w:val="0"/>
                  <w:divBdr>
                    <w:top w:val="none" w:sz="0" w:space="0" w:color="auto"/>
                    <w:left w:val="none" w:sz="0" w:space="0" w:color="auto"/>
                    <w:bottom w:val="none" w:sz="0" w:space="0" w:color="auto"/>
                    <w:right w:val="none" w:sz="0" w:space="0" w:color="auto"/>
                  </w:divBdr>
                </w:div>
              </w:divsChild>
            </w:div>
            <w:div w:id="121777805">
              <w:marLeft w:val="0"/>
              <w:marRight w:val="0"/>
              <w:marTop w:val="0"/>
              <w:marBottom w:val="0"/>
              <w:divBdr>
                <w:top w:val="none" w:sz="0" w:space="0" w:color="auto"/>
                <w:left w:val="none" w:sz="0" w:space="0" w:color="auto"/>
                <w:bottom w:val="none" w:sz="0" w:space="0" w:color="auto"/>
                <w:right w:val="none" w:sz="0" w:space="0" w:color="auto"/>
              </w:divBdr>
              <w:divsChild>
                <w:div w:id="751468319">
                  <w:marLeft w:val="0"/>
                  <w:marRight w:val="0"/>
                  <w:marTop w:val="0"/>
                  <w:marBottom w:val="0"/>
                  <w:divBdr>
                    <w:top w:val="none" w:sz="0" w:space="0" w:color="auto"/>
                    <w:left w:val="none" w:sz="0" w:space="0" w:color="auto"/>
                    <w:bottom w:val="none" w:sz="0" w:space="0" w:color="auto"/>
                    <w:right w:val="none" w:sz="0" w:space="0" w:color="auto"/>
                  </w:divBdr>
                </w:div>
              </w:divsChild>
            </w:div>
            <w:div w:id="121995154">
              <w:marLeft w:val="0"/>
              <w:marRight w:val="0"/>
              <w:marTop w:val="300"/>
              <w:marBottom w:val="300"/>
              <w:divBdr>
                <w:top w:val="none" w:sz="0" w:space="0" w:color="auto"/>
                <w:left w:val="none" w:sz="0" w:space="0" w:color="auto"/>
                <w:bottom w:val="none" w:sz="0" w:space="0" w:color="auto"/>
                <w:right w:val="none" w:sz="0" w:space="0" w:color="auto"/>
              </w:divBdr>
            </w:div>
            <w:div w:id="122039674">
              <w:marLeft w:val="0"/>
              <w:marRight w:val="0"/>
              <w:marTop w:val="0"/>
              <w:marBottom w:val="0"/>
              <w:divBdr>
                <w:top w:val="none" w:sz="0" w:space="0" w:color="auto"/>
                <w:left w:val="none" w:sz="0" w:space="0" w:color="auto"/>
                <w:bottom w:val="none" w:sz="0" w:space="0" w:color="auto"/>
                <w:right w:val="none" w:sz="0" w:space="0" w:color="auto"/>
              </w:divBdr>
              <w:divsChild>
                <w:div w:id="971448322">
                  <w:marLeft w:val="0"/>
                  <w:marRight w:val="0"/>
                  <w:marTop w:val="0"/>
                  <w:marBottom w:val="0"/>
                  <w:divBdr>
                    <w:top w:val="none" w:sz="0" w:space="0" w:color="auto"/>
                    <w:left w:val="none" w:sz="0" w:space="0" w:color="auto"/>
                    <w:bottom w:val="none" w:sz="0" w:space="0" w:color="auto"/>
                    <w:right w:val="none" w:sz="0" w:space="0" w:color="auto"/>
                  </w:divBdr>
                </w:div>
              </w:divsChild>
            </w:div>
            <w:div w:id="125123866">
              <w:marLeft w:val="0"/>
              <w:marRight w:val="0"/>
              <w:marTop w:val="0"/>
              <w:marBottom w:val="0"/>
              <w:divBdr>
                <w:top w:val="none" w:sz="0" w:space="0" w:color="auto"/>
                <w:left w:val="none" w:sz="0" w:space="0" w:color="auto"/>
                <w:bottom w:val="none" w:sz="0" w:space="0" w:color="auto"/>
                <w:right w:val="none" w:sz="0" w:space="0" w:color="auto"/>
              </w:divBdr>
              <w:divsChild>
                <w:div w:id="367996501">
                  <w:marLeft w:val="0"/>
                  <w:marRight w:val="0"/>
                  <w:marTop w:val="0"/>
                  <w:marBottom w:val="0"/>
                  <w:divBdr>
                    <w:top w:val="none" w:sz="0" w:space="0" w:color="auto"/>
                    <w:left w:val="none" w:sz="0" w:space="0" w:color="auto"/>
                    <w:bottom w:val="none" w:sz="0" w:space="0" w:color="auto"/>
                    <w:right w:val="none" w:sz="0" w:space="0" w:color="auto"/>
                  </w:divBdr>
                </w:div>
              </w:divsChild>
            </w:div>
            <w:div w:id="126171167">
              <w:marLeft w:val="0"/>
              <w:marRight w:val="0"/>
              <w:marTop w:val="300"/>
              <w:marBottom w:val="300"/>
              <w:divBdr>
                <w:top w:val="none" w:sz="0" w:space="0" w:color="auto"/>
                <w:left w:val="none" w:sz="0" w:space="0" w:color="auto"/>
                <w:bottom w:val="none" w:sz="0" w:space="0" w:color="auto"/>
                <w:right w:val="none" w:sz="0" w:space="0" w:color="auto"/>
              </w:divBdr>
            </w:div>
            <w:div w:id="126779261">
              <w:marLeft w:val="0"/>
              <w:marRight w:val="0"/>
              <w:marTop w:val="0"/>
              <w:marBottom w:val="0"/>
              <w:divBdr>
                <w:top w:val="none" w:sz="0" w:space="0" w:color="auto"/>
                <w:left w:val="none" w:sz="0" w:space="0" w:color="auto"/>
                <w:bottom w:val="none" w:sz="0" w:space="0" w:color="auto"/>
                <w:right w:val="none" w:sz="0" w:space="0" w:color="auto"/>
              </w:divBdr>
              <w:divsChild>
                <w:div w:id="285704007">
                  <w:marLeft w:val="0"/>
                  <w:marRight w:val="0"/>
                  <w:marTop w:val="0"/>
                  <w:marBottom w:val="0"/>
                  <w:divBdr>
                    <w:top w:val="none" w:sz="0" w:space="0" w:color="auto"/>
                    <w:left w:val="none" w:sz="0" w:space="0" w:color="auto"/>
                    <w:bottom w:val="none" w:sz="0" w:space="0" w:color="auto"/>
                    <w:right w:val="none" w:sz="0" w:space="0" w:color="auto"/>
                  </w:divBdr>
                </w:div>
              </w:divsChild>
            </w:div>
            <w:div w:id="128397782">
              <w:marLeft w:val="0"/>
              <w:marRight w:val="0"/>
              <w:marTop w:val="0"/>
              <w:marBottom w:val="0"/>
              <w:divBdr>
                <w:top w:val="none" w:sz="0" w:space="0" w:color="auto"/>
                <w:left w:val="none" w:sz="0" w:space="0" w:color="auto"/>
                <w:bottom w:val="none" w:sz="0" w:space="0" w:color="auto"/>
                <w:right w:val="none" w:sz="0" w:space="0" w:color="auto"/>
              </w:divBdr>
              <w:divsChild>
                <w:div w:id="1014383614">
                  <w:marLeft w:val="0"/>
                  <w:marRight w:val="0"/>
                  <w:marTop w:val="0"/>
                  <w:marBottom w:val="0"/>
                  <w:divBdr>
                    <w:top w:val="none" w:sz="0" w:space="0" w:color="auto"/>
                    <w:left w:val="none" w:sz="0" w:space="0" w:color="auto"/>
                    <w:bottom w:val="none" w:sz="0" w:space="0" w:color="auto"/>
                    <w:right w:val="none" w:sz="0" w:space="0" w:color="auto"/>
                  </w:divBdr>
                </w:div>
              </w:divsChild>
            </w:div>
            <w:div w:id="129447561">
              <w:marLeft w:val="0"/>
              <w:marRight w:val="0"/>
              <w:marTop w:val="0"/>
              <w:marBottom w:val="0"/>
              <w:divBdr>
                <w:top w:val="none" w:sz="0" w:space="0" w:color="auto"/>
                <w:left w:val="none" w:sz="0" w:space="0" w:color="auto"/>
                <w:bottom w:val="none" w:sz="0" w:space="0" w:color="auto"/>
                <w:right w:val="none" w:sz="0" w:space="0" w:color="auto"/>
              </w:divBdr>
              <w:divsChild>
                <w:div w:id="507524617">
                  <w:marLeft w:val="0"/>
                  <w:marRight w:val="0"/>
                  <w:marTop w:val="0"/>
                  <w:marBottom w:val="0"/>
                  <w:divBdr>
                    <w:top w:val="none" w:sz="0" w:space="0" w:color="auto"/>
                    <w:left w:val="none" w:sz="0" w:space="0" w:color="auto"/>
                    <w:bottom w:val="none" w:sz="0" w:space="0" w:color="auto"/>
                    <w:right w:val="none" w:sz="0" w:space="0" w:color="auto"/>
                  </w:divBdr>
                </w:div>
              </w:divsChild>
            </w:div>
            <w:div w:id="129516615">
              <w:marLeft w:val="0"/>
              <w:marRight w:val="0"/>
              <w:marTop w:val="300"/>
              <w:marBottom w:val="300"/>
              <w:divBdr>
                <w:top w:val="none" w:sz="0" w:space="0" w:color="auto"/>
                <w:left w:val="none" w:sz="0" w:space="0" w:color="auto"/>
                <w:bottom w:val="none" w:sz="0" w:space="0" w:color="auto"/>
                <w:right w:val="none" w:sz="0" w:space="0" w:color="auto"/>
              </w:divBdr>
            </w:div>
            <w:div w:id="130488693">
              <w:marLeft w:val="0"/>
              <w:marRight w:val="0"/>
              <w:marTop w:val="0"/>
              <w:marBottom w:val="0"/>
              <w:divBdr>
                <w:top w:val="none" w:sz="0" w:space="0" w:color="auto"/>
                <w:left w:val="none" w:sz="0" w:space="0" w:color="auto"/>
                <w:bottom w:val="none" w:sz="0" w:space="0" w:color="auto"/>
                <w:right w:val="none" w:sz="0" w:space="0" w:color="auto"/>
              </w:divBdr>
              <w:divsChild>
                <w:div w:id="1861316809">
                  <w:marLeft w:val="0"/>
                  <w:marRight w:val="0"/>
                  <w:marTop w:val="0"/>
                  <w:marBottom w:val="0"/>
                  <w:divBdr>
                    <w:top w:val="none" w:sz="0" w:space="0" w:color="auto"/>
                    <w:left w:val="none" w:sz="0" w:space="0" w:color="auto"/>
                    <w:bottom w:val="none" w:sz="0" w:space="0" w:color="auto"/>
                    <w:right w:val="none" w:sz="0" w:space="0" w:color="auto"/>
                  </w:divBdr>
                </w:div>
              </w:divsChild>
            </w:div>
            <w:div w:id="133181027">
              <w:marLeft w:val="0"/>
              <w:marRight w:val="0"/>
              <w:marTop w:val="300"/>
              <w:marBottom w:val="300"/>
              <w:divBdr>
                <w:top w:val="none" w:sz="0" w:space="0" w:color="auto"/>
                <w:left w:val="none" w:sz="0" w:space="0" w:color="auto"/>
                <w:bottom w:val="none" w:sz="0" w:space="0" w:color="auto"/>
                <w:right w:val="none" w:sz="0" w:space="0" w:color="auto"/>
              </w:divBdr>
            </w:div>
            <w:div w:id="134420678">
              <w:marLeft w:val="0"/>
              <w:marRight w:val="0"/>
              <w:marTop w:val="0"/>
              <w:marBottom w:val="0"/>
              <w:divBdr>
                <w:top w:val="none" w:sz="0" w:space="0" w:color="auto"/>
                <w:left w:val="none" w:sz="0" w:space="0" w:color="auto"/>
                <w:bottom w:val="none" w:sz="0" w:space="0" w:color="auto"/>
                <w:right w:val="none" w:sz="0" w:space="0" w:color="auto"/>
              </w:divBdr>
              <w:divsChild>
                <w:div w:id="888225686">
                  <w:marLeft w:val="0"/>
                  <w:marRight w:val="0"/>
                  <w:marTop w:val="0"/>
                  <w:marBottom w:val="0"/>
                  <w:divBdr>
                    <w:top w:val="none" w:sz="0" w:space="0" w:color="auto"/>
                    <w:left w:val="none" w:sz="0" w:space="0" w:color="auto"/>
                    <w:bottom w:val="none" w:sz="0" w:space="0" w:color="auto"/>
                    <w:right w:val="none" w:sz="0" w:space="0" w:color="auto"/>
                  </w:divBdr>
                </w:div>
              </w:divsChild>
            </w:div>
            <w:div w:id="135998696">
              <w:marLeft w:val="0"/>
              <w:marRight w:val="0"/>
              <w:marTop w:val="300"/>
              <w:marBottom w:val="300"/>
              <w:divBdr>
                <w:top w:val="none" w:sz="0" w:space="0" w:color="auto"/>
                <w:left w:val="none" w:sz="0" w:space="0" w:color="auto"/>
                <w:bottom w:val="none" w:sz="0" w:space="0" w:color="auto"/>
                <w:right w:val="none" w:sz="0" w:space="0" w:color="auto"/>
              </w:divBdr>
            </w:div>
            <w:div w:id="136342645">
              <w:marLeft w:val="0"/>
              <w:marRight w:val="0"/>
              <w:marTop w:val="0"/>
              <w:marBottom w:val="0"/>
              <w:divBdr>
                <w:top w:val="none" w:sz="0" w:space="0" w:color="auto"/>
                <w:left w:val="none" w:sz="0" w:space="0" w:color="auto"/>
                <w:bottom w:val="none" w:sz="0" w:space="0" w:color="auto"/>
                <w:right w:val="none" w:sz="0" w:space="0" w:color="auto"/>
              </w:divBdr>
              <w:divsChild>
                <w:div w:id="1971937210">
                  <w:marLeft w:val="0"/>
                  <w:marRight w:val="0"/>
                  <w:marTop w:val="0"/>
                  <w:marBottom w:val="0"/>
                  <w:divBdr>
                    <w:top w:val="none" w:sz="0" w:space="0" w:color="auto"/>
                    <w:left w:val="none" w:sz="0" w:space="0" w:color="auto"/>
                    <w:bottom w:val="none" w:sz="0" w:space="0" w:color="auto"/>
                    <w:right w:val="none" w:sz="0" w:space="0" w:color="auto"/>
                  </w:divBdr>
                </w:div>
              </w:divsChild>
            </w:div>
            <w:div w:id="142086921">
              <w:marLeft w:val="0"/>
              <w:marRight w:val="0"/>
              <w:marTop w:val="0"/>
              <w:marBottom w:val="0"/>
              <w:divBdr>
                <w:top w:val="none" w:sz="0" w:space="0" w:color="auto"/>
                <w:left w:val="none" w:sz="0" w:space="0" w:color="auto"/>
                <w:bottom w:val="none" w:sz="0" w:space="0" w:color="auto"/>
                <w:right w:val="none" w:sz="0" w:space="0" w:color="auto"/>
              </w:divBdr>
              <w:divsChild>
                <w:div w:id="465781558">
                  <w:marLeft w:val="0"/>
                  <w:marRight w:val="0"/>
                  <w:marTop w:val="0"/>
                  <w:marBottom w:val="0"/>
                  <w:divBdr>
                    <w:top w:val="none" w:sz="0" w:space="0" w:color="auto"/>
                    <w:left w:val="none" w:sz="0" w:space="0" w:color="auto"/>
                    <w:bottom w:val="none" w:sz="0" w:space="0" w:color="auto"/>
                    <w:right w:val="none" w:sz="0" w:space="0" w:color="auto"/>
                  </w:divBdr>
                </w:div>
              </w:divsChild>
            </w:div>
            <w:div w:id="143008361">
              <w:marLeft w:val="0"/>
              <w:marRight w:val="0"/>
              <w:marTop w:val="0"/>
              <w:marBottom w:val="0"/>
              <w:divBdr>
                <w:top w:val="none" w:sz="0" w:space="0" w:color="auto"/>
                <w:left w:val="none" w:sz="0" w:space="0" w:color="auto"/>
                <w:bottom w:val="none" w:sz="0" w:space="0" w:color="auto"/>
                <w:right w:val="none" w:sz="0" w:space="0" w:color="auto"/>
              </w:divBdr>
              <w:divsChild>
                <w:div w:id="1488284516">
                  <w:marLeft w:val="0"/>
                  <w:marRight w:val="0"/>
                  <w:marTop w:val="0"/>
                  <w:marBottom w:val="0"/>
                  <w:divBdr>
                    <w:top w:val="none" w:sz="0" w:space="0" w:color="auto"/>
                    <w:left w:val="none" w:sz="0" w:space="0" w:color="auto"/>
                    <w:bottom w:val="none" w:sz="0" w:space="0" w:color="auto"/>
                    <w:right w:val="none" w:sz="0" w:space="0" w:color="auto"/>
                  </w:divBdr>
                </w:div>
              </w:divsChild>
            </w:div>
            <w:div w:id="144013810">
              <w:marLeft w:val="0"/>
              <w:marRight w:val="0"/>
              <w:marTop w:val="0"/>
              <w:marBottom w:val="0"/>
              <w:divBdr>
                <w:top w:val="none" w:sz="0" w:space="0" w:color="auto"/>
                <w:left w:val="none" w:sz="0" w:space="0" w:color="auto"/>
                <w:bottom w:val="none" w:sz="0" w:space="0" w:color="auto"/>
                <w:right w:val="none" w:sz="0" w:space="0" w:color="auto"/>
              </w:divBdr>
              <w:divsChild>
                <w:div w:id="876699551">
                  <w:marLeft w:val="0"/>
                  <w:marRight w:val="0"/>
                  <w:marTop w:val="0"/>
                  <w:marBottom w:val="0"/>
                  <w:divBdr>
                    <w:top w:val="none" w:sz="0" w:space="0" w:color="auto"/>
                    <w:left w:val="none" w:sz="0" w:space="0" w:color="auto"/>
                    <w:bottom w:val="none" w:sz="0" w:space="0" w:color="auto"/>
                    <w:right w:val="none" w:sz="0" w:space="0" w:color="auto"/>
                  </w:divBdr>
                </w:div>
              </w:divsChild>
            </w:div>
            <w:div w:id="144711761">
              <w:marLeft w:val="0"/>
              <w:marRight w:val="0"/>
              <w:marTop w:val="0"/>
              <w:marBottom w:val="0"/>
              <w:divBdr>
                <w:top w:val="none" w:sz="0" w:space="0" w:color="auto"/>
                <w:left w:val="none" w:sz="0" w:space="0" w:color="auto"/>
                <w:bottom w:val="none" w:sz="0" w:space="0" w:color="auto"/>
                <w:right w:val="none" w:sz="0" w:space="0" w:color="auto"/>
              </w:divBdr>
              <w:divsChild>
                <w:div w:id="1857690699">
                  <w:marLeft w:val="0"/>
                  <w:marRight w:val="0"/>
                  <w:marTop w:val="0"/>
                  <w:marBottom w:val="0"/>
                  <w:divBdr>
                    <w:top w:val="none" w:sz="0" w:space="0" w:color="auto"/>
                    <w:left w:val="none" w:sz="0" w:space="0" w:color="auto"/>
                    <w:bottom w:val="none" w:sz="0" w:space="0" w:color="auto"/>
                    <w:right w:val="none" w:sz="0" w:space="0" w:color="auto"/>
                  </w:divBdr>
                </w:div>
              </w:divsChild>
            </w:div>
            <w:div w:id="147137006">
              <w:marLeft w:val="0"/>
              <w:marRight w:val="0"/>
              <w:marTop w:val="0"/>
              <w:marBottom w:val="0"/>
              <w:divBdr>
                <w:top w:val="none" w:sz="0" w:space="0" w:color="auto"/>
                <w:left w:val="none" w:sz="0" w:space="0" w:color="auto"/>
                <w:bottom w:val="none" w:sz="0" w:space="0" w:color="auto"/>
                <w:right w:val="none" w:sz="0" w:space="0" w:color="auto"/>
              </w:divBdr>
              <w:divsChild>
                <w:div w:id="708066191">
                  <w:marLeft w:val="0"/>
                  <w:marRight w:val="0"/>
                  <w:marTop w:val="0"/>
                  <w:marBottom w:val="0"/>
                  <w:divBdr>
                    <w:top w:val="none" w:sz="0" w:space="0" w:color="auto"/>
                    <w:left w:val="none" w:sz="0" w:space="0" w:color="auto"/>
                    <w:bottom w:val="none" w:sz="0" w:space="0" w:color="auto"/>
                    <w:right w:val="none" w:sz="0" w:space="0" w:color="auto"/>
                  </w:divBdr>
                </w:div>
              </w:divsChild>
            </w:div>
            <w:div w:id="149710459">
              <w:marLeft w:val="0"/>
              <w:marRight w:val="0"/>
              <w:marTop w:val="0"/>
              <w:marBottom w:val="0"/>
              <w:divBdr>
                <w:top w:val="none" w:sz="0" w:space="0" w:color="auto"/>
                <w:left w:val="none" w:sz="0" w:space="0" w:color="auto"/>
                <w:bottom w:val="none" w:sz="0" w:space="0" w:color="auto"/>
                <w:right w:val="none" w:sz="0" w:space="0" w:color="auto"/>
              </w:divBdr>
              <w:divsChild>
                <w:div w:id="1693416560">
                  <w:marLeft w:val="0"/>
                  <w:marRight w:val="0"/>
                  <w:marTop w:val="0"/>
                  <w:marBottom w:val="0"/>
                  <w:divBdr>
                    <w:top w:val="none" w:sz="0" w:space="0" w:color="auto"/>
                    <w:left w:val="none" w:sz="0" w:space="0" w:color="auto"/>
                    <w:bottom w:val="none" w:sz="0" w:space="0" w:color="auto"/>
                    <w:right w:val="none" w:sz="0" w:space="0" w:color="auto"/>
                  </w:divBdr>
                </w:div>
              </w:divsChild>
            </w:div>
            <w:div w:id="154107713">
              <w:marLeft w:val="0"/>
              <w:marRight w:val="0"/>
              <w:marTop w:val="0"/>
              <w:marBottom w:val="0"/>
              <w:divBdr>
                <w:top w:val="none" w:sz="0" w:space="0" w:color="auto"/>
                <w:left w:val="none" w:sz="0" w:space="0" w:color="auto"/>
                <w:bottom w:val="none" w:sz="0" w:space="0" w:color="auto"/>
                <w:right w:val="none" w:sz="0" w:space="0" w:color="auto"/>
              </w:divBdr>
              <w:divsChild>
                <w:div w:id="79525156">
                  <w:marLeft w:val="0"/>
                  <w:marRight w:val="0"/>
                  <w:marTop w:val="0"/>
                  <w:marBottom w:val="0"/>
                  <w:divBdr>
                    <w:top w:val="none" w:sz="0" w:space="0" w:color="auto"/>
                    <w:left w:val="none" w:sz="0" w:space="0" w:color="auto"/>
                    <w:bottom w:val="none" w:sz="0" w:space="0" w:color="auto"/>
                    <w:right w:val="none" w:sz="0" w:space="0" w:color="auto"/>
                  </w:divBdr>
                </w:div>
              </w:divsChild>
            </w:div>
            <w:div w:id="154154547">
              <w:marLeft w:val="0"/>
              <w:marRight w:val="0"/>
              <w:marTop w:val="0"/>
              <w:marBottom w:val="0"/>
              <w:divBdr>
                <w:top w:val="none" w:sz="0" w:space="0" w:color="auto"/>
                <w:left w:val="none" w:sz="0" w:space="0" w:color="auto"/>
                <w:bottom w:val="none" w:sz="0" w:space="0" w:color="auto"/>
                <w:right w:val="none" w:sz="0" w:space="0" w:color="auto"/>
              </w:divBdr>
              <w:divsChild>
                <w:div w:id="2118476620">
                  <w:marLeft w:val="0"/>
                  <w:marRight w:val="0"/>
                  <w:marTop w:val="0"/>
                  <w:marBottom w:val="0"/>
                  <w:divBdr>
                    <w:top w:val="none" w:sz="0" w:space="0" w:color="auto"/>
                    <w:left w:val="none" w:sz="0" w:space="0" w:color="auto"/>
                    <w:bottom w:val="none" w:sz="0" w:space="0" w:color="auto"/>
                    <w:right w:val="none" w:sz="0" w:space="0" w:color="auto"/>
                  </w:divBdr>
                </w:div>
              </w:divsChild>
            </w:div>
            <w:div w:id="154758654">
              <w:marLeft w:val="0"/>
              <w:marRight w:val="0"/>
              <w:marTop w:val="0"/>
              <w:marBottom w:val="0"/>
              <w:divBdr>
                <w:top w:val="none" w:sz="0" w:space="0" w:color="auto"/>
                <w:left w:val="none" w:sz="0" w:space="0" w:color="auto"/>
                <w:bottom w:val="none" w:sz="0" w:space="0" w:color="auto"/>
                <w:right w:val="none" w:sz="0" w:space="0" w:color="auto"/>
              </w:divBdr>
              <w:divsChild>
                <w:div w:id="1118528699">
                  <w:marLeft w:val="0"/>
                  <w:marRight w:val="0"/>
                  <w:marTop w:val="0"/>
                  <w:marBottom w:val="0"/>
                  <w:divBdr>
                    <w:top w:val="none" w:sz="0" w:space="0" w:color="auto"/>
                    <w:left w:val="none" w:sz="0" w:space="0" w:color="auto"/>
                    <w:bottom w:val="none" w:sz="0" w:space="0" w:color="auto"/>
                    <w:right w:val="none" w:sz="0" w:space="0" w:color="auto"/>
                  </w:divBdr>
                </w:div>
              </w:divsChild>
            </w:div>
            <w:div w:id="156314048">
              <w:marLeft w:val="0"/>
              <w:marRight w:val="0"/>
              <w:marTop w:val="0"/>
              <w:marBottom w:val="0"/>
              <w:divBdr>
                <w:top w:val="none" w:sz="0" w:space="0" w:color="auto"/>
                <w:left w:val="none" w:sz="0" w:space="0" w:color="auto"/>
                <w:bottom w:val="none" w:sz="0" w:space="0" w:color="auto"/>
                <w:right w:val="none" w:sz="0" w:space="0" w:color="auto"/>
              </w:divBdr>
              <w:divsChild>
                <w:div w:id="1045569925">
                  <w:marLeft w:val="0"/>
                  <w:marRight w:val="0"/>
                  <w:marTop w:val="0"/>
                  <w:marBottom w:val="0"/>
                  <w:divBdr>
                    <w:top w:val="none" w:sz="0" w:space="0" w:color="auto"/>
                    <w:left w:val="none" w:sz="0" w:space="0" w:color="auto"/>
                    <w:bottom w:val="none" w:sz="0" w:space="0" w:color="auto"/>
                    <w:right w:val="none" w:sz="0" w:space="0" w:color="auto"/>
                  </w:divBdr>
                </w:div>
              </w:divsChild>
            </w:div>
            <w:div w:id="157162344">
              <w:marLeft w:val="0"/>
              <w:marRight w:val="0"/>
              <w:marTop w:val="0"/>
              <w:marBottom w:val="0"/>
              <w:divBdr>
                <w:top w:val="none" w:sz="0" w:space="0" w:color="auto"/>
                <w:left w:val="none" w:sz="0" w:space="0" w:color="auto"/>
                <w:bottom w:val="none" w:sz="0" w:space="0" w:color="auto"/>
                <w:right w:val="none" w:sz="0" w:space="0" w:color="auto"/>
              </w:divBdr>
              <w:divsChild>
                <w:div w:id="779298872">
                  <w:marLeft w:val="0"/>
                  <w:marRight w:val="0"/>
                  <w:marTop w:val="0"/>
                  <w:marBottom w:val="0"/>
                  <w:divBdr>
                    <w:top w:val="none" w:sz="0" w:space="0" w:color="auto"/>
                    <w:left w:val="none" w:sz="0" w:space="0" w:color="auto"/>
                    <w:bottom w:val="none" w:sz="0" w:space="0" w:color="auto"/>
                    <w:right w:val="none" w:sz="0" w:space="0" w:color="auto"/>
                  </w:divBdr>
                </w:div>
              </w:divsChild>
            </w:div>
            <w:div w:id="162284753">
              <w:marLeft w:val="0"/>
              <w:marRight w:val="0"/>
              <w:marTop w:val="0"/>
              <w:marBottom w:val="0"/>
              <w:divBdr>
                <w:top w:val="none" w:sz="0" w:space="0" w:color="auto"/>
                <w:left w:val="none" w:sz="0" w:space="0" w:color="auto"/>
                <w:bottom w:val="none" w:sz="0" w:space="0" w:color="auto"/>
                <w:right w:val="none" w:sz="0" w:space="0" w:color="auto"/>
              </w:divBdr>
              <w:divsChild>
                <w:div w:id="1745058975">
                  <w:marLeft w:val="0"/>
                  <w:marRight w:val="0"/>
                  <w:marTop w:val="0"/>
                  <w:marBottom w:val="0"/>
                  <w:divBdr>
                    <w:top w:val="none" w:sz="0" w:space="0" w:color="auto"/>
                    <w:left w:val="none" w:sz="0" w:space="0" w:color="auto"/>
                    <w:bottom w:val="none" w:sz="0" w:space="0" w:color="auto"/>
                    <w:right w:val="none" w:sz="0" w:space="0" w:color="auto"/>
                  </w:divBdr>
                </w:div>
              </w:divsChild>
            </w:div>
            <w:div w:id="164245427">
              <w:marLeft w:val="0"/>
              <w:marRight w:val="0"/>
              <w:marTop w:val="300"/>
              <w:marBottom w:val="300"/>
              <w:divBdr>
                <w:top w:val="none" w:sz="0" w:space="0" w:color="auto"/>
                <w:left w:val="none" w:sz="0" w:space="0" w:color="auto"/>
                <w:bottom w:val="none" w:sz="0" w:space="0" w:color="auto"/>
                <w:right w:val="none" w:sz="0" w:space="0" w:color="auto"/>
              </w:divBdr>
            </w:div>
            <w:div w:id="164319277">
              <w:marLeft w:val="0"/>
              <w:marRight w:val="0"/>
              <w:marTop w:val="0"/>
              <w:marBottom w:val="0"/>
              <w:divBdr>
                <w:top w:val="none" w:sz="0" w:space="0" w:color="auto"/>
                <w:left w:val="none" w:sz="0" w:space="0" w:color="auto"/>
                <w:bottom w:val="none" w:sz="0" w:space="0" w:color="auto"/>
                <w:right w:val="none" w:sz="0" w:space="0" w:color="auto"/>
              </w:divBdr>
              <w:divsChild>
                <w:div w:id="476455578">
                  <w:marLeft w:val="0"/>
                  <w:marRight w:val="0"/>
                  <w:marTop w:val="0"/>
                  <w:marBottom w:val="0"/>
                  <w:divBdr>
                    <w:top w:val="none" w:sz="0" w:space="0" w:color="auto"/>
                    <w:left w:val="none" w:sz="0" w:space="0" w:color="auto"/>
                    <w:bottom w:val="none" w:sz="0" w:space="0" w:color="auto"/>
                    <w:right w:val="none" w:sz="0" w:space="0" w:color="auto"/>
                  </w:divBdr>
                </w:div>
              </w:divsChild>
            </w:div>
            <w:div w:id="164369620">
              <w:marLeft w:val="0"/>
              <w:marRight w:val="0"/>
              <w:marTop w:val="0"/>
              <w:marBottom w:val="0"/>
              <w:divBdr>
                <w:top w:val="none" w:sz="0" w:space="0" w:color="auto"/>
                <w:left w:val="none" w:sz="0" w:space="0" w:color="auto"/>
                <w:bottom w:val="none" w:sz="0" w:space="0" w:color="auto"/>
                <w:right w:val="none" w:sz="0" w:space="0" w:color="auto"/>
              </w:divBdr>
              <w:divsChild>
                <w:div w:id="488979460">
                  <w:marLeft w:val="0"/>
                  <w:marRight w:val="0"/>
                  <w:marTop w:val="0"/>
                  <w:marBottom w:val="0"/>
                  <w:divBdr>
                    <w:top w:val="none" w:sz="0" w:space="0" w:color="auto"/>
                    <w:left w:val="none" w:sz="0" w:space="0" w:color="auto"/>
                    <w:bottom w:val="none" w:sz="0" w:space="0" w:color="auto"/>
                    <w:right w:val="none" w:sz="0" w:space="0" w:color="auto"/>
                  </w:divBdr>
                </w:div>
              </w:divsChild>
            </w:div>
            <w:div w:id="165678190">
              <w:marLeft w:val="0"/>
              <w:marRight w:val="0"/>
              <w:marTop w:val="0"/>
              <w:marBottom w:val="0"/>
              <w:divBdr>
                <w:top w:val="none" w:sz="0" w:space="0" w:color="auto"/>
                <w:left w:val="none" w:sz="0" w:space="0" w:color="auto"/>
                <w:bottom w:val="none" w:sz="0" w:space="0" w:color="auto"/>
                <w:right w:val="none" w:sz="0" w:space="0" w:color="auto"/>
              </w:divBdr>
              <w:divsChild>
                <w:div w:id="727922252">
                  <w:marLeft w:val="0"/>
                  <w:marRight w:val="0"/>
                  <w:marTop w:val="0"/>
                  <w:marBottom w:val="0"/>
                  <w:divBdr>
                    <w:top w:val="none" w:sz="0" w:space="0" w:color="auto"/>
                    <w:left w:val="none" w:sz="0" w:space="0" w:color="auto"/>
                    <w:bottom w:val="none" w:sz="0" w:space="0" w:color="auto"/>
                    <w:right w:val="none" w:sz="0" w:space="0" w:color="auto"/>
                  </w:divBdr>
                </w:div>
              </w:divsChild>
            </w:div>
            <w:div w:id="166599012">
              <w:marLeft w:val="0"/>
              <w:marRight w:val="0"/>
              <w:marTop w:val="0"/>
              <w:marBottom w:val="0"/>
              <w:divBdr>
                <w:top w:val="none" w:sz="0" w:space="0" w:color="auto"/>
                <w:left w:val="none" w:sz="0" w:space="0" w:color="auto"/>
                <w:bottom w:val="none" w:sz="0" w:space="0" w:color="auto"/>
                <w:right w:val="none" w:sz="0" w:space="0" w:color="auto"/>
              </w:divBdr>
              <w:divsChild>
                <w:div w:id="326520064">
                  <w:marLeft w:val="0"/>
                  <w:marRight w:val="0"/>
                  <w:marTop w:val="0"/>
                  <w:marBottom w:val="0"/>
                  <w:divBdr>
                    <w:top w:val="none" w:sz="0" w:space="0" w:color="auto"/>
                    <w:left w:val="none" w:sz="0" w:space="0" w:color="auto"/>
                    <w:bottom w:val="none" w:sz="0" w:space="0" w:color="auto"/>
                    <w:right w:val="none" w:sz="0" w:space="0" w:color="auto"/>
                  </w:divBdr>
                </w:div>
              </w:divsChild>
            </w:div>
            <w:div w:id="166753969">
              <w:marLeft w:val="0"/>
              <w:marRight w:val="0"/>
              <w:marTop w:val="0"/>
              <w:marBottom w:val="0"/>
              <w:divBdr>
                <w:top w:val="none" w:sz="0" w:space="0" w:color="auto"/>
                <w:left w:val="none" w:sz="0" w:space="0" w:color="auto"/>
                <w:bottom w:val="none" w:sz="0" w:space="0" w:color="auto"/>
                <w:right w:val="none" w:sz="0" w:space="0" w:color="auto"/>
              </w:divBdr>
              <w:divsChild>
                <w:div w:id="1193574339">
                  <w:marLeft w:val="0"/>
                  <w:marRight w:val="0"/>
                  <w:marTop w:val="0"/>
                  <w:marBottom w:val="0"/>
                  <w:divBdr>
                    <w:top w:val="none" w:sz="0" w:space="0" w:color="auto"/>
                    <w:left w:val="none" w:sz="0" w:space="0" w:color="auto"/>
                    <w:bottom w:val="none" w:sz="0" w:space="0" w:color="auto"/>
                    <w:right w:val="none" w:sz="0" w:space="0" w:color="auto"/>
                  </w:divBdr>
                </w:div>
              </w:divsChild>
            </w:div>
            <w:div w:id="168755700">
              <w:marLeft w:val="0"/>
              <w:marRight w:val="0"/>
              <w:marTop w:val="0"/>
              <w:marBottom w:val="0"/>
              <w:divBdr>
                <w:top w:val="none" w:sz="0" w:space="0" w:color="auto"/>
                <w:left w:val="none" w:sz="0" w:space="0" w:color="auto"/>
                <w:bottom w:val="none" w:sz="0" w:space="0" w:color="auto"/>
                <w:right w:val="none" w:sz="0" w:space="0" w:color="auto"/>
              </w:divBdr>
              <w:divsChild>
                <w:div w:id="1220897693">
                  <w:marLeft w:val="0"/>
                  <w:marRight w:val="0"/>
                  <w:marTop w:val="0"/>
                  <w:marBottom w:val="0"/>
                  <w:divBdr>
                    <w:top w:val="none" w:sz="0" w:space="0" w:color="auto"/>
                    <w:left w:val="none" w:sz="0" w:space="0" w:color="auto"/>
                    <w:bottom w:val="none" w:sz="0" w:space="0" w:color="auto"/>
                    <w:right w:val="none" w:sz="0" w:space="0" w:color="auto"/>
                  </w:divBdr>
                </w:div>
              </w:divsChild>
            </w:div>
            <w:div w:id="171604265">
              <w:marLeft w:val="0"/>
              <w:marRight w:val="0"/>
              <w:marTop w:val="0"/>
              <w:marBottom w:val="0"/>
              <w:divBdr>
                <w:top w:val="none" w:sz="0" w:space="0" w:color="auto"/>
                <w:left w:val="none" w:sz="0" w:space="0" w:color="auto"/>
                <w:bottom w:val="none" w:sz="0" w:space="0" w:color="auto"/>
                <w:right w:val="none" w:sz="0" w:space="0" w:color="auto"/>
              </w:divBdr>
              <w:divsChild>
                <w:div w:id="709454809">
                  <w:marLeft w:val="0"/>
                  <w:marRight w:val="0"/>
                  <w:marTop w:val="0"/>
                  <w:marBottom w:val="0"/>
                  <w:divBdr>
                    <w:top w:val="none" w:sz="0" w:space="0" w:color="auto"/>
                    <w:left w:val="none" w:sz="0" w:space="0" w:color="auto"/>
                    <w:bottom w:val="none" w:sz="0" w:space="0" w:color="auto"/>
                    <w:right w:val="none" w:sz="0" w:space="0" w:color="auto"/>
                  </w:divBdr>
                </w:div>
              </w:divsChild>
            </w:div>
            <w:div w:id="172108190">
              <w:marLeft w:val="0"/>
              <w:marRight w:val="0"/>
              <w:marTop w:val="0"/>
              <w:marBottom w:val="0"/>
              <w:divBdr>
                <w:top w:val="none" w:sz="0" w:space="0" w:color="auto"/>
                <w:left w:val="none" w:sz="0" w:space="0" w:color="auto"/>
                <w:bottom w:val="none" w:sz="0" w:space="0" w:color="auto"/>
                <w:right w:val="none" w:sz="0" w:space="0" w:color="auto"/>
              </w:divBdr>
              <w:divsChild>
                <w:div w:id="1079446642">
                  <w:marLeft w:val="0"/>
                  <w:marRight w:val="0"/>
                  <w:marTop w:val="0"/>
                  <w:marBottom w:val="0"/>
                  <w:divBdr>
                    <w:top w:val="none" w:sz="0" w:space="0" w:color="auto"/>
                    <w:left w:val="none" w:sz="0" w:space="0" w:color="auto"/>
                    <w:bottom w:val="none" w:sz="0" w:space="0" w:color="auto"/>
                    <w:right w:val="none" w:sz="0" w:space="0" w:color="auto"/>
                  </w:divBdr>
                </w:div>
              </w:divsChild>
            </w:div>
            <w:div w:id="172578539">
              <w:marLeft w:val="0"/>
              <w:marRight w:val="0"/>
              <w:marTop w:val="0"/>
              <w:marBottom w:val="0"/>
              <w:divBdr>
                <w:top w:val="none" w:sz="0" w:space="0" w:color="auto"/>
                <w:left w:val="none" w:sz="0" w:space="0" w:color="auto"/>
                <w:bottom w:val="none" w:sz="0" w:space="0" w:color="auto"/>
                <w:right w:val="none" w:sz="0" w:space="0" w:color="auto"/>
              </w:divBdr>
              <w:divsChild>
                <w:div w:id="867715778">
                  <w:marLeft w:val="0"/>
                  <w:marRight w:val="0"/>
                  <w:marTop w:val="0"/>
                  <w:marBottom w:val="0"/>
                  <w:divBdr>
                    <w:top w:val="none" w:sz="0" w:space="0" w:color="auto"/>
                    <w:left w:val="none" w:sz="0" w:space="0" w:color="auto"/>
                    <w:bottom w:val="none" w:sz="0" w:space="0" w:color="auto"/>
                    <w:right w:val="none" w:sz="0" w:space="0" w:color="auto"/>
                  </w:divBdr>
                </w:div>
              </w:divsChild>
            </w:div>
            <w:div w:id="173034502">
              <w:marLeft w:val="0"/>
              <w:marRight w:val="0"/>
              <w:marTop w:val="0"/>
              <w:marBottom w:val="0"/>
              <w:divBdr>
                <w:top w:val="none" w:sz="0" w:space="0" w:color="auto"/>
                <w:left w:val="none" w:sz="0" w:space="0" w:color="auto"/>
                <w:bottom w:val="none" w:sz="0" w:space="0" w:color="auto"/>
                <w:right w:val="none" w:sz="0" w:space="0" w:color="auto"/>
              </w:divBdr>
              <w:divsChild>
                <w:div w:id="618529095">
                  <w:marLeft w:val="0"/>
                  <w:marRight w:val="0"/>
                  <w:marTop w:val="0"/>
                  <w:marBottom w:val="0"/>
                  <w:divBdr>
                    <w:top w:val="none" w:sz="0" w:space="0" w:color="auto"/>
                    <w:left w:val="none" w:sz="0" w:space="0" w:color="auto"/>
                    <w:bottom w:val="none" w:sz="0" w:space="0" w:color="auto"/>
                    <w:right w:val="none" w:sz="0" w:space="0" w:color="auto"/>
                  </w:divBdr>
                </w:div>
              </w:divsChild>
            </w:div>
            <w:div w:id="173610656">
              <w:marLeft w:val="0"/>
              <w:marRight w:val="0"/>
              <w:marTop w:val="0"/>
              <w:marBottom w:val="0"/>
              <w:divBdr>
                <w:top w:val="none" w:sz="0" w:space="0" w:color="auto"/>
                <w:left w:val="none" w:sz="0" w:space="0" w:color="auto"/>
                <w:bottom w:val="none" w:sz="0" w:space="0" w:color="auto"/>
                <w:right w:val="none" w:sz="0" w:space="0" w:color="auto"/>
              </w:divBdr>
              <w:divsChild>
                <w:div w:id="2007435188">
                  <w:marLeft w:val="0"/>
                  <w:marRight w:val="0"/>
                  <w:marTop w:val="0"/>
                  <w:marBottom w:val="0"/>
                  <w:divBdr>
                    <w:top w:val="none" w:sz="0" w:space="0" w:color="auto"/>
                    <w:left w:val="none" w:sz="0" w:space="0" w:color="auto"/>
                    <w:bottom w:val="none" w:sz="0" w:space="0" w:color="auto"/>
                    <w:right w:val="none" w:sz="0" w:space="0" w:color="auto"/>
                  </w:divBdr>
                </w:div>
              </w:divsChild>
            </w:div>
            <w:div w:id="175995886">
              <w:marLeft w:val="0"/>
              <w:marRight w:val="0"/>
              <w:marTop w:val="0"/>
              <w:marBottom w:val="0"/>
              <w:divBdr>
                <w:top w:val="none" w:sz="0" w:space="0" w:color="auto"/>
                <w:left w:val="none" w:sz="0" w:space="0" w:color="auto"/>
                <w:bottom w:val="none" w:sz="0" w:space="0" w:color="auto"/>
                <w:right w:val="none" w:sz="0" w:space="0" w:color="auto"/>
              </w:divBdr>
              <w:divsChild>
                <w:div w:id="731540231">
                  <w:marLeft w:val="0"/>
                  <w:marRight w:val="0"/>
                  <w:marTop w:val="0"/>
                  <w:marBottom w:val="0"/>
                  <w:divBdr>
                    <w:top w:val="none" w:sz="0" w:space="0" w:color="auto"/>
                    <w:left w:val="none" w:sz="0" w:space="0" w:color="auto"/>
                    <w:bottom w:val="none" w:sz="0" w:space="0" w:color="auto"/>
                    <w:right w:val="none" w:sz="0" w:space="0" w:color="auto"/>
                  </w:divBdr>
                </w:div>
              </w:divsChild>
            </w:div>
            <w:div w:id="177157715">
              <w:marLeft w:val="0"/>
              <w:marRight w:val="0"/>
              <w:marTop w:val="0"/>
              <w:marBottom w:val="0"/>
              <w:divBdr>
                <w:top w:val="none" w:sz="0" w:space="0" w:color="auto"/>
                <w:left w:val="none" w:sz="0" w:space="0" w:color="auto"/>
                <w:bottom w:val="none" w:sz="0" w:space="0" w:color="auto"/>
                <w:right w:val="none" w:sz="0" w:space="0" w:color="auto"/>
              </w:divBdr>
              <w:divsChild>
                <w:div w:id="1632516797">
                  <w:marLeft w:val="0"/>
                  <w:marRight w:val="0"/>
                  <w:marTop w:val="0"/>
                  <w:marBottom w:val="0"/>
                  <w:divBdr>
                    <w:top w:val="none" w:sz="0" w:space="0" w:color="auto"/>
                    <w:left w:val="none" w:sz="0" w:space="0" w:color="auto"/>
                    <w:bottom w:val="none" w:sz="0" w:space="0" w:color="auto"/>
                    <w:right w:val="none" w:sz="0" w:space="0" w:color="auto"/>
                  </w:divBdr>
                </w:div>
              </w:divsChild>
            </w:div>
            <w:div w:id="179006540">
              <w:marLeft w:val="0"/>
              <w:marRight w:val="0"/>
              <w:marTop w:val="0"/>
              <w:marBottom w:val="0"/>
              <w:divBdr>
                <w:top w:val="none" w:sz="0" w:space="0" w:color="auto"/>
                <w:left w:val="none" w:sz="0" w:space="0" w:color="auto"/>
                <w:bottom w:val="none" w:sz="0" w:space="0" w:color="auto"/>
                <w:right w:val="none" w:sz="0" w:space="0" w:color="auto"/>
              </w:divBdr>
              <w:divsChild>
                <w:div w:id="269821998">
                  <w:marLeft w:val="0"/>
                  <w:marRight w:val="0"/>
                  <w:marTop w:val="0"/>
                  <w:marBottom w:val="0"/>
                  <w:divBdr>
                    <w:top w:val="none" w:sz="0" w:space="0" w:color="auto"/>
                    <w:left w:val="none" w:sz="0" w:space="0" w:color="auto"/>
                    <w:bottom w:val="none" w:sz="0" w:space="0" w:color="auto"/>
                    <w:right w:val="none" w:sz="0" w:space="0" w:color="auto"/>
                  </w:divBdr>
                </w:div>
              </w:divsChild>
            </w:div>
            <w:div w:id="179315260">
              <w:marLeft w:val="0"/>
              <w:marRight w:val="0"/>
              <w:marTop w:val="0"/>
              <w:marBottom w:val="0"/>
              <w:divBdr>
                <w:top w:val="none" w:sz="0" w:space="0" w:color="auto"/>
                <w:left w:val="none" w:sz="0" w:space="0" w:color="auto"/>
                <w:bottom w:val="none" w:sz="0" w:space="0" w:color="auto"/>
                <w:right w:val="none" w:sz="0" w:space="0" w:color="auto"/>
              </w:divBdr>
              <w:divsChild>
                <w:div w:id="2091346381">
                  <w:marLeft w:val="0"/>
                  <w:marRight w:val="0"/>
                  <w:marTop w:val="0"/>
                  <w:marBottom w:val="0"/>
                  <w:divBdr>
                    <w:top w:val="none" w:sz="0" w:space="0" w:color="auto"/>
                    <w:left w:val="none" w:sz="0" w:space="0" w:color="auto"/>
                    <w:bottom w:val="none" w:sz="0" w:space="0" w:color="auto"/>
                    <w:right w:val="none" w:sz="0" w:space="0" w:color="auto"/>
                  </w:divBdr>
                </w:div>
              </w:divsChild>
            </w:div>
            <w:div w:id="180290798">
              <w:marLeft w:val="0"/>
              <w:marRight w:val="0"/>
              <w:marTop w:val="300"/>
              <w:marBottom w:val="300"/>
              <w:divBdr>
                <w:top w:val="none" w:sz="0" w:space="0" w:color="auto"/>
                <w:left w:val="none" w:sz="0" w:space="0" w:color="auto"/>
                <w:bottom w:val="none" w:sz="0" w:space="0" w:color="auto"/>
                <w:right w:val="none" w:sz="0" w:space="0" w:color="auto"/>
              </w:divBdr>
            </w:div>
            <w:div w:id="180976844">
              <w:marLeft w:val="0"/>
              <w:marRight w:val="0"/>
              <w:marTop w:val="0"/>
              <w:marBottom w:val="0"/>
              <w:divBdr>
                <w:top w:val="none" w:sz="0" w:space="0" w:color="auto"/>
                <w:left w:val="none" w:sz="0" w:space="0" w:color="auto"/>
                <w:bottom w:val="none" w:sz="0" w:space="0" w:color="auto"/>
                <w:right w:val="none" w:sz="0" w:space="0" w:color="auto"/>
              </w:divBdr>
              <w:divsChild>
                <w:div w:id="2075273062">
                  <w:marLeft w:val="0"/>
                  <w:marRight w:val="0"/>
                  <w:marTop w:val="0"/>
                  <w:marBottom w:val="0"/>
                  <w:divBdr>
                    <w:top w:val="none" w:sz="0" w:space="0" w:color="auto"/>
                    <w:left w:val="none" w:sz="0" w:space="0" w:color="auto"/>
                    <w:bottom w:val="none" w:sz="0" w:space="0" w:color="auto"/>
                    <w:right w:val="none" w:sz="0" w:space="0" w:color="auto"/>
                  </w:divBdr>
                </w:div>
              </w:divsChild>
            </w:div>
            <w:div w:id="183130718">
              <w:marLeft w:val="0"/>
              <w:marRight w:val="0"/>
              <w:marTop w:val="0"/>
              <w:marBottom w:val="0"/>
              <w:divBdr>
                <w:top w:val="none" w:sz="0" w:space="0" w:color="auto"/>
                <w:left w:val="none" w:sz="0" w:space="0" w:color="auto"/>
                <w:bottom w:val="none" w:sz="0" w:space="0" w:color="auto"/>
                <w:right w:val="none" w:sz="0" w:space="0" w:color="auto"/>
              </w:divBdr>
              <w:divsChild>
                <w:div w:id="767114675">
                  <w:marLeft w:val="0"/>
                  <w:marRight w:val="0"/>
                  <w:marTop w:val="0"/>
                  <w:marBottom w:val="0"/>
                  <w:divBdr>
                    <w:top w:val="none" w:sz="0" w:space="0" w:color="auto"/>
                    <w:left w:val="none" w:sz="0" w:space="0" w:color="auto"/>
                    <w:bottom w:val="none" w:sz="0" w:space="0" w:color="auto"/>
                    <w:right w:val="none" w:sz="0" w:space="0" w:color="auto"/>
                  </w:divBdr>
                </w:div>
              </w:divsChild>
            </w:div>
            <w:div w:id="183981329">
              <w:marLeft w:val="0"/>
              <w:marRight w:val="0"/>
              <w:marTop w:val="0"/>
              <w:marBottom w:val="0"/>
              <w:divBdr>
                <w:top w:val="none" w:sz="0" w:space="0" w:color="auto"/>
                <w:left w:val="none" w:sz="0" w:space="0" w:color="auto"/>
                <w:bottom w:val="none" w:sz="0" w:space="0" w:color="auto"/>
                <w:right w:val="none" w:sz="0" w:space="0" w:color="auto"/>
              </w:divBdr>
              <w:divsChild>
                <w:div w:id="37902773">
                  <w:marLeft w:val="0"/>
                  <w:marRight w:val="0"/>
                  <w:marTop w:val="0"/>
                  <w:marBottom w:val="0"/>
                  <w:divBdr>
                    <w:top w:val="none" w:sz="0" w:space="0" w:color="auto"/>
                    <w:left w:val="none" w:sz="0" w:space="0" w:color="auto"/>
                    <w:bottom w:val="none" w:sz="0" w:space="0" w:color="auto"/>
                    <w:right w:val="none" w:sz="0" w:space="0" w:color="auto"/>
                  </w:divBdr>
                </w:div>
              </w:divsChild>
            </w:div>
            <w:div w:id="184056951">
              <w:marLeft w:val="0"/>
              <w:marRight w:val="0"/>
              <w:marTop w:val="0"/>
              <w:marBottom w:val="0"/>
              <w:divBdr>
                <w:top w:val="none" w:sz="0" w:space="0" w:color="auto"/>
                <w:left w:val="none" w:sz="0" w:space="0" w:color="auto"/>
                <w:bottom w:val="none" w:sz="0" w:space="0" w:color="auto"/>
                <w:right w:val="none" w:sz="0" w:space="0" w:color="auto"/>
              </w:divBdr>
              <w:divsChild>
                <w:div w:id="550651162">
                  <w:marLeft w:val="0"/>
                  <w:marRight w:val="0"/>
                  <w:marTop w:val="0"/>
                  <w:marBottom w:val="0"/>
                  <w:divBdr>
                    <w:top w:val="none" w:sz="0" w:space="0" w:color="auto"/>
                    <w:left w:val="none" w:sz="0" w:space="0" w:color="auto"/>
                    <w:bottom w:val="none" w:sz="0" w:space="0" w:color="auto"/>
                    <w:right w:val="none" w:sz="0" w:space="0" w:color="auto"/>
                  </w:divBdr>
                </w:div>
              </w:divsChild>
            </w:div>
            <w:div w:id="184172478">
              <w:marLeft w:val="0"/>
              <w:marRight w:val="0"/>
              <w:marTop w:val="0"/>
              <w:marBottom w:val="0"/>
              <w:divBdr>
                <w:top w:val="none" w:sz="0" w:space="0" w:color="auto"/>
                <w:left w:val="none" w:sz="0" w:space="0" w:color="auto"/>
                <w:bottom w:val="none" w:sz="0" w:space="0" w:color="auto"/>
                <w:right w:val="none" w:sz="0" w:space="0" w:color="auto"/>
              </w:divBdr>
              <w:divsChild>
                <w:div w:id="1511797891">
                  <w:marLeft w:val="0"/>
                  <w:marRight w:val="0"/>
                  <w:marTop w:val="0"/>
                  <w:marBottom w:val="0"/>
                  <w:divBdr>
                    <w:top w:val="none" w:sz="0" w:space="0" w:color="auto"/>
                    <w:left w:val="none" w:sz="0" w:space="0" w:color="auto"/>
                    <w:bottom w:val="none" w:sz="0" w:space="0" w:color="auto"/>
                    <w:right w:val="none" w:sz="0" w:space="0" w:color="auto"/>
                  </w:divBdr>
                </w:div>
              </w:divsChild>
            </w:div>
            <w:div w:id="189026485">
              <w:marLeft w:val="0"/>
              <w:marRight w:val="0"/>
              <w:marTop w:val="0"/>
              <w:marBottom w:val="0"/>
              <w:divBdr>
                <w:top w:val="none" w:sz="0" w:space="0" w:color="auto"/>
                <w:left w:val="none" w:sz="0" w:space="0" w:color="auto"/>
                <w:bottom w:val="none" w:sz="0" w:space="0" w:color="auto"/>
                <w:right w:val="none" w:sz="0" w:space="0" w:color="auto"/>
              </w:divBdr>
              <w:divsChild>
                <w:div w:id="753554668">
                  <w:marLeft w:val="0"/>
                  <w:marRight w:val="0"/>
                  <w:marTop w:val="0"/>
                  <w:marBottom w:val="0"/>
                  <w:divBdr>
                    <w:top w:val="none" w:sz="0" w:space="0" w:color="auto"/>
                    <w:left w:val="none" w:sz="0" w:space="0" w:color="auto"/>
                    <w:bottom w:val="none" w:sz="0" w:space="0" w:color="auto"/>
                    <w:right w:val="none" w:sz="0" w:space="0" w:color="auto"/>
                  </w:divBdr>
                </w:div>
              </w:divsChild>
            </w:div>
            <w:div w:id="189413711">
              <w:marLeft w:val="0"/>
              <w:marRight w:val="0"/>
              <w:marTop w:val="0"/>
              <w:marBottom w:val="0"/>
              <w:divBdr>
                <w:top w:val="none" w:sz="0" w:space="0" w:color="auto"/>
                <w:left w:val="none" w:sz="0" w:space="0" w:color="auto"/>
                <w:bottom w:val="none" w:sz="0" w:space="0" w:color="auto"/>
                <w:right w:val="none" w:sz="0" w:space="0" w:color="auto"/>
              </w:divBdr>
              <w:divsChild>
                <w:div w:id="518276301">
                  <w:marLeft w:val="0"/>
                  <w:marRight w:val="0"/>
                  <w:marTop w:val="0"/>
                  <w:marBottom w:val="0"/>
                  <w:divBdr>
                    <w:top w:val="none" w:sz="0" w:space="0" w:color="auto"/>
                    <w:left w:val="none" w:sz="0" w:space="0" w:color="auto"/>
                    <w:bottom w:val="none" w:sz="0" w:space="0" w:color="auto"/>
                    <w:right w:val="none" w:sz="0" w:space="0" w:color="auto"/>
                  </w:divBdr>
                </w:div>
              </w:divsChild>
            </w:div>
            <w:div w:id="189416676">
              <w:marLeft w:val="0"/>
              <w:marRight w:val="0"/>
              <w:marTop w:val="300"/>
              <w:marBottom w:val="300"/>
              <w:divBdr>
                <w:top w:val="none" w:sz="0" w:space="0" w:color="auto"/>
                <w:left w:val="none" w:sz="0" w:space="0" w:color="auto"/>
                <w:bottom w:val="none" w:sz="0" w:space="0" w:color="auto"/>
                <w:right w:val="none" w:sz="0" w:space="0" w:color="auto"/>
              </w:divBdr>
            </w:div>
            <w:div w:id="193349346">
              <w:marLeft w:val="0"/>
              <w:marRight w:val="0"/>
              <w:marTop w:val="0"/>
              <w:marBottom w:val="0"/>
              <w:divBdr>
                <w:top w:val="none" w:sz="0" w:space="0" w:color="auto"/>
                <w:left w:val="none" w:sz="0" w:space="0" w:color="auto"/>
                <w:bottom w:val="none" w:sz="0" w:space="0" w:color="auto"/>
                <w:right w:val="none" w:sz="0" w:space="0" w:color="auto"/>
              </w:divBdr>
              <w:divsChild>
                <w:div w:id="1986618776">
                  <w:marLeft w:val="0"/>
                  <w:marRight w:val="0"/>
                  <w:marTop w:val="0"/>
                  <w:marBottom w:val="0"/>
                  <w:divBdr>
                    <w:top w:val="none" w:sz="0" w:space="0" w:color="auto"/>
                    <w:left w:val="none" w:sz="0" w:space="0" w:color="auto"/>
                    <w:bottom w:val="none" w:sz="0" w:space="0" w:color="auto"/>
                    <w:right w:val="none" w:sz="0" w:space="0" w:color="auto"/>
                  </w:divBdr>
                </w:div>
              </w:divsChild>
            </w:div>
            <w:div w:id="195849653">
              <w:marLeft w:val="0"/>
              <w:marRight w:val="0"/>
              <w:marTop w:val="0"/>
              <w:marBottom w:val="0"/>
              <w:divBdr>
                <w:top w:val="none" w:sz="0" w:space="0" w:color="auto"/>
                <w:left w:val="none" w:sz="0" w:space="0" w:color="auto"/>
                <w:bottom w:val="none" w:sz="0" w:space="0" w:color="auto"/>
                <w:right w:val="none" w:sz="0" w:space="0" w:color="auto"/>
              </w:divBdr>
              <w:divsChild>
                <w:div w:id="2087343377">
                  <w:marLeft w:val="0"/>
                  <w:marRight w:val="0"/>
                  <w:marTop w:val="0"/>
                  <w:marBottom w:val="0"/>
                  <w:divBdr>
                    <w:top w:val="none" w:sz="0" w:space="0" w:color="auto"/>
                    <w:left w:val="none" w:sz="0" w:space="0" w:color="auto"/>
                    <w:bottom w:val="none" w:sz="0" w:space="0" w:color="auto"/>
                    <w:right w:val="none" w:sz="0" w:space="0" w:color="auto"/>
                  </w:divBdr>
                </w:div>
              </w:divsChild>
            </w:div>
            <w:div w:id="195853677">
              <w:marLeft w:val="0"/>
              <w:marRight w:val="0"/>
              <w:marTop w:val="0"/>
              <w:marBottom w:val="0"/>
              <w:divBdr>
                <w:top w:val="none" w:sz="0" w:space="0" w:color="auto"/>
                <w:left w:val="none" w:sz="0" w:space="0" w:color="auto"/>
                <w:bottom w:val="none" w:sz="0" w:space="0" w:color="auto"/>
                <w:right w:val="none" w:sz="0" w:space="0" w:color="auto"/>
              </w:divBdr>
              <w:divsChild>
                <w:div w:id="1495219231">
                  <w:marLeft w:val="0"/>
                  <w:marRight w:val="0"/>
                  <w:marTop w:val="0"/>
                  <w:marBottom w:val="0"/>
                  <w:divBdr>
                    <w:top w:val="none" w:sz="0" w:space="0" w:color="auto"/>
                    <w:left w:val="none" w:sz="0" w:space="0" w:color="auto"/>
                    <w:bottom w:val="none" w:sz="0" w:space="0" w:color="auto"/>
                    <w:right w:val="none" w:sz="0" w:space="0" w:color="auto"/>
                  </w:divBdr>
                </w:div>
              </w:divsChild>
            </w:div>
            <w:div w:id="197788619">
              <w:marLeft w:val="0"/>
              <w:marRight w:val="0"/>
              <w:marTop w:val="0"/>
              <w:marBottom w:val="0"/>
              <w:divBdr>
                <w:top w:val="none" w:sz="0" w:space="0" w:color="auto"/>
                <w:left w:val="none" w:sz="0" w:space="0" w:color="auto"/>
                <w:bottom w:val="none" w:sz="0" w:space="0" w:color="auto"/>
                <w:right w:val="none" w:sz="0" w:space="0" w:color="auto"/>
              </w:divBdr>
              <w:divsChild>
                <w:div w:id="511382156">
                  <w:marLeft w:val="0"/>
                  <w:marRight w:val="0"/>
                  <w:marTop w:val="0"/>
                  <w:marBottom w:val="0"/>
                  <w:divBdr>
                    <w:top w:val="none" w:sz="0" w:space="0" w:color="auto"/>
                    <w:left w:val="none" w:sz="0" w:space="0" w:color="auto"/>
                    <w:bottom w:val="none" w:sz="0" w:space="0" w:color="auto"/>
                    <w:right w:val="none" w:sz="0" w:space="0" w:color="auto"/>
                  </w:divBdr>
                </w:div>
              </w:divsChild>
            </w:div>
            <w:div w:id="198053859">
              <w:marLeft w:val="0"/>
              <w:marRight w:val="0"/>
              <w:marTop w:val="0"/>
              <w:marBottom w:val="0"/>
              <w:divBdr>
                <w:top w:val="none" w:sz="0" w:space="0" w:color="auto"/>
                <w:left w:val="none" w:sz="0" w:space="0" w:color="auto"/>
                <w:bottom w:val="none" w:sz="0" w:space="0" w:color="auto"/>
                <w:right w:val="none" w:sz="0" w:space="0" w:color="auto"/>
              </w:divBdr>
              <w:divsChild>
                <w:div w:id="195699418">
                  <w:marLeft w:val="0"/>
                  <w:marRight w:val="0"/>
                  <w:marTop w:val="0"/>
                  <w:marBottom w:val="0"/>
                  <w:divBdr>
                    <w:top w:val="none" w:sz="0" w:space="0" w:color="auto"/>
                    <w:left w:val="none" w:sz="0" w:space="0" w:color="auto"/>
                    <w:bottom w:val="none" w:sz="0" w:space="0" w:color="auto"/>
                    <w:right w:val="none" w:sz="0" w:space="0" w:color="auto"/>
                  </w:divBdr>
                </w:div>
              </w:divsChild>
            </w:div>
            <w:div w:id="198207399">
              <w:marLeft w:val="0"/>
              <w:marRight w:val="0"/>
              <w:marTop w:val="0"/>
              <w:marBottom w:val="0"/>
              <w:divBdr>
                <w:top w:val="none" w:sz="0" w:space="0" w:color="auto"/>
                <w:left w:val="none" w:sz="0" w:space="0" w:color="auto"/>
                <w:bottom w:val="none" w:sz="0" w:space="0" w:color="auto"/>
                <w:right w:val="none" w:sz="0" w:space="0" w:color="auto"/>
              </w:divBdr>
              <w:divsChild>
                <w:div w:id="769088425">
                  <w:marLeft w:val="0"/>
                  <w:marRight w:val="0"/>
                  <w:marTop w:val="0"/>
                  <w:marBottom w:val="0"/>
                  <w:divBdr>
                    <w:top w:val="none" w:sz="0" w:space="0" w:color="auto"/>
                    <w:left w:val="none" w:sz="0" w:space="0" w:color="auto"/>
                    <w:bottom w:val="none" w:sz="0" w:space="0" w:color="auto"/>
                    <w:right w:val="none" w:sz="0" w:space="0" w:color="auto"/>
                  </w:divBdr>
                </w:div>
              </w:divsChild>
            </w:div>
            <w:div w:id="200630850">
              <w:marLeft w:val="0"/>
              <w:marRight w:val="0"/>
              <w:marTop w:val="0"/>
              <w:marBottom w:val="0"/>
              <w:divBdr>
                <w:top w:val="none" w:sz="0" w:space="0" w:color="auto"/>
                <w:left w:val="none" w:sz="0" w:space="0" w:color="auto"/>
                <w:bottom w:val="none" w:sz="0" w:space="0" w:color="auto"/>
                <w:right w:val="none" w:sz="0" w:space="0" w:color="auto"/>
              </w:divBdr>
              <w:divsChild>
                <w:div w:id="1658151122">
                  <w:marLeft w:val="0"/>
                  <w:marRight w:val="0"/>
                  <w:marTop w:val="0"/>
                  <w:marBottom w:val="0"/>
                  <w:divBdr>
                    <w:top w:val="none" w:sz="0" w:space="0" w:color="auto"/>
                    <w:left w:val="none" w:sz="0" w:space="0" w:color="auto"/>
                    <w:bottom w:val="none" w:sz="0" w:space="0" w:color="auto"/>
                    <w:right w:val="none" w:sz="0" w:space="0" w:color="auto"/>
                  </w:divBdr>
                </w:div>
              </w:divsChild>
            </w:div>
            <w:div w:id="201405445">
              <w:marLeft w:val="0"/>
              <w:marRight w:val="0"/>
              <w:marTop w:val="0"/>
              <w:marBottom w:val="0"/>
              <w:divBdr>
                <w:top w:val="none" w:sz="0" w:space="0" w:color="auto"/>
                <w:left w:val="none" w:sz="0" w:space="0" w:color="auto"/>
                <w:bottom w:val="none" w:sz="0" w:space="0" w:color="auto"/>
                <w:right w:val="none" w:sz="0" w:space="0" w:color="auto"/>
              </w:divBdr>
              <w:divsChild>
                <w:div w:id="333261757">
                  <w:marLeft w:val="0"/>
                  <w:marRight w:val="0"/>
                  <w:marTop w:val="0"/>
                  <w:marBottom w:val="0"/>
                  <w:divBdr>
                    <w:top w:val="none" w:sz="0" w:space="0" w:color="auto"/>
                    <w:left w:val="none" w:sz="0" w:space="0" w:color="auto"/>
                    <w:bottom w:val="none" w:sz="0" w:space="0" w:color="auto"/>
                    <w:right w:val="none" w:sz="0" w:space="0" w:color="auto"/>
                  </w:divBdr>
                </w:div>
              </w:divsChild>
            </w:div>
            <w:div w:id="202448660">
              <w:marLeft w:val="0"/>
              <w:marRight w:val="0"/>
              <w:marTop w:val="0"/>
              <w:marBottom w:val="0"/>
              <w:divBdr>
                <w:top w:val="none" w:sz="0" w:space="0" w:color="auto"/>
                <w:left w:val="none" w:sz="0" w:space="0" w:color="auto"/>
                <w:bottom w:val="none" w:sz="0" w:space="0" w:color="auto"/>
                <w:right w:val="none" w:sz="0" w:space="0" w:color="auto"/>
              </w:divBdr>
              <w:divsChild>
                <w:div w:id="1391615083">
                  <w:marLeft w:val="0"/>
                  <w:marRight w:val="0"/>
                  <w:marTop w:val="0"/>
                  <w:marBottom w:val="0"/>
                  <w:divBdr>
                    <w:top w:val="none" w:sz="0" w:space="0" w:color="auto"/>
                    <w:left w:val="none" w:sz="0" w:space="0" w:color="auto"/>
                    <w:bottom w:val="none" w:sz="0" w:space="0" w:color="auto"/>
                    <w:right w:val="none" w:sz="0" w:space="0" w:color="auto"/>
                  </w:divBdr>
                </w:div>
              </w:divsChild>
            </w:div>
            <w:div w:id="202638774">
              <w:marLeft w:val="0"/>
              <w:marRight w:val="0"/>
              <w:marTop w:val="0"/>
              <w:marBottom w:val="0"/>
              <w:divBdr>
                <w:top w:val="none" w:sz="0" w:space="0" w:color="auto"/>
                <w:left w:val="none" w:sz="0" w:space="0" w:color="auto"/>
                <w:bottom w:val="none" w:sz="0" w:space="0" w:color="auto"/>
                <w:right w:val="none" w:sz="0" w:space="0" w:color="auto"/>
              </w:divBdr>
              <w:divsChild>
                <w:div w:id="2125729880">
                  <w:marLeft w:val="0"/>
                  <w:marRight w:val="0"/>
                  <w:marTop w:val="0"/>
                  <w:marBottom w:val="0"/>
                  <w:divBdr>
                    <w:top w:val="none" w:sz="0" w:space="0" w:color="auto"/>
                    <w:left w:val="none" w:sz="0" w:space="0" w:color="auto"/>
                    <w:bottom w:val="none" w:sz="0" w:space="0" w:color="auto"/>
                    <w:right w:val="none" w:sz="0" w:space="0" w:color="auto"/>
                  </w:divBdr>
                </w:div>
              </w:divsChild>
            </w:div>
            <w:div w:id="205066686">
              <w:marLeft w:val="0"/>
              <w:marRight w:val="0"/>
              <w:marTop w:val="0"/>
              <w:marBottom w:val="0"/>
              <w:divBdr>
                <w:top w:val="none" w:sz="0" w:space="0" w:color="auto"/>
                <w:left w:val="none" w:sz="0" w:space="0" w:color="auto"/>
                <w:bottom w:val="none" w:sz="0" w:space="0" w:color="auto"/>
                <w:right w:val="none" w:sz="0" w:space="0" w:color="auto"/>
              </w:divBdr>
              <w:divsChild>
                <w:div w:id="625162184">
                  <w:marLeft w:val="0"/>
                  <w:marRight w:val="0"/>
                  <w:marTop w:val="0"/>
                  <w:marBottom w:val="0"/>
                  <w:divBdr>
                    <w:top w:val="none" w:sz="0" w:space="0" w:color="auto"/>
                    <w:left w:val="none" w:sz="0" w:space="0" w:color="auto"/>
                    <w:bottom w:val="none" w:sz="0" w:space="0" w:color="auto"/>
                    <w:right w:val="none" w:sz="0" w:space="0" w:color="auto"/>
                  </w:divBdr>
                </w:div>
              </w:divsChild>
            </w:div>
            <w:div w:id="205726532">
              <w:marLeft w:val="0"/>
              <w:marRight w:val="0"/>
              <w:marTop w:val="0"/>
              <w:marBottom w:val="0"/>
              <w:divBdr>
                <w:top w:val="none" w:sz="0" w:space="0" w:color="auto"/>
                <w:left w:val="none" w:sz="0" w:space="0" w:color="auto"/>
                <w:bottom w:val="none" w:sz="0" w:space="0" w:color="auto"/>
                <w:right w:val="none" w:sz="0" w:space="0" w:color="auto"/>
              </w:divBdr>
              <w:divsChild>
                <w:div w:id="735905309">
                  <w:marLeft w:val="0"/>
                  <w:marRight w:val="0"/>
                  <w:marTop w:val="0"/>
                  <w:marBottom w:val="0"/>
                  <w:divBdr>
                    <w:top w:val="none" w:sz="0" w:space="0" w:color="auto"/>
                    <w:left w:val="none" w:sz="0" w:space="0" w:color="auto"/>
                    <w:bottom w:val="none" w:sz="0" w:space="0" w:color="auto"/>
                    <w:right w:val="none" w:sz="0" w:space="0" w:color="auto"/>
                  </w:divBdr>
                </w:div>
              </w:divsChild>
            </w:div>
            <w:div w:id="206798173">
              <w:marLeft w:val="0"/>
              <w:marRight w:val="0"/>
              <w:marTop w:val="0"/>
              <w:marBottom w:val="0"/>
              <w:divBdr>
                <w:top w:val="none" w:sz="0" w:space="0" w:color="auto"/>
                <w:left w:val="none" w:sz="0" w:space="0" w:color="auto"/>
                <w:bottom w:val="none" w:sz="0" w:space="0" w:color="auto"/>
                <w:right w:val="none" w:sz="0" w:space="0" w:color="auto"/>
              </w:divBdr>
              <w:divsChild>
                <w:div w:id="780346621">
                  <w:marLeft w:val="0"/>
                  <w:marRight w:val="0"/>
                  <w:marTop w:val="0"/>
                  <w:marBottom w:val="0"/>
                  <w:divBdr>
                    <w:top w:val="none" w:sz="0" w:space="0" w:color="auto"/>
                    <w:left w:val="none" w:sz="0" w:space="0" w:color="auto"/>
                    <w:bottom w:val="none" w:sz="0" w:space="0" w:color="auto"/>
                    <w:right w:val="none" w:sz="0" w:space="0" w:color="auto"/>
                  </w:divBdr>
                </w:div>
              </w:divsChild>
            </w:div>
            <w:div w:id="208685755">
              <w:marLeft w:val="0"/>
              <w:marRight w:val="0"/>
              <w:marTop w:val="0"/>
              <w:marBottom w:val="0"/>
              <w:divBdr>
                <w:top w:val="none" w:sz="0" w:space="0" w:color="auto"/>
                <w:left w:val="none" w:sz="0" w:space="0" w:color="auto"/>
                <w:bottom w:val="none" w:sz="0" w:space="0" w:color="auto"/>
                <w:right w:val="none" w:sz="0" w:space="0" w:color="auto"/>
              </w:divBdr>
              <w:divsChild>
                <w:div w:id="1604144884">
                  <w:marLeft w:val="0"/>
                  <w:marRight w:val="0"/>
                  <w:marTop w:val="0"/>
                  <w:marBottom w:val="0"/>
                  <w:divBdr>
                    <w:top w:val="none" w:sz="0" w:space="0" w:color="auto"/>
                    <w:left w:val="none" w:sz="0" w:space="0" w:color="auto"/>
                    <w:bottom w:val="none" w:sz="0" w:space="0" w:color="auto"/>
                    <w:right w:val="none" w:sz="0" w:space="0" w:color="auto"/>
                  </w:divBdr>
                </w:div>
              </w:divsChild>
            </w:div>
            <w:div w:id="209849980">
              <w:marLeft w:val="0"/>
              <w:marRight w:val="0"/>
              <w:marTop w:val="0"/>
              <w:marBottom w:val="0"/>
              <w:divBdr>
                <w:top w:val="none" w:sz="0" w:space="0" w:color="auto"/>
                <w:left w:val="none" w:sz="0" w:space="0" w:color="auto"/>
                <w:bottom w:val="none" w:sz="0" w:space="0" w:color="auto"/>
                <w:right w:val="none" w:sz="0" w:space="0" w:color="auto"/>
              </w:divBdr>
              <w:divsChild>
                <w:div w:id="1447651332">
                  <w:marLeft w:val="0"/>
                  <w:marRight w:val="0"/>
                  <w:marTop w:val="0"/>
                  <w:marBottom w:val="0"/>
                  <w:divBdr>
                    <w:top w:val="none" w:sz="0" w:space="0" w:color="auto"/>
                    <w:left w:val="none" w:sz="0" w:space="0" w:color="auto"/>
                    <w:bottom w:val="none" w:sz="0" w:space="0" w:color="auto"/>
                    <w:right w:val="none" w:sz="0" w:space="0" w:color="auto"/>
                  </w:divBdr>
                </w:div>
              </w:divsChild>
            </w:div>
            <w:div w:id="212618730">
              <w:marLeft w:val="0"/>
              <w:marRight w:val="0"/>
              <w:marTop w:val="0"/>
              <w:marBottom w:val="0"/>
              <w:divBdr>
                <w:top w:val="none" w:sz="0" w:space="0" w:color="auto"/>
                <w:left w:val="none" w:sz="0" w:space="0" w:color="auto"/>
                <w:bottom w:val="none" w:sz="0" w:space="0" w:color="auto"/>
                <w:right w:val="none" w:sz="0" w:space="0" w:color="auto"/>
              </w:divBdr>
              <w:divsChild>
                <w:div w:id="693460248">
                  <w:marLeft w:val="0"/>
                  <w:marRight w:val="0"/>
                  <w:marTop w:val="0"/>
                  <w:marBottom w:val="0"/>
                  <w:divBdr>
                    <w:top w:val="none" w:sz="0" w:space="0" w:color="auto"/>
                    <w:left w:val="none" w:sz="0" w:space="0" w:color="auto"/>
                    <w:bottom w:val="none" w:sz="0" w:space="0" w:color="auto"/>
                    <w:right w:val="none" w:sz="0" w:space="0" w:color="auto"/>
                  </w:divBdr>
                </w:div>
              </w:divsChild>
            </w:div>
            <w:div w:id="212623361">
              <w:marLeft w:val="0"/>
              <w:marRight w:val="0"/>
              <w:marTop w:val="300"/>
              <w:marBottom w:val="300"/>
              <w:divBdr>
                <w:top w:val="none" w:sz="0" w:space="0" w:color="auto"/>
                <w:left w:val="none" w:sz="0" w:space="0" w:color="auto"/>
                <w:bottom w:val="none" w:sz="0" w:space="0" w:color="auto"/>
                <w:right w:val="none" w:sz="0" w:space="0" w:color="auto"/>
              </w:divBdr>
            </w:div>
            <w:div w:id="213086748">
              <w:marLeft w:val="0"/>
              <w:marRight w:val="0"/>
              <w:marTop w:val="0"/>
              <w:marBottom w:val="0"/>
              <w:divBdr>
                <w:top w:val="none" w:sz="0" w:space="0" w:color="auto"/>
                <w:left w:val="none" w:sz="0" w:space="0" w:color="auto"/>
                <w:bottom w:val="none" w:sz="0" w:space="0" w:color="auto"/>
                <w:right w:val="none" w:sz="0" w:space="0" w:color="auto"/>
              </w:divBdr>
              <w:divsChild>
                <w:div w:id="199510655">
                  <w:marLeft w:val="0"/>
                  <w:marRight w:val="0"/>
                  <w:marTop w:val="0"/>
                  <w:marBottom w:val="0"/>
                  <w:divBdr>
                    <w:top w:val="none" w:sz="0" w:space="0" w:color="auto"/>
                    <w:left w:val="none" w:sz="0" w:space="0" w:color="auto"/>
                    <w:bottom w:val="none" w:sz="0" w:space="0" w:color="auto"/>
                    <w:right w:val="none" w:sz="0" w:space="0" w:color="auto"/>
                  </w:divBdr>
                </w:div>
              </w:divsChild>
            </w:div>
            <w:div w:id="213734529">
              <w:marLeft w:val="0"/>
              <w:marRight w:val="0"/>
              <w:marTop w:val="0"/>
              <w:marBottom w:val="0"/>
              <w:divBdr>
                <w:top w:val="none" w:sz="0" w:space="0" w:color="auto"/>
                <w:left w:val="none" w:sz="0" w:space="0" w:color="auto"/>
                <w:bottom w:val="none" w:sz="0" w:space="0" w:color="auto"/>
                <w:right w:val="none" w:sz="0" w:space="0" w:color="auto"/>
              </w:divBdr>
              <w:divsChild>
                <w:div w:id="1528130448">
                  <w:marLeft w:val="0"/>
                  <w:marRight w:val="0"/>
                  <w:marTop w:val="0"/>
                  <w:marBottom w:val="0"/>
                  <w:divBdr>
                    <w:top w:val="none" w:sz="0" w:space="0" w:color="auto"/>
                    <w:left w:val="none" w:sz="0" w:space="0" w:color="auto"/>
                    <w:bottom w:val="none" w:sz="0" w:space="0" w:color="auto"/>
                    <w:right w:val="none" w:sz="0" w:space="0" w:color="auto"/>
                  </w:divBdr>
                </w:div>
              </w:divsChild>
            </w:div>
            <w:div w:id="214781771">
              <w:marLeft w:val="0"/>
              <w:marRight w:val="0"/>
              <w:marTop w:val="0"/>
              <w:marBottom w:val="0"/>
              <w:divBdr>
                <w:top w:val="none" w:sz="0" w:space="0" w:color="auto"/>
                <w:left w:val="none" w:sz="0" w:space="0" w:color="auto"/>
                <w:bottom w:val="none" w:sz="0" w:space="0" w:color="auto"/>
                <w:right w:val="none" w:sz="0" w:space="0" w:color="auto"/>
              </w:divBdr>
              <w:divsChild>
                <w:div w:id="602878429">
                  <w:marLeft w:val="0"/>
                  <w:marRight w:val="0"/>
                  <w:marTop w:val="0"/>
                  <w:marBottom w:val="0"/>
                  <w:divBdr>
                    <w:top w:val="none" w:sz="0" w:space="0" w:color="auto"/>
                    <w:left w:val="none" w:sz="0" w:space="0" w:color="auto"/>
                    <w:bottom w:val="none" w:sz="0" w:space="0" w:color="auto"/>
                    <w:right w:val="none" w:sz="0" w:space="0" w:color="auto"/>
                  </w:divBdr>
                </w:div>
              </w:divsChild>
            </w:div>
            <w:div w:id="216209883">
              <w:marLeft w:val="0"/>
              <w:marRight w:val="0"/>
              <w:marTop w:val="300"/>
              <w:marBottom w:val="300"/>
              <w:divBdr>
                <w:top w:val="none" w:sz="0" w:space="0" w:color="auto"/>
                <w:left w:val="none" w:sz="0" w:space="0" w:color="auto"/>
                <w:bottom w:val="none" w:sz="0" w:space="0" w:color="auto"/>
                <w:right w:val="none" w:sz="0" w:space="0" w:color="auto"/>
              </w:divBdr>
            </w:div>
            <w:div w:id="216743437">
              <w:marLeft w:val="0"/>
              <w:marRight w:val="0"/>
              <w:marTop w:val="0"/>
              <w:marBottom w:val="0"/>
              <w:divBdr>
                <w:top w:val="none" w:sz="0" w:space="0" w:color="auto"/>
                <w:left w:val="none" w:sz="0" w:space="0" w:color="auto"/>
                <w:bottom w:val="none" w:sz="0" w:space="0" w:color="auto"/>
                <w:right w:val="none" w:sz="0" w:space="0" w:color="auto"/>
              </w:divBdr>
              <w:divsChild>
                <w:div w:id="284774996">
                  <w:marLeft w:val="0"/>
                  <w:marRight w:val="0"/>
                  <w:marTop w:val="0"/>
                  <w:marBottom w:val="0"/>
                  <w:divBdr>
                    <w:top w:val="none" w:sz="0" w:space="0" w:color="auto"/>
                    <w:left w:val="none" w:sz="0" w:space="0" w:color="auto"/>
                    <w:bottom w:val="none" w:sz="0" w:space="0" w:color="auto"/>
                    <w:right w:val="none" w:sz="0" w:space="0" w:color="auto"/>
                  </w:divBdr>
                </w:div>
              </w:divsChild>
            </w:div>
            <w:div w:id="218321304">
              <w:marLeft w:val="0"/>
              <w:marRight w:val="0"/>
              <w:marTop w:val="0"/>
              <w:marBottom w:val="0"/>
              <w:divBdr>
                <w:top w:val="none" w:sz="0" w:space="0" w:color="auto"/>
                <w:left w:val="none" w:sz="0" w:space="0" w:color="auto"/>
                <w:bottom w:val="none" w:sz="0" w:space="0" w:color="auto"/>
                <w:right w:val="none" w:sz="0" w:space="0" w:color="auto"/>
              </w:divBdr>
              <w:divsChild>
                <w:div w:id="495537144">
                  <w:marLeft w:val="0"/>
                  <w:marRight w:val="0"/>
                  <w:marTop w:val="0"/>
                  <w:marBottom w:val="0"/>
                  <w:divBdr>
                    <w:top w:val="none" w:sz="0" w:space="0" w:color="auto"/>
                    <w:left w:val="none" w:sz="0" w:space="0" w:color="auto"/>
                    <w:bottom w:val="none" w:sz="0" w:space="0" w:color="auto"/>
                    <w:right w:val="none" w:sz="0" w:space="0" w:color="auto"/>
                  </w:divBdr>
                </w:div>
              </w:divsChild>
            </w:div>
            <w:div w:id="219486124">
              <w:marLeft w:val="0"/>
              <w:marRight w:val="0"/>
              <w:marTop w:val="300"/>
              <w:marBottom w:val="300"/>
              <w:divBdr>
                <w:top w:val="none" w:sz="0" w:space="0" w:color="auto"/>
                <w:left w:val="none" w:sz="0" w:space="0" w:color="auto"/>
                <w:bottom w:val="none" w:sz="0" w:space="0" w:color="auto"/>
                <w:right w:val="none" w:sz="0" w:space="0" w:color="auto"/>
              </w:divBdr>
            </w:div>
            <w:div w:id="220334562">
              <w:marLeft w:val="0"/>
              <w:marRight w:val="0"/>
              <w:marTop w:val="0"/>
              <w:marBottom w:val="0"/>
              <w:divBdr>
                <w:top w:val="none" w:sz="0" w:space="0" w:color="auto"/>
                <w:left w:val="none" w:sz="0" w:space="0" w:color="auto"/>
                <w:bottom w:val="none" w:sz="0" w:space="0" w:color="auto"/>
                <w:right w:val="none" w:sz="0" w:space="0" w:color="auto"/>
              </w:divBdr>
              <w:divsChild>
                <w:div w:id="1515610282">
                  <w:marLeft w:val="0"/>
                  <w:marRight w:val="0"/>
                  <w:marTop w:val="0"/>
                  <w:marBottom w:val="0"/>
                  <w:divBdr>
                    <w:top w:val="none" w:sz="0" w:space="0" w:color="auto"/>
                    <w:left w:val="none" w:sz="0" w:space="0" w:color="auto"/>
                    <w:bottom w:val="none" w:sz="0" w:space="0" w:color="auto"/>
                    <w:right w:val="none" w:sz="0" w:space="0" w:color="auto"/>
                  </w:divBdr>
                </w:div>
              </w:divsChild>
            </w:div>
            <w:div w:id="223880804">
              <w:marLeft w:val="0"/>
              <w:marRight w:val="0"/>
              <w:marTop w:val="0"/>
              <w:marBottom w:val="0"/>
              <w:divBdr>
                <w:top w:val="none" w:sz="0" w:space="0" w:color="auto"/>
                <w:left w:val="none" w:sz="0" w:space="0" w:color="auto"/>
                <w:bottom w:val="none" w:sz="0" w:space="0" w:color="auto"/>
                <w:right w:val="none" w:sz="0" w:space="0" w:color="auto"/>
              </w:divBdr>
              <w:divsChild>
                <w:div w:id="1300841030">
                  <w:marLeft w:val="0"/>
                  <w:marRight w:val="0"/>
                  <w:marTop w:val="0"/>
                  <w:marBottom w:val="0"/>
                  <w:divBdr>
                    <w:top w:val="none" w:sz="0" w:space="0" w:color="auto"/>
                    <w:left w:val="none" w:sz="0" w:space="0" w:color="auto"/>
                    <w:bottom w:val="none" w:sz="0" w:space="0" w:color="auto"/>
                    <w:right w:val="none" w:sz="0" w:space="0" w:color="auto"/>
                  </w:divBdr>
                </w:div>
              </w:divsChild>
            </w:div>
            <w:div w:id="224535135">
              <w:marLeft w:val="0"/>
              <w:marRight w:val="0"/>
              <w:marTop w:val="300"/>
              <w:marBottom w:val="300"/>
              <w:divBdr>
                <w:top w:val="none" w:sz="0" w:space="0" w:color="auto"/>
                <w:left w:val="none" w:sz="0" w:space="0" w:color="auto"/>
                <w:bottom w:val="none" w:sz="0" w:space="0" w:color="auto"/>
                <w:right w:val="none" w:sz="0" w:space="0" w:color="auto"/>
              </w:divBdr>
            </w:div>
            <w:div w:id="225145838">
              <w:marLeft w:val="0"/>
              <w:marRight w:val="0"/>
              <w:marTop w:val="0"/>
              <w:marBottom w:val="0"/>
              <w:divBdr>
                <w:top w:val="none" w:sz="0" w:space="0" w:color="auto"/>
                <w:left w:val="none" w:sz="0" w:space="0" w:color="auto"/>
                <w:bottom w:val="none" w:sz="0" w:space="0" w:color="auto"/>
                <w:right w:val="none" w:sz="0" w:space="0" w:color="auto"/>
              </w:divBdr>
              <w:divsChild>
                <w:div w:id="1082096315">
                  <w:marLeft w:val="0"/>
                  <w:marRight w:val="0"/>
                  <w:marTop w:val="0"/>
                  <w:marBottom w:val="0"/>
                  <w:divBdr>
                    <w:top w:val="none" w:sz="0" w:space="0" w:color="auto"/>
                    <w:left w:val="none" w:sz="0" w:space="0" w:color="auto"/>
                    <w:bottom w:val="none" w:sz="0" w:space="0" w:color="auto"/>
                    <w:right w:val="none" w:sz="0" w:space="0" w:color="auto"/>
                  </w:divBdr>
                </w:div>
              </w:divsChild>
            </w:div>
            <w:div w:id="227541953">
              <w:marLeft w:val="0"/>
              <w:marRight w:val="0"/>
              <w:marTop w:val="0"/>
              <w:marBottom w:val="0"/>
              <w:divBdr>
                <w:top w:val="none" w:sz="0" w:space="0" w:color="auto"/>
                <w:left w:val="none" w:sz="0" w:space="0" w:color="auto"/>
                <w:bottom w:val="none" w:sz="0" w:space="0" w:color="auto"/>
                <w:right w:val="none" w:sz="0" w:space="0" w:color="auto"/>
              </w:divBdr>
              <w:divsChild>
                <w:div w:id="478037924">
                  <w:marLeft w:val="0"/>
                  <w:marRight w:val="0"/>
                  <w:marTop w:val="0"/>
                  <w:marBottom w:val="0"/>
                  <w:divBdr>
                    <w:top w:val="none" w:sz="0" w:space="0" w:color="auto"/>
                    <w:left w:val="none" w:sz="0" w:space="0" w:color="auto"/>
                    <w:bottom w:val="none" w:sz="0" w:space="0" w:color="auto"/>
                    <w:right w:val="none" w:sz="0" w:space="0" w:color="auto"/>
                  </w:divBdr>
                </w:div>
              </w:divsChild>
            </w:div>
            <w:div w:id="229730662">
              <w:marLeft w:val="0"/>
              <w:marRight w:val="0"/>
              <w:marTop w:val="0"/>
              <w:marBottom w:val="0"/>
              <w:divBdr>
                <w:top w:val="none" w:sz="0" w:space="0" w:color="auto"/>
                <w:left w:val="none" w:sz="0" w:space="0" w:color="auto"/>
                <w:bottom w:val="none" w:sz="0" w:space="0" w:color="auto"/>
                <w:right w:val="none" w:sz="0" w:space="0" w:color="auto"/>
              </w:divBdr>
              <w:divsChild>
                <w:div w:id="207688138">
                  <w:marLeft w:val="0"/>
                  <w:marRight w:val="0"/>
                  <w:marTop w:val="0"/>
                  <w:marBottom w:val="0"/>
                  <w:divBdr>
                    <w:top w:val="none" w:sz="0" w:space="0" w:color="auto"/>
                    <w:left w:val="none" w:sz="0" w:space="0" w:color="auto"/>
                    <w:bottom w:val="none" w:sz="0" w:space="0" w:color="auto"/>
                    <w:right w:val="none" w:sz="0" w:space="0" w:color="auto"/>
                  </w:divBdr>
                </w:div>
              </w:divsChild>
            </w:div>
            <w:div w:id="229849199">
              <w:marLeft w:val="0"/>
              <w:marRight w:val="0"/>
              <w:marTop w:val="0"/>
              <w:marBottom w:val="0"/>
              <w:divBdr>
                <w:top w:val="none" w:sz="0" w:space="0" w:color="auto"/>
                <w:left w:val="none" w:sz="0" w:space="0" w:color="auto"/>
                <w:bottom w:val="none" w:sz="0" w:space="0" w:color="auto"/>
                <w:right w:val="none" w:sz="0" w:space="0" w:color="auto"/>
              </w:divBdr>
              <w:divsChild>
                <w:div w:id="640576380">
                  <w:marLeft w:val="0"/>
                  <w:marRight w:val="0"/>
                  <w:marTop w:val="0"/>
                  <w:marBottom w:val="0"/>
                  <w:divBdr>
                    <w:top w:val="none" w:sz="0" w:space="0" w:color="auto"/>
                    <w:left w:val="none" w:sz="0" w:space="0" w:color="auto"/>
                    <w:bottom w:val="none" w:sz="0" w:space="0" w:color="auto"/>
                    <w:right w:val="none" w:sz="0" w:space="0" w:color="auto"/>
                  </w:divBdr>
                </w:div>
              </w:divsChild>
            </w:div>
            <w:div w:id="229921407">
              <w:marLeft w:val="0"/>
              <w:marRight w:val="0"/>
              <w:marTop w:val="0"/>
              <w:marBottom w:val="0"/>
              <w:divBdr>
                <w:top w:val="none" w:sz="0" w:space="0" w:color="auto"/>
                <w:left w:val="none" w:sz="0" w:space="0" w:color="auto"/>
                <w:bottom w:val="none" w:sz="0" w:space="0" w:color="auto"/>
                <w:right w:val="none" w:sz="0" w:space="0" w:color="auto"/>
              </w:divBdr>
              <w:divsChild>
                <w:div w:id="1042094315">
                  <w:marLeft w:val="0"/>
                  <w:marRight w:val="0"/>
                  <w:marTop w:val="0"/>
                  <w:marBottom w:val="0"/>
                  <w:divBdr>
                    <w:top w:val="none" w:sz="0" w:space="0" w:color="auto"/>
                    <w:left w:val="none" w:sz="0" w:space="0" w:color="auto"/>
                    <w:bottom w:val="none" w:sz="0" w:space="0" w:color="auto"/>
                    <w:right w:val="none" w:sz="0" w:space="0" w:color="auto"/>
                  </w:divBdr>
                </w:div>
              </w:divsChild>
            </w:div>
            <w:div w:id="231426642">
              <w:marLeft w:val="0"/>
              <w:marRight w:val="0"/>
              <w:marTop w:val="0"/>
              <w:marBottom w:val="0"/>
              <w:divBdr>
                <w:top w:val="none" w:sz="0" w:space="0" w:color="auto"/>
                <w:left w:val="none" w:sz="0" w:space="0" w:color="auto"/>
                <w:bottom w:val="none" w:sz="0" w:space="0" w:color="auto"/>
                <w:right w:val="none" w:sz="0" w:space="0" w:color="auto"/>
              </w:divBdr>
              <w:divsChild>
                <w:div w:id="1795514115">
                  <w:marLeft w:val="0"/>
                  <w:marRight w:val="0"/>
                  <w:marTop w:val="0"/>
                  <w:marBottom w:val="0"/>
                  <w:divBdr>
                    <w:top w:val="none" w:sz="0" w:space="0" w:color="auto"/>
                    <w:left w:val="none" w:sz="0" w:space="0" w:color="auto"/>
                    <w:bottom w:val="none" w:sz="0" w:space="0" w:color="auto"/>
                    <w:right w:val="none" w:sz="0" w:space="0" w:color="auto"/>
                  </w:divBdr>
                </w:div>
              </w:divsChild>
            </w:div>
            <w:div w:id="232543282">
              <w:marLeft w:val="0"/>
              <w:marRight w:val="0"/>
              <w:marTop w:val="0"/>
              <w:marBottom w:val="0"/>
              <w:divBdr>
                <w:top w:val="none" w:sz="0" w:space="0" w:color="auto"/>
                <w:left w:val="none" w:sz="0" w:space="0" w:color="auto"/>
                <w:bottom w:val="none" w:sz="0" w:space="0" w:color="auto"/>
                <w:right w:val="none" w:sz="0" w:space="0" w:color="auto"/>
              </w:divBdr>
              <w:divsChild>
                <w:div w:id="2028288144">
                  <w:marLeft w:val="0"/>
                  <w:marRight w:val="0"/>
                  <w:marTop w:val="0"/>
                  <w:marBottom w:val="0"/>
                  <w:divBdr>
                    <w:top w:val="none" w:sz="0" w:space="0" w:color="auto"/>
                    <w:left w:val="none" w:sz="0" w:space="0" w:color="auto"/>
                    <w:bottom w:val="none" w:sz="0" w:space="0" w:color="auto"/>
                    <w:right w:val="none" w:sz="0" w:space="0" w:color="auto"/>
                  </w:divBdr>
                </w:div>
              </w:divsChild>
            </w:div>
            <w:div w:id="232786756">
              <w:marLeft w:val="0"/>
              <w:marRight w:val="0"/>
              <w:marTop w:val="0"/>
              <w:marBottom w:val="0"/>
              <w:divBdr>
                <w:top w:val="none" w:sz="0" w:space="0" w:color="auto"/>
                <w:left w:val="none" w:sz="0" w:space="0" w:color="auto"/>
                <w:bottom w:val="none" w:sz="0" w:space="0" w:color="auto"/>
                <w:right w:val="none" w:sz="0" w:space="0" w:color="auto"/>
              </w:divBdr>
              <w:divsChild>
                <w:div w:id="187106805">
                  <w:marLeft w:val="0"/>
                  <w:marRight w:val="0"/>
                  <w:marTop w:val="0"/>
                  <w:marBottom w:val="0"/>
                  <w:divBdr>
                    <w:top w:val="none" w:sz="0" w:space="0" w:color="auto"/>
                    <w:left w:val="none" w:sz="0" w:space="0" w:color="auto"/>
                    <w:bottom w:val="none" w:sz="0" w:space="0" w:color="auto"/>
                    <w:right w:val="none" w:sz="0" w:space="0" w:color="auto"/>
                  </w:divBdr>
                </w:div>
              </w:divsChild>
            </w:div>
            <w:div w:id="233469556">
              <w:marLeft w:val="0"/>
              <w:marRight w:val="0"/>
              <w:marTop w:val="0"/>
              <w:marBottom w:val="0"/>
              <w:divBdr>
                <w:top w:val="none" w:sz="0" w:space="0" w:color="auto"/>
                <w:left w:val="none" w:sz="0" w:space="0" w:color="auto"/>
                <w:bottom w:val="none" w:sz="0" w:space="0" w:color="auto"/>
                <w:right w:val="none" w:sz="0" w:space="0" w:color="auto"/>
              </w:divBdr>
              <w:divsChild>
                <w:div w:id="1904556697">
                  <w:marLeft w:val="0"/>
                  <w:marRight w:val="0"/>
                  <w:marTop w:val="0"/>
                  <w:marBottom w:val="0"/>
                  <w:divBdr>
                    <w:top w:val="none" w:sz="0" w:space="0" w:color="auto"/>
                    <w:left w:val="none" w:sz="0" w:space="0" w:color="auto"/>
                    <w:bottom w:val="none" w:sz="0" w:space="0" w:color="auto"/>
                    <w:right w:val="none" w:sz="0" w:space="0" w:color="auto"/>
                  </w:divBdr>
                </w:div>
              </w:divsChild>
            </w:div>
            <w:div w:id="233709897">
              <w:marLeft w:val="0"/>
              <w:marRight w:val="0"/>
              <w:marTop w:val="0"/>
              <w:marBottom w:val="0"/>
              <w:divBdr>
                <w:top w:val="none" w:sz="0" w:space="0" w:color="auto"/>
                <w:left w:val="none" w:sz="0" w:space="0" w:color="auto"/>
                <w:bottom w:val="none" w:sz="0" w:space="0" w:color="auto"/>
                <w:right w:val="none" w:sz="0" w:space="0" w:color="auto"/>
              </w:divBdr>
              <w:divsChild>
                <w:div w:id="529804625">
                  <w:marLeft w:val="0"/>
                  <w:marRight w:val="0"/>
                  <w:marTop w:val="0"/>
                  <w:marBottom w:val="0"/>
                  <w:divBdr>
                    <w:top w:val="none" w:sz="0" w:space="0" w:color="auto"/>
                    <w:left w:val="none" w:sz="0" w:space="0" w:color="auto"/>
                    <w:bottom w:val="none" w:sz="0" w:space="0" w:color="auto"/>
                    <w:right w:val="none" w:sz="0" w:space="0" w:color="auto"/>
                  </w:divBdr>
                </w:div>
              </w:divsChild>
            </w:div>
            <w:div w:id="235938673">
              <w:marLeft w:val="0"/>
              <w:marRight w:val="0"/>
              <w:marTop w:val="0"/>
              <w:marBottom w:val="0"/>
              <w:divBdr>
                <w:top w:val="none" w:sz="0" w:space="0" w:color="auto"/>
                <w:left w:val="none" w:sz="0" w:space="0" w:color="auto"/>
                <w:bottom w:val="none" w:sz="0" w:space="0" w:color="auto"/>
                <w:right w:val="none" w:sz="0" w:space="0" w:color="auto"/>
              </w:divBdr>
              <w:divsChild>
                <w:div w:id="1251086401">
                  <w:marLeft w:val="0"/>
                  <w:marRight w:val="0"/>
                  <w:marTop w:val="0"/>
                  <w:marBottom w:val="0"/>
                  <w:divBdr>
                    <w:top w:val="none" w:sz="0" w:space="0" w:color="auto"/>
                    <w:left w:val="none" w:sz="0" w:space="0" w:color="auto"/>
                    <w:bottom w:val="none" w:sz="0" w:space="0" w:color="auto"/>
                    <w:right w:val="none" w:sz="0" w:space="0" w:color="auto"/>
                  </w:divBdr>
                </w:div>
              </w:divsChild>
            </w:div>
            <w:div w:id="235943728">
              <w:marLeft w:val="0"/>
              <w:marRight w:val="0"/>
              <w:marTop w:val="0"/>
              <w:marBottom w:val="0"/>
              <w:divBdr>
                <w:top w:val="none" w:sz="0" w:space="0" w:color="auto"/>
                <w:left w:val="none" w:sz="0" w:space="0" w:color="auto"/>
                <w:bottom w:val="none" w:sz="0" w:space="0" w:color="auto"/>
                <w:right w:val="none" w:sz="0" w:space="0" w:color="auto"/>
              </w:divBdr>
              <w:divsChild>
                <w:div w:id="288779058">
                  <w:marLeft w:val="0"/>
                  <w:marRight w:val="0"/>
                  <w:marTop w:val="0"/>
                  <w:marBottom w:val="0"/>
                  <w:divBdr>
                    <w:top w:val="none" w:sz="0" w:space="0" w:color="auto"/>
                    <w:left w:val="none" w:sz="0" w:space="0" w:color="auto"/>
                    <w:bottom w:val="none" w:sz="0" w:space="0" w:color="auto"/>
                    <w:right w:val="none" w:sz="0" w:space="0" w:color="auto"/>
                  </w:divBdr>
                </w:div>
              </w:divsChild>
            </w:div>
            <w:div w:id="236717817">
              <w:marLeft w:val="0"/>
              <w:marRight w:val="0"/>
              <w:marTop w:val="0"/>
              <w:marBottom w:val="0"/>
              <w:divBdr>
                <w:top w:val="none" w:sz="0" w:space="0" w:color="auto"/>
                <w:left w:val="none" w:sz="0" w:space="0" w:color="auto"/>
                <w:bottom w:val="none" w:sz="0" w:space="0" w:color="auto"/>
                <w:right w:val="none" w:sz="0" w:space="0" w:color="auto"/>
              </w:divBdr>
              <w:divsChild>
                <w:div w:id="1569613234">
                  <w:marLeft w:val="0"/>
                  <w:marRight w:val="0"/>
                  <w:marTop w:val="0"/>
                  <w:marBottom w:val="0"/>
                  <w:divBdr>
                    <w:top w:val="none" w:sz="0" w:space="0" w:color="auto"/>
                    <w:left w:val="none" w:sz="0" w:space="0" w:color="auto"/>
                    <w:bottom w:val="none" w:sz="0" w:space="0" w:color="auto"/>
                    <w:right w:val="none" w:sz="0" w:space="0" w:color="auto"/>
                  </w:divBdr>
                </w:div>
              </w:divsChild>
            </w:div>
            <w:div w:id="236943427">
              <w:marLeft w:val="0"/>
              <w:marRight w:val="0"/>
              <w:marTop w:val="0"/>
              <w:marBottom w:val="0"/>
              <w:divBdr>
                <w:top w:val="none" w:sz="0" w:space="0" w:color="auto"/>
                <w:left w:val="none" w:sz="0" w:space="0" w:color="auto"/>
                <w:bottom w:val="none" w:sz="0" w:space="0" w:color="auto"/>
                <w:right w:val="none" w:sz="0" w:space="0" w:color="auto"/>
              </w:divBdr>
              <w:divsChild>
                <w:div w:id="1844391549">
                  <w:marLeft w:val="0"/>
                  <w:marRight w:val="0"/>
                  <w:marTop w:val="0"/>
                  <w:marBottom w:val="0"/>
                  <w:divBdr>
                    <w:top w:val="none" w:sz="0" w:space="0" w:color="auto"/>
                    <w:left w:val="none" w:sz="0" w:space="0" w:color="auto"/>
                    <w:bottom w:val="none" w:sz="0" w:space="0" w:color="auto"/>
                    <w:right w:val="none" w:sz="0" w:space="0" w:color="auto"/>
                  </w:divBdr>
                </w:div>
              </w:divsChild>
            </w:div>
            <w:div w:id="237138606">
              <w:marLeft w:val="0"/>
              <w:marRight w:val="0"/>
              <w:marTop w:val="0"/>
              <w:marBottom w:val="0"/>
              <w:divBdr>
                <w:top w:val="none" w:sz="0" w:space="0" w:color="auto"/>
                <w:left w:val="none" w:sz="0" w:space="0" w:color="auto"/>
                <w:bottom w:val="none" w:sz="0" w:space="0" w:color="auto"/>
                <w:right w:val="none" w:sz="0" w:space="0" w:color="auto"/>
              </w:divBdr>
              <w:divsChild>
                <w:div w:id="1265648632">
                  <w:marLeft w:val="0"/>
                  <w:marRight w:val="0"/>
                  <w:marTop w:val="0"/>
                  <w:marBottom w:val="0"/>
                  <w:divBdr>
                    <w:top w:val="none" w:sz="0" w:space="0" w:color="auto"/>
                    <w:left w:val="none" w:sz="0" w:space="0" w:color="auto"/>
                    <w:bottom w:val="none" w:sz="0" w:space="0" w:color="auto"/>
                    <w:right w:val="none" w:sz="0" w:space="0" w:color="auto"/>
                  </w:divBdr>
                </w:div>
              </w:divsChild>
            </w:div>
            <w:div w:id="237444419">
              <w:marLeft w:val="0"/>
              <w:marRight w:val="0"/>
              <w:marTop w:val="0"/>
              <w:marBottom w:val="0"/>
              <w:divBdr>
                <w:top w:val="none" w:sz="0" w:space="0" w:color="auto"/>
                <w:left w:val="none" w:sz="0" w:space="0" w:color="auto"/>
                <w:bottom w:val="none" w:sz="0" w:space="0" w:color="auto"/>
                <w:right w:val="none" w:sz="0" w:space="0" w:color="auto"/>
              </w:divBdr>
              <w:divsChild>
                <w:div w:id="242375059">
                  <w:marLeft w:val="0"/>
                  <w:marRight w:val="0"/>
                  <w:marTop w:val="0"/>
                  <w:marBottom w:val="0"/>
                  <w:divBdr>
                    <w:top w:val="none" w:sz="0" w:space="0" w:color="auto"/>
                    <w:left w:val="none" w:sz="0" w:space="0" w:color="auto"/>
                    <w:bottom w:val="none" w:sz="0" w:space="0" w:color="auto"/>
                    <w:right w:val="none" w:sz="0" w:space="0" w:color="auto"/>
                  </w:divBdr>
                </w:div>
              </w:divsChild>
            </w:div>
            <w:div w:id="237592605">
              <w:marLeft w:val="0"/>
              <w:marRight w:val="0"/>
              <w:marTop w:val="300"/>
              <w:marBottom w:val="300"/>
              <w:divBdr>
                <w:top w:val="none" w:sz="0" w:space="0" w:color="auto"/>
                <w:left w:val="none" w:sz="0" w:space="0" w:color="auto"/>
                <w:bottom w:val="none" w:sz="0" w:space="0" w:color="auto"/>
                <w:right w:val="none" w:sz="0" w:space="0" w:color="auto"/>
              </w:divBdr>
            </w:div>
            <w:div w:id="237910524">
              <w:marLeft w:val="0"/>
              <w:marRight w:val="0"/>
              <w:marTop w:val="0"/>
              <w:marBottom w:val="0"/>
              <w:divBdr>
                <w:top w:val="none" w:sz="0" w:space="0" w:color="auto"/>
                <w:left w:val="none" w:sz="0" w:space="0" w:color="auto"/>
                <w:bottom w:val="none" w:sz="0" w:space="0" w:color="auto"/>
                <w:right w:val="none" w:sz="0" w:space="0" w:color="auto"/>
              </w:divBdr>
              <w:divsChild>
                <w:div w:id="1535927190">
                  <w:marLeft w:val="0"/>
                  <w:marRight w:val="0"/>
                  <w:marTop w:val="0"/>
                  <w:marBottom w:val="0"/>
                  <w:divBdr>
                    <w:top w:val="none" w:sz="0" w:space="0" w:color="auto"/>
                    <w:left w:val="none" w:sz="0" w:space="0" w:color="auto"/>
                    <w:bottom w:val="none" w:sz="0" w:space="0" w:color="auto"/>
                    <w:right w:val="none" w:sz="0" w:space="0" w:color="auto"/>
                  </w:divBdr>
                </w:div>
              </w:divsChild>
            </w:div>
            <w:div w:id="237911693">
              <w:marLeft w:val="0"/>
              <w:marRight w:val="0"/>
              <w:marTop w:val="0"/>
              <w:marBottom w:val="0"/>
              <w:divBdr>
                <w:top w:val="none" w:sz="0" w:space="0" w:color="auto"/>
                <w:left w:val="none" w:sz="0" w:space="0" w:color="auto"/>
                <w:bottom w:val="none" w:sz="0" w:space="0" w:color="auto"/>
                <w:right w:val="none" w:sz="0" w:space="0" w:color="auto"/>
              </w:divBdr>
              <w:divsChild>
                <w:div w:id="1397318006">
                  <w:marLeft w:val="0"/>
                  <w:marRight w:val="0"/>
                  <w:marTop w:val="0"/>
                  <w:marBottom w:val="0"/>
                  <w:divBdr>
                    <w:top w:val="none" w:sz="0" w:space="0" w:color="auto"/>
                    <w:left w:val="none" w:sz="0" w:space="0" w:color="auto"/>
                    <w:bottom w:val="none" w:sz="0" w:space="0" w:color="auto"/>
                    <w:right w:val="none" w:sz="0" w:space="0" w:color="auto"/>
                  </w:divBdr>
                </w:div>
              </w:divsChild>
            </w:div>
            <w:div w:id="238906980">
              <w:marLeft w:val="0"/>
              <w:marRight w:val="0"/>
              <w:marTop w:val="0"/>
              <w:marBottom w:val="0"/>
              <w:divBdr>
                <w:top w:val="none" w:sz="0" w:space="0" w:color="auto"/>
                <w:left w:val="none" w:sz="0" w:space="0" w:color="auto"/>
                <w:bottom w:val="none" w:sz="0" w:space="0" w:color="auto"/>
                <w:right w:val="none" w:sz="0" w:space="0" w:color="auto"/>
              </w:divBdr>
              <w:divsChild>
                <w:div w:id="686639466">
                  <w:marLeft w:val="0"/>
                  <w:marRight w:val="0"/>
                  <w:marTop w:val="0"/>
                  <w:marBottom w:val="0"/>
                  <w:divBdr>
                    <w:top w:val="none" w:sz="0" w:space="0" w:color="auto"/>
                    <w:left w:val="none" w:sz="0" w:space="0" w:color="auto"/>
                    <w:bottom w:val="none" w:sz="0" w:space="0" w:color="auto"/>
                    <w:right w:val="none" w:sz="0" w:space="0" w:color="auto"/>
                  </w:divBdr>
                </w:div>
              </w:divsChild>
            </w:div>
            <w:div w:id="243301989">
              <w:marLeft w:val="0"/>
              <w:marRight w:val="0"/>
              <w:marTop w:val="0"/>
              <w:marBottom w:val="0"/>
              <w:divBdr>
                <w:top w:val="none" w:sz="0" w:space="0" w:color="auto"/>
                <w:left w:val="none" w:sz="0" w:space="0" w:color="auto"/>
                <w:bottom w:val="none" w:sz="0" w:space="0" w:color="auto"/>
                <w:right w:val="none" w:sz="0" w:space="0" w:color="auto"/>
              </w:divBdr>
              <w:divsChild>
                <w:div w:id="385295646">
                  <w:marLeft w:val="0"/>
                  <w:marRight w:val="0"/>
                  <w:marTop w:val="0"/>
                  <w:marBottom w:val="0"/>
                  <w:divBdr>
                    <w:top w:val="none" w:sz="0" w:space="0" w:color="auto"/>
                    <w:left w:val="none" w:sz="0" w:space="0" w:color="auto"/>
                    <w:bottom w:val="none" w:sz="0" w:space="0" w:color="auto"/>
                    <w:right w:val="none" w:sz="0" w:space="0" w:color="auto"/>
                  </w:divBdr>
                </w:div>
              </w:divsChild>
            </w:div>
            <w:div w:id="244187518">
              <w:marLeft w:val="0"/>
              <w:marRight w:val="0"/>
              <w:marTop w:val="0"/>
              <w:marBottom w:val="0"/>
              <w:divBdr>
                <w:top w:val="none" w:sz="0" w:space="0" w:color="auto"/>
                <w:left w:val="none" w:sz="0" w:space="0" w:color="auto"/>
                <w:bottom w:val="none" w:sz="0" w:space="0" w:color="auto"/>
                <w:right w:val="none" w:sz="0" w:space="0" w:color="auto"/>
              </w:divBdr>
              <w:divsChild>
                <w:div w:id="888422044">
                  <w:marLeft w:val="0"/>
                  <w:marRight w:val="0"/>
                  <w:marTop w:val="0"/>
                  <w:marBottom w:val="0"/>
                  <w:divBdr>
                    <w:top w:val="none" w:sz="0" w:space="0" w:color="auto"/>
                    <w:left w:val="none" w:sz="0" w:space="0" w:color="auto"/>
                    <w:bottom w:val="none" w:sz="0" w:space="0" w:color="auto"/>
                    <w:right w:val="none" w:sz="0" w:space="0" w:color="auto"/>
                  </w:divBdr>
                </w:div>
              </w:divsChild>
            </w:div>
            <w:div w:id="245381397">
              <w:marLeft w:val="0"/>
              <w:marRight w:val="0"/>
              <w:marTop w:val="300"/>
              <w:marBottom w:val="300"/>
              <w:divBdr>
                <w:top w:val="none" w:sz="0" w:space="0" w:color="auto"/>
                <w:left w:val="none" w:sz="0" w:space="0" w:color="auto"/>
                <w:bottom w:val="none" w:sz="0" w:space="0" w:color="auto"/>
                <w:right w:val="none" w:sz="0" w:space="0" w:color="auto"/>
              </w:divBdr>
            </w:div>
            <w:div w:id="245461421">
              <w:marLeft w:val="0"/>
              <w:marRight w:val="0"/>
              <w:marTop w:val="0"/>
              <w:marBottom w:val="0"/>
              <w:divBdr>
                <w:top w:val="none" w:sz="0" w:space="0" w:color="auto"/>
                <w:left w:val="none" w:sz="0" w:space="0" w:color="auto"/>
                <w:bottom w:val="none" w:sz="0" w:space="0" w:color="auto"/>
                <w:right w:val="none" w:sz="0" w:space="0" w:color="auto"/>
              </w:divBdr>
              <w:divsChild>
                <w:div w:id="326828276">
                  <w:marLeft w:val="0"/>
                  <w:marRight w:val="0"/>
                  <w:marTop w:val="0"/>
                  <w:marBottom w:val="0"/>
                  <w:divBdr>
                    <w:top w:val="none" w:sz="0" w:space="0" w:color="auto"/>
                    <w:left w:val="none" w:sz="0" w:space="0" w:color="auto"/>
                    <w:bottom w:val="none" w:sz="0" w:space="0" w:color="auto"/>
                    <w:right w:val="none" w:sz="0" w:space="0" w:color="auto"/>
                  </w:divBdr>
                </w:div>
              </w:divsChild>
            </w:div>
            <w:div w:id="246112668">
              <w:marLeft w:val="0"/>
              <w:marRight w:val="0"/>
              <w:marTop w:val="0"/>
              <w:marBottom w:val="0"/>
              <w:divBdr>
                <w:top w:val="none" w:sz="0" w:space="0" w:color="auto"/>
                <w:left w:val="none" w:sz="0" w:space="0" w:color="auto"/>
                <w:bottom w:val="none" w:sz="0" w:space="0" w:color="auto"/>
                <w:right w:val="none" w:sz="0" w:space="0" w:color="auto"/>
              </w:divBdr>
              <w:divsChild>
                <w:div w:id="902377189">
                  <w:marLeft w:val="0"/>
                  <w:marRight w:val="0"/>
                  <w:marTop w:val="0"/>
                  <w:marBottom w:val="0"/>
                  <w:divBdr>
                    <w:top w:val="none" w:sz="0" w:space="0" w:color="auto"/>
                    <w:left w:val="none" w:sz="0" w:space="0" w:color="auto"/>
                    <w:bottom w:val="none" w:sz="0" w:space="0" w:color="auto"/>
                    <w:right w:val="none" w:sz="0" w:space="0" w:color="auto"/>
                  </w:divBdr>
                </w:div>
              </w:divsChild>
            </w:div>
            <w:div w:id="246352745">
              <w:marLeft w:val="0"/>
              <w:marRight w:val="0"/>
              <w:marTop w:val="0"/>
              <w:marBottom w:val="0"/>
              <w:divBdr>
                <w:top w:val="none" w:sz="0" w:space="0" w:color="auto"/>
                <w:left w:val="none" w:sz="0" w:space="0" w:color="auto"/>
                <w:bottom w:val="none" w:sz="0" w:space="0" w:color="auto"/>
                <w:right w:val="none" w:sz="0" w:space="0" w:color="auto"/>
              </w:divBdr>
              <w:divsChild>
                <w:div w:id="322241960">
                  <w:marLeft w:val="0"/>
                  <w:marRight w:val="0"/>
                  <w:marTop w:val="0"/>
                  <w:marBottom w:val="0"/>
                  <w:divBdr>
                    <w:top w:val="none" w:sz="0" w:space="0" w:color="auto"/>
                    <w:left w:val="none" w:sz="0" w:space="0" w:color="auto"/>
                    <w:bottom w:val="none" w:sz="0" w:space="0" w:color="auto"/>
                    <w:right w:val="none" w:sz="0" w:space="0" w:color="auto"/>
                  </w:divBdr>
                </w:div>
              </w:divsChild>
            </w:div>
            <w:div w:id="246886451">
              <w:marLeft w:val="0"/>
              <w:marRight w:val="0"/>
              <w:marTop w:val="0"/>
              <w:marBottom w:val="0"/>
              <w:divBdr>
                <w:top w:val="none" w:sz="0" w:space="0" w:color="auto"/>
                <w:left w:val="none" w:sz="0" w:space="0" w:color="auto"/>
                <w:bottom w:val="none" w:sz="0" w:space="0" w:color="auto"/>
                <w:right w:val="none" w:sz="0" w:space="0" w:color="auto"/>
              </w:divBdr>
              <w:divsChild>
                <w:div w:id="1496989531">
                  <w:marLeft w:val="0"/>
                  <w:marRight w:val="0"/>
                  <w:marTop w:val="0"/>
                  <w:marBottom w:val="0"/>
                  <w:divBdr>
                    <w:top w:val="none" w:sz="0" w:space="0" w:color="auto"/>
                    <w:left w:val="none" w:sz="0" w:space="0" w:color="auto"/>
                    <w:bottom w:val="none" w:sz="0" w:space="0" w:color="auto"/>
                    <w:right w:val="none" w:sz="0" w:space="0" w:color="auto"/>
                  </w:divBdr>
                </w:div>
              </w:divsChild>
            </w:div>
            <w:div w:id="248582372">
              <w:marLeft w:val="0"/>
              <w:marRight w:val="0"/>
              <w:marTop w:val="0"/>
              <w:marBottom w:val="0"/>
              <w:divBdr>
                <w:top w:val="none" w:sz="0" w:space="0" w:color="auto"/>
                <w:left w:val="none" w:sz="0" w:space="0" w:color="auto"/>
                <w:bottom w:val="none" w:sz="0" w:space="0" w:color="auto"/>
                <w:right w:val="none" w:sz="0" w:space="0" w:color="auto"/>
              </w:divBdr>
              <w:divsChild>
                <w:div w:id="383912127">
                  <w:marLeft w:val="0"/>
                  <w:marRight w:val="0"/>
                  <w:marTop w:val="0"/>
                  <w:marBottom w:val="0"/>
                  <w:divBdr>
                    <w:top w:val="none" w:sz="0" w:space="0" w:color="auto"/>
                    <w:left w:val="none" w:sz="0" w:space="0" w:color="auto"/>
                    <w:bottom w:val="none" w:sz="0" w:space="0" w:color="auto"/>
                    <w:right w:val="none" w:sz="0" w:space="0" w:color="auto"/>
                  </w:divBdr>
                </w:div>
              </w:divsChild>
            </w:div>
            <w:div w:id="250428224">
              <w:marLeft w:val="0"/>
              <w:marRight w:val="0"/>
              <w:marTop w:val="0"/>
              <w:marBottom w:val="0"/>
              <w:divBdr>
                <w:top w:val="none" w:sz="0" w:space="0" w:color="auto"/>
                <w:left w:val="none" w:sz="0" w:space="0" w:color="auto"/>
                <w:bottom w:val="none" w:sz="0" w:space="0" w:color="auto"/>
                <w:right w:val="none" w:sz="0" w:space="0" w:color="auto"/>
              </w:divBdr>
              <w:divsChild>
                <w:div w:id="961766731">
                  <w:marLeft w:val="0"/>
                  <w:marRight w:val="0"/>
                  <w:marTop w:val="0"/>
                  <w:marBottom w:val="0"/>
                  <w:divBdr>
                    <w:top w:val="none" w:sz="0" w:space="0" w:color="auto"/>
                    <w:left w:val="none" w:sz="0" w:space="0" w:color="auto"/>
                    <w:bottom w:val="none" w:sz="0" w:space="0" w:color="auto"/>
                    <w:right w:val="none" w:sz="0" w:space="0" w:color="auto"/>
                  </w:divBdr>
                </w:div>
              </w:divsChild>
            </w:div>
            <w:div w:id="251014151">
              <w:marLeft w:val="0"/>
              <w:marRight w:val="0"/>
              <w:marTop w:val="0"/>
              <w:marBottom w:val="0"/>
              <w:divBdr>
                <w:top w:val="none" w:sz="0" w:space="0" w:color="auto"/>
                <w:left w:val="none" w:sz="0" w:space="0" w:color="auto"/>
                <w:bottom w:val="none" w:sz="0" w:space="0" w:color="auto"/>
                <w:right w:val="none" w:sz="0" w:space="0" w:color="auto"/>
              </w:divBdr>
              <w:divsChild>
                <w:div w:id="1306357751">
                  <w:marLeft w:val="0"/>
                  <w:marRight w:val="0"/>
                  <w:marTop w:val="0"/>
                  <w:marBottom w:val="0"/>
                  <w:divBdr>
                    <w:top w:val="none" w:sz="0" w:space="0" w:color="auto"/>
                    <w:left w:val="none" w:sz="0" w:space="0" w:color="auto"/>
                    <w:bottom w:val="none" w:sz="0" w:space="0" w:color="auto"/>
                    <w:right w:val="none" w:sz="0" w:space="0" w:color="auto"/>
                  </w:divBdr>
                </w:div>
              </w:divsChild>
            </w:div>
            <w:div w:id="251164447">
              <w:marLeft w:val="0"/>
              <w:marRight w:val="0"/>
              <w:marTop w:val="0"/>
              <w:marBottom w:val="0"/>
              <w:divBdr>
                <w:top w:val="none" w:sz="0" w:space="0" w:color="auto"/>
                <w:left w:val="none" w:sz="0" w:space="0" w:color="auto"/>
                <w:bottom w:val="none" w:sz="0" w:space="0" w:color="auto"/>
                <w:right w:val="none" w:sz="0" w:space="0" w:color="auto"/>
              </w:divBdr>
              <w:divsChild>
                <w:div w:id="1734232116">
                  <w:marLeft w:val="0"/>
                  <w:marRight w:val="0"/>
                  <w:marTop w:val="0"/>
                  <w:marBottom w:val="0"/>
                  <w:divBdr>
                    <w:top w:val="none" w:sz="0" w:space="0" w:color="auto"/>
                    <w:left w:val="none" w:sz="0" w:space="0" w:color="auto"/>
                    <w:bottom w:val="none" w:sz="0" w:space="0" w:color="auto"/>
                    <w:right w:val="none" w:sz="0" w:space="0" w:color="auto"/>
                  </w:divBdr>
                </w:div>
              </w:divsChild>
            </w:div>
            <w:div w:id="252707581">
              <w:marLeft w:val="0"/>
              <w:marRight w:val="0"/>
              <w:marTop w:val="0"/>
              <w:marBottom w:val="0"/>
              <w:divBdr>
                <w:top w:val="none" w:sz="0" w:space="0" w:color="auto"/>
                <w:left w:val="none" w:sz="0" w:space="0" w:color="auto"/>
                <w:bottom w:val="none" w:sz="0" w:space="0" w:color="auto"/>
                <w:right w:val="none" w:sz="0" w:space="0" w:color="auto"/>
              </w:divBdr>
              <w:divsChild>
                <w:div w:id="1917477658">
                  <w:marLeft w:val="0"/>
                  <w:marRight w:val="0"/>
                  <w:marTop w:val="0"/>
                  <w:marBottom w:val="0"/>
                  <w:divBdr>
                    <w:top w:val="none" w:sz="0" w:space="0" w:color="auto"/>
                    <w:left w:val="none" w:sz="0" w:space="0" w:color="auto"/>
                    <w:bottom w:val="none" w:sz="0" w:space="0" w:color="auto"/>
                    <w:right w:val="none" w:sz="0" w:space="0" w:color="auto"/>
                  </w:divBdr>
                </w:div>
              </w:divsChild>
            </w:div>
            <w:div w:id="252904230">
              <w:marLeft w:val="0"/>
              <w:marRight w:val="0"/>
              <w:marTop w:val="300"/>
              <w:marBottom w:val="300"/>
              <w:divBdr>
                <w:top w:val="none" w:sz="0" w:space="0" w:color="auto"/>
                <w:left w:val="none" w:sz="0" w:space="0" w:color="auto"/>
                <w:bottom w:val="none" w:sz="0" w:space="0" w:color="auto"/>
                <w:right w:val="none" w:sz="0" w:space="0" w:color="auto"/>
              </w:divBdr>
            </w:div>
            <w:div w:id="253167866">
              <w:marLeft w:val="0"/>
              <w:marRight w:val="0"/>
              <w:marTop w:val="0"/>
              <w:marBottom w:val="0"/>
              <w:divBdr>
                <w:top w:val="none" w:sz="0" w:space="0" w:color="auto"/>
                <w:left w:val="none" w:sz="0" w:space="0" w:color="auto"/>
                <w:bottom w:val="none" w:sz="0" w:space="0" w:color="auto"/>
                <w:right w:val="none" w:sz="0" w:space="0" w:color="auto"/>
              </w:divBdr>
              <w:divsChild>
                <w:div w:id="1695111311">
                  <w:marLeft w:val="0"/>
                  <w:marRight w:val="0"/>
                  <w:marTop w:val="0"/>
                  <w:marBottom w:val="0"/>
                  <w:divBdr>
                    <w:top w:val="none" w:sz="0" w:space="0" w:color="auto"/>
                    <w:left w:val="none" w:sz="0" w:space="0" w:color="auto"/>
                    <w:bottom w:val="none" w:sz="0" w:space="0" w:color="auto"/>
                    <w:right w:val="none" w:sz="0" w:space="0" w:color="auto"/>
                  </w:divBdr>
                </w:div>
              </w:divsChild>
            </w:div>
            <w:div w:id="253170289">
              <w:marLeft w:val="0"/>
              <w:marRight w:val="0"/>
              <w:marTop w:val="300"/>
              <w:marBottom w:val="300"/>
              <w:divBdr>
                <w:top w:val="none" w:sz="0" w:space="0" w:color="auto"/>
                <w:left w:val="none" w:sz="0" w:space="0" w:color="auto"/>
                <w:bottom w:val="none" w:sz="0" w:space="0" w:color="auto"/>
                <w:right w:val="none" w:sz="0" w:space="0" w:color="auto"/>
              </w:divBdr>
            </w:div>
            <w:div w:id="254019575">
              <w:marLeft w:val="0"/>
              <w:marRight w:val="0"/>
              <w:marTop w:val="0"/>
              <w:marBottom w:val="0"/>
              <w:divBdr>
                <w:top w:val="none" w:sz="0" w:space="0" w:color="auto"/>
                <w:left w:val="none" w:sz="0" w:space="0" w:color="auto"/>
                <w:bottom w:val="none" w:sz="0" w:space="0" w:color="auto"/>
                <w:right w:val="none" w:sz="0" w:space="0" w:color="auto"/>
              </w:divBdr>
              <w:divsChild>
                <w:div w:id="680204497">
                  <w:marLeft w:val="0"/>
                  <w:marRight w:val="0"/>
                  <w:marTop w:val="0"/>
                  <w:marBottom w:val="0"/>
                  <w:divBdr>
                    <w:top w:val="none" w:sz="0" w:space="0" w:color="auto"/>
                    <w:left w:val="none" w:sz="0" w:space="0" w:color="auto"/>
                    <w:bottom w:val="none" w:sz="0" w:space="0" w:color="auto"/>
                    <w:right w:val="none" w:sz="0" w:space="0" w:color="auto"/>
                  </w:divBdr>
                </w:div>
              </w:divsChild>
            </w:div>
            <w:div w:id="254434783">
              <w:marLeft w:val="0"/>
              <w:marRight w:val="0"/>
              <w:marTop w:val="0"/>
              <w:marBottom w:val="0"/>
              <w:divBdr>
                <w:top w:val="none" w:sz="0" w:space="0" w:color="auto"/>
                <w:left w:val="none" w:sz="0" w:space="0" w:color="auto"/>
                <w:bottom w:val="none" w:sz="0" w:space="0" w:color="auto"/>
                <w:right w:val="none" w:sz="0" w:space="0" w:color="auto"/>
              </w:divBdr>
              <w:divsChild>
                <w:div w:id="317615686">
                  <w:marLeft w:val="0"/>
                  <w:marRight w:val="0"/>
                  <w:marTop w:val="0"/>
                  <w:marBottom w:val="0"/>
                  <w:divBdr>
                    <w:top w:val="none" w:sz="0" w:space="0" w:color="auto"/>
                    <w:left w:val="none" w:sz="0" w:space="0" w:color="auto"/>
                    <w:bottom w:val="none" w:sz="0" w:space="0" w:color="auto"/>
                    <w:right w:val="none" w:sz="0" w:space="0" w:color="auto"/>
                  </w:divBdr>
                </w:div>
              </w:divsChild>
            </w:div>
            <w:div w:id="256599276">
              <w:marLeft w:val="0"/>
              <w:marRight w:val="0"/>
              <w:marTop w:val="0"/>
              <w:marBottom w:val="0"/>
              <w:divBdr>
                <w:top w:val="none" w:sz="0" w:space="0" w:color="auto"/>
                <w:left w:val="none" w:sz="0" w:space="0" w:color="auto"/>
                <w:bottom w:val="none" w:sz="0" w:space="0" w:color="auto"/>
                <w:right w:val="none" w:sz="0" w:space="0" w:color="auto"/>
              </w:divBdr>
              <w:divsChild>
                <w:div w:id="1362899715">
                  <w:marLeft w:val="0"/>
                  <w:marRight w:val="0"/>
                  <w:marTop w:val="0"/>
                  <w:marBottom w:val="0"/>
                  <w:divBdr>
                    <w:top w:val="none" w:sz="0" w:space="0" w:color="auto"/>
                    <w:left w:val="none" w:sz="0" w:space="0" w:color="auto"/>
                    <w:bottom w:val="none" w:sz="0" w:space="0" w:color="auto"/>
                    <w:right w:val="none" w:sz="0" w:space="0" w:color="auto"/>
                  </w:divBdr>
                </w:div>
              </w:divsChild>
            </w:div>
            <w:div w:id="257641461">
              <w:marLeft w:val="0"/>
              <w:marRight w:val="0"/>
              <w:marTop w:val="0"/>
              <w:marBottom w:val="0"/>
              <w:divBdr>
                <w:top w:val="none" w:sz="0" w:space="0" w:color="auto"/>
                <w:left w:val="none" w:sz="0" w:space="0" w:color="auto"/>
                <w:bottom w:val="none" w:sz="0" w:space="0" w:color="auto"/>
                <w:right w:val="none" w:sz="0" w:space="0" w:color="auto"/>
              </w:divBdr>
              <w:divsChild>
                <w:div w:id="655577111">
                  <w:marLeft w:val="0"/>
                  <w:marRight w:val="0"/>
                  <w:marTop w:val="0"/>
                  <w:marBottom w:val="0"/>
                  <w:divBdr>
                    <w:top w:val="none" w:sz="0" w:space="0" w:color="auto"/>
                    <w:left w:val="none" w:sz="0" w:space="0" w:color="auto"/>
                    <w:bottom w:val="none" w:sz="0" w:space="0" w:color="auto"/>
                    <w:right w:val="none" w:sz="0" w:space="0" w:color="auto"/>
                  </w:divBdr>
                </w:div>
              </w:divsChild>
            </w:div>
            <w:div w:id="257979968">
              <w:marLeft w:val="0"/>
              <w:marRight w:val="0"/>
              <w:marTop w:val="0"/>
              <w:marBottom w:val="0"/>
              <w:divBdr>
                <w:top w:val="none" w:sz="0" w:space="0" w:color="auto"/>
                <w:left w:val="none" w:sz="0" w:space="0" w:color="auto"/>
                <w:bottom w:val="none" w:sz="0" w:space="0" w:color="auto"/>
                <w:right w:val="none" w:sz="0" w:space="0" w:color="auto"/>
              </w:divBdr>
              <w:divsChild>
                <w:div w:id="1886793445">
                  <w:marLeft w:val="0"/>
                  <w:marRight w:val="0"/>
                  <w:marTop w:val="0"/>
                  <w:marBottom w:val="0"/>
                  <w:divBdr>
                    <w:top w:val="none" w:sz="0" w:space="0" w:color="auto"/>
                    <w:left w:val="none" w:sz="0" w:space="0" w:color="auto"/>
                    <w:bottom w:val="none" w:sz="0" w:space="0" w:color="auto"/>
                    <w:right w:val="none" w:sz="0" w:space="0" w:color="auto"/>
                  </w:divBdr>
                </w:div>
              </w:divsChild>
            </w:div>
            <w:div w:id="258291387">
              <w:marLeft w:val="0"/>
              <w:marRight w:val="0"/>
              <w:marTop w:val="0"/>
              <w:marBottom w:val="0"/>
              <w:divBdr>
                <w:top w:val="none" w:sz="0" w:space="0" w:color="auto"/>
                <w:left w:val="none" w:sz="0" w:space="0" w:color="auto"/>
                <w:bottom w:val="none" w:sz="0" w:space="0" w:color="auto"/>
                <w:right w:val="none" w:sz="0" w:space="0" w:color="auto"/>
              </w:divBdr>
              <w:divsChild>
                <w:div w:id="1915164377">
                  <w:marLeft w:val="0"/>
                  <w:marRight w:val="0"/>
                  <w:marTop w:val="0"/>
                  <w:marBottom w:val="0"/>
                  <w:divBdr>
                    <w:top w:val="none" w:sz="0" w:space="0" w:color="auto"/>
                    <w:left w:val="none" w:sz="0" w:space="0" w:color="auto"/>
                    <w:bottom w:val="none" w:sz="0" w:space="0" w:color="auto"/>
                    <w:right w:val="none" w:sz="0" w:space="0" w:color="auto"/>
                  </w:divBdr>
                </w:div>
              </w:divsChild>
            </w:div>
            <w:div w:id="259992320">
              <w:marLeft w:val="0"/>
              <w:marRight w:val="0"/>
              <w:marTop w:val="0"/>
              <w:marBottom w:val="0"/>
              <w:divBdr>
                <w:top w:val="none" w:sz="0" w:space="0" w:color="auto"/>
                <w:left w:val="none" w:sz="0" w:space="0" w:color="auto"/>
                <w:bottom w:val="none" w:sz="0" w:space="0" w:color="auto"/>
                <w:right w:val="none" w:sz="0" w:space="0" w:color="auto"/>
              </w:divBdr>
              <w:divsChild>
                <w:div w:id="60836406">
                  <w:marLeft w:val="0"/>
                  <w:marRight w:val="0"/>
                  <w:marTop w:val="0"/>
                  <w:marBottom w:val="0"/>
                  <w:divBdr>
                    <w:top w:val="none" w:sz="0" w:space="0" w:color="auto"/>
                    <w:left w:val="none" w:sz="0" w:space="0" w:color="auto"/>
                    <w:bottom w:val="none" w:sz="0" w:space="0" w:color="auto"/>
                    <w:right w:val="none" w:sz="0" w:space="0" w:color="auto"/>
                  </w:divBdr>
                </w:div>
              </w:divsChild>
            </w:div>
            <w:div w:id="260454274">
              <w:marLeft w:val="0"/>
              <w:marRight w:val="0"/>
              <w:marTop w:val="0"/>
              <w:marBottom w:val="0"/>
              <w:divBdr>
                <w:top w:val="none" w:sz="0" w:space="0" w:color="auto"/>
                <w:left w:val="none" w:sz="0" w:space="0" w:color="auto"/>
                <w:bottom w:val="none" w:sz="0" w:space="0" w:color="auto"/>
                <w:right w:val="none" w:sz="0" w:space="0" w:color="auto"/>
              </w:divBdr>
              <w:divsChild>
                <w:div w:id="1974552101">
                  <w:marLeft w:val="0"/>
                  <w:marRight w:val="0"/>
                  <w:marTop w:val="0"/>
                  <w:marBottom w:val="0"/>
                  <w:divBdr>
                    <w:top w:val="none" w:sz="0" w:space="0" w:color="auto"/>
                    <w:left w:val="none" w:sz="0" w:space="0" w:color="auto"/>
                    <w:bottom w:val="none" w:sz="0" w:space="0" w:color="auto"/>
                    <w:right w:val="none" w:sz="0" w:space="0" w:color="auto"/>
                  </w:divBdr>
                </w:div>
              </w:divsChild>
            </w:div>
            <w:div w:id="260796029">
              <w:marLeft w:val="0"/>
              <w:marRight w:val="0"/>
              <w:marTop w:val="0"/>
              <w:marBottom w:val="0"/>
              <w:divBdr>
                <w:top w:val="none" w:sz="0" w:space="0" w:color="auto"/>
                <w:left w:val="none" w:sz="0" w:space="0" w:color="auto"/>
                <w:bottom w:val="none" w:sz="0" w:space="0" w:color="auto"/>
                <w:right w:val="none" w:sz="0" w:space="0" w:color="auto"/>
              </w:divBdr>
              <w:divsChild>
                <w:div w:id="47730283">
                  <w:marLeft w:val="0"/>
                  <w:marRight w:val="0"/>
                  <w:marTop w:val="0"/>
                  <w:marBottom w:val="0"/>
                  <w:divBdr>
                    <w:top w:val="none" w:sz="0" w:space="0" w:color="auto"/>
                    <w:left w:val="none" w:sz="0" w:space="0" w:color="auto"/>
                    <w:bottom w:val="none" w:sz="0" w:space="0" w:color="auto"/>
                    <w:right w:val="none" w:sz="0" w:space="0" w:color="auto"/>
                  </w:divBdr>
                </w:div>
              </w:divsChild>
            </w:div>
            <w:div w:id="261232546">
              <w:marLeft w:val="0"/>
              <w:marRight w:val="0"/>
              <w:marTop w:val="0"/>
              <w:marBottom w:val="0"/>
              <w:divBdr>
                <w:top w:val="none" w:sz="0" w:space="0" w:color="auto"/>
                <w:left w:val="none" w:sz="0" w:space="0" w:color="auto"/>
                <w:bottom w:val="none" w:sz="0" w:space="0" w:color="auto"/>
                <w:right w:val="none" w:sz="0" w:space="0" w:color="auto"/>
              </w:divBdr>
              <w:divsChild>
                <w:div w:id="646781851">
                  <w:marLeft w:val="0"/>
                  <w:marRight w:val="0"/>
                  <w:marTop w:val="0"/>
                  <w:marBottom w:val="0"/>
                  <w:divBdr>
                    <w:top w:val="none" w:sz="0" w:space="0" w:color="auto"/>
                    <w:left w:val="none" w:sz="0" w:space="0" w:color="auto"/>
                    <w:bottom w:val="none" w:sz="0" w:space="0" w:color="auto"/>
                    <w:right w:val="none" w:sz="0" w:space="0" w:color="auto"/>
                  </w:divBdr>
                </w:div>
              </w:divsChild>
            </w:div>
            <w:div w:id="261650139">
              <w:marLeft w:val="0"/>
              <w:marRight w:val="0"/>
              <w:marTop w:val="0"/>
              <w:marBottom w:val="0"/>
              <w:divBdr>
                <w:top w:val="none" w:sz="0" w:space="0" w:color="auto"/>
                <w:left w:val="none" w:sz="0" w:space="0" w:color="auto"/>
                <w:bottom w:val="none" w:sz="0" w:space="0" w:color="auto"/>
                <w:right w:val="none" w:sz="0" w:space="0" w:color="auto"/>
              </w:divBdr>
              <w:divsChild>
                <w:div w:id="649940671">
                  <w:marLeft w:val="0"/>
                  <w:marRight w:val="0"/>
                  <w:marTop w:val="0"/>
                  <w:marBottom w:val="0"/>
                  <w:divBdr>
                    <w:top w:val="none" w:sz="0" w:space="0" w:color="auto"/>
                    <w:left w:val="none" w:sz="0" w:space="0" w:color="auto"/>
                    <w:bottom w:val="none" w:sz="0" w:space="0" w:color="auto"/>
                    <w:right w:val="none" w:sz="0" w:space="0" w:color="auto"/>
                  </w:divBdr>
                </w:div>
              </w:divsChild>
            </w:div>
            <w:div w:id="261765069">
              <w:marLeft w:val="0"/>
              <w:marRight w:val="0"/>
              <w:marTop w:val="300"/>
              <w:marBottom w:val="300"/>
              <w:divBdr>
                <w:top w:val="none" w:sz="0" w:space="0" w:color="auto"/>
                <w:left w:val="none" w:sz="0" w:space="0" w:color="auto"/>
                <w:bottom w:val="none" w:sz="0" w:space="0" w:color="auto"/>
                <w:right w:val="none" w:sz="0" w:space="0" w:color="auto"/>
              </w:divBdr>
            </w:div>
            <w:div w:id="262080410">
              <w:marLeft w:val="0"/>
              <w:marRight w:val="0"/>
              <w:marTop w:val="0"/>
              <w:marBottom w:val="0"/>
              <w:divBdr>
                <w:top w:val="none" w:sz="0" w:space="0" w:color="auto"/>
                <w:left w:val="none" w:sz="0" w:space="0" w:color="auto"/>
                <w:bottom w:val="none" w:sz="0" w:space="0" w:color="auto"/>
                <w:right w:val="none" w:sz="0" w:space="0" w:color="auto"/>
              </w:divBdr>
              <w:divsChild>
                <w:div w:id="1601178815">
                  <w:marLeft w:val="0"/>
                  <w:marRight w:val="0"/>
                  <w:marTop w:val="0"/>
                  <w:marBottom w:val="0"/>
                  <w:divBdr>
                    <w:top w:val="none" w:sz="0" w:space="0" w:color="auto"/>
                    <w:left w:val="none" w:sz="0" w:space="0" w:color="auto"/>
                    <w:bottom w:val="none" w:sz="0" w:space="0" w:color="auto"/>
                    <w:right w:val="none" w:sz="0" w:space="0" w:color="auto"/>
                  </w:divBdr>
                </w:div>
              </w:divsChild>
            </w:div>
            <w:div w:id="263196225">
              <w:marLeft w:val="0"/>
              <w:marRight w:val="0"/>
              <w:marTop w:val="300"/>
              <w:marBottom w:val="300"/>
              <w:divBdr>
                <w:top w:val="none" w:sz="0" w:space="0" w:color="auto"/>
                <w:left w:val="none" w:sz="0" w:space="0" w:color="auto"/>
                <w:bottom w:val="none" w:sz="0" w:space="0" w:color="auto"/>
                <w:right w:val="none" w:sz="0" w:space="0" w:color="auto"/>
              </w:divBdr>
            </w:div>
            <w:div w:id="263391161">
              <w:marLeft w:val="0"/>
              <w:marRight w:val="0"/>
              <w:marTop w:val="300"/>
              <w:marBottom w:val="300"/>
              <w:divBdr>
                <w:top w:val="none" w:sz="0" w:space="0" w:color="auto"/>
                <w:left w:val="none" w:sz="0" w:space="0" w:color="auto"/>
                <w:bottom w:val="none" w:sz="0" w:space="0" w:color="auto"/>
                <w:right w:val="none" w:sz="0" w:space="0" w:color="auto"/>
              </w:divBdr>
            </w:div>
            <w:div w:id="266470039">
              <w:marLeft w:val="0"/>
              <w:marRight w:val="0"/>
              <w:marTop w:val="0"/>
              <w:marBottom w:val="0"/>
              <w:divBdr>
                <w:top w:val="none" w:sz="0" w:space="0" w:color="auto"/>
                <w:left w:val="none" w:sz="0" w:space="0" w:color="auto"/>
                <w:bottom w:val="none" w:sz="0" w:space="0" w:color="auto"/>
                <w:right w:val="none" w:sz="0" w:space="0" w:color="auto"/>
              </w:divBdr>
              <w:divsChild>
                <w:div w:id="971985356">
                  <w:marLeft w:val="0"/>
                  <w:marRight w:val="0"/>
                  <w:marTop w:val="0"/>
                  <w:marBottom w:val="0"/>
                  <w:divBdr>
                    <w:top w:val="none" w:sz="0" w:space="0" w:color="auto"/>
                    <w:left w:val="none" w:sz="0" w:space="0" w:color="auto"/>
                    <w:bottom w:val="none" w:sz="0" w:space="0" w:color="auto"/>
                    <w:right w:val="none" w:sz="0" w:space="0" w:color="auto"/>
                  </w:divBdr>
                </w:div>
              </w:divsChild>
            </w:div>
            <w:div w:id="266617147">
              <w:marLeft w:val="0"/>
              <w:marRight w:val="0"/>
              <w:marTop w:val="0"/>
              <w:marBottom w:val="0"/>
              <w:divBdr>
                <w:top w:val="none" w:sz="0" w:space="0" w:color="auto"/>
                <w:left w:val="none" w:sz="0" w:space="0" w:color="auto"/>
                <w:bottom w:val="none" w:sz="0" w:space="0" w:color="auto"/>
                <w:right w:val="none" w:sz="0" w:space="0" w:color="auto"/>
              </w:divBdr>
              <w:divsChild>
                <w:div w:id="1208253859">
                  <w:marLeft w:val="0"/>
                  <w:marRight w:val="0"/>
                  <w:marTop w:val="0"/>
                  <w:marBottom w:val="0"/>
                  <w:divBdr>
                    <w:top w:val="none" w:sz="0" w:space="0" w:color="auto"/>
                    <w:left w:val="none" w:sz="0" w:space="0" w:color="auto"/>
                    <w:bottom w:val="none" w:sz="0" w:space="0" w:color="auto"/>
                    <w:right w:val="none" w:sz="0" w:space="0" w:color="auto"/>
                  </w:divBdr>
                </w:div>
              </w:divsChild>
            </w:div>
            <w:div w:id="270432080">
              <w:marLeft w:val="0"/>
              <w:marRight w:val="0"/>
              <w:marTop w:val="300"/>
              <w:marBottom w:val="300"/>
              <w:divBdr>
                <w:top w:val="none" w:sz="0" w:space="0" w:color="auto"/>
                <w:left w:val="none" w:sz="0" w:space="0" w:color="auto"/>
                <w:bottom w:val="none" w:sz="0" w:space="0" w:color="auto"/>
                <w:right w:val="none" w:sz="0" w:space="0" w:color="auto"/>
              </w:divBdr>
            </w:div>
            <w:div w:id="272443004">
              <w:marLeft w:val="0"/>
              <w:marRight w:val="0"/>
              <w:marTop w:val="0"/>
              <w:marBottom w:val="0"/>
              <w:divBdr>
                <w:top w:val="none" w:sz="0" w:space="0" w:color="auto"/>
                <w:left w:val="none" w:sz="0" w:space="0" w:color="auto"/>
                <w:bottom w:val="none" w:sz="0" w:space="0" w:color="auto"/>
                <w:right w:val="none" w:sz="0" w:space="0" w:color="auto"/>
              </w:divBdr>
              <w:divsChild>
                <w:div w:id="105468961">
                  <w:marLeft w:val="0"/>
                  <w:marRight w:val="0"/>
                  <w:marTop w:val="0"/>
                  <w:marBottom w:val="0"/>
                  <w:divBdr>
                    <w:top w:val="none" w:sz="0" w:space="0" w:color="auto"/>
                    <w:left w:val="none" w:sz="0" w:space="0" w:color="auto"/>
                    <w:bottom w:val="none" w:sz="0" w:space="0" w:color="auto"/>
                    <w:right w:val="none" w:sz="0" w:space="0" w:color="auto"/>
                  </w:divBdr>
                </w:div>
              </w:divsChild>
            </w:div>
            <w:div w:id="273371125">
              <w:marLeft w:val="0"/>
              <w:marRight w:val="0"/>
              <w:marTop w:val="300"/>
              <w:marBottom w:val="300"/>
              <w:divBdr>
                <w:top w:val="none" w:sz="0" w:space="0" w:color="auto"/>
                <w:left w:val="none" w:sz="0" w:space="0" w:color="auto"/>
                <w:bottom w:val="none" w:sz="0" w:space="0" w:color="auto"/>
                <w:right w:val="none" w:sz="0" w:space="0" w:color="auto"/>
              </w:divBdr>
            </w:div>
            <w:div w:id="274489054">
              <w:marLeft w:val="0"/>
              <w:marRight w:val="0"/>
              <w:marTop w:val="0"/>
              <w:marBottom w:val="0"/>
              <w:divBdr>
                <w:top w:val="none" w:sz="0" w:space="0" w:color="auto"/>
                <w:left w:val="none" w:sz="0" w:space="0" w:color="auto"/>
                <w:bottom w:val="none" w:sz="0" w:space="0" w:color="auto"/>
                <w:right w:val="none" w:sz="0" w:space="0" w:color="auto"/>
              </w:divBdr>
              <w:divsChild>
                <w:div w:id="1118377696">
                  <w:marLeft w:val="0"/>
                  <w:marRight w:val="0"/>
                  <w:marTop w:val="0"/>
                  <w:marBottom w:val="0"/>
                  <w:divBdr>
                    <w:top w:val="none" w:sz="0" w:space="0" w:color="auto"/>
                    <w:left w:val="none" w:sz="0" w:space="0" w:color="auto"/>
                    <w:bottom w:val="none" w:sz="0" w:space="0" w:color="auto"/>
                    <w:right w:val="none" w:sz="0" w:space="0" w:color="auto"/>
                  </w:divBdr>
                </w:div>
              </w:divsChild>
            </w:div>
            <w:div w:id="275217087">
              <w:marLeft w:val="0"/>
              <w:marRight w:val="0"/>
              <w:marTop w:val="0"/>
              <w:marBottom w:val="0"/>
              <w:divBdr>
                <w:top w:val="none" w:sz="0" w:space="0" w:color="auto"/>
                <w:left w:val="none" w:sz="0" w:space="0" w:color="auto"/>
                <w:bottom w:val="none" w:sz="0" w:space="0" w:color="auto"/>
                <w:right w:val="none" w:sz="0" w:space="0" w:color="auto"/>
              </w:divBdr>
              <w:divsChild>
                <w:div w:id="1419325060">
                  <w:marLeft w:val="0"/>
                  <w:marRight w:val="0"/>
                  <w:marTop w:val="0"/>
                  <w:marBottom w:val="0"/>
                  <w:divBdr>
                    <w:top w:val="none" w:sz="0" w:space="0" w:color="auto"/>
                    <w:left w:val="none" w:sz="0" w:space="0" w:color="auto"/>
                    <w:bottom w:val="none" w:sz="0" w:space="0" w:color="auto"/>
                    <w:right w:val="none" w:sz="0" w:space="0" w:color="auto"/>
                  </w:divBdr>
                </w:div>
              </w:divsChild>
            </w:div>
            <w:div w:id="276914016">
              <w:marLeft w:val="0"/>
              <w:marRight w:val="0"/>
              <w:marTop w:val="0"/>
              <w:marBottom w:val="0"/>
              <w:divBdr>
                <w:top w:val="none" w:sz="0" w:space="0" w:color="auto"/>
                <w:left w:val="none" w:sz="0" w:space="0" w:color="auto"/>
                <w:bottom w:val="none" w:sz="0" w:space="0" w:color="auto"/>
                <w:right w:val="none" w:sz="0" w:space="0" w:color="auto"/>
              </w:divBdr>
              <w:divsChild>
                <w:div w:id="1160346249">
                  <w:marLeft w:val="0"/>
                  <w:marRight w:val="0"/>
                  <w:marTop w:val="0"/>
                  <w:marBottom w:val="0"/>
                  <w:divBdr>
                    <w:top w:val="none" w:sz="0" w:space="0" w:color="auto"/>
                    <w:left w:val="none" w:sz="0" w:space="0" w:color="auto"/>
                    <w:bottom w:val="none" w:sz="0" w:space="0" w:color="auto"/>
                    <w:right w:val="none" w:sz="0" w:space="0" w:color="auto"/>
                  </w:divBdr>
                </w:div>
              </w:divsChild>
            </w:div>
            <w:div w:id="279185906">
              <w:marLeft w:val="0"/>
              <w:marRight w:val="0"/>
              <w:marTop w:val="0"/>
              <w:marBottom w:val="0"/>
              <w:divBdr>
                <w:top w:val="none" w:sz="0" w:space="0" w:color="auto"/>
                <w:left w:val="none" w:sz="0" w:space="0" w:color="auto"/>
                <w:bottom w:val="none" w:sz="0" w:space="0" w:color="auto"/>
                <w:right w:val="none" w:sz="0" w:space="0" w:color="auto"/>
              </w:divBdr>
              <w:divsChild>
                <w:div w:id="1401636479">
                  <w:marLeft w:val="0"/>
                  <w:marRight w:val="0"/>
                  <w:marTop w:val="0"/>
                  <w:marBottom w:val="0"/>
                  <w:divBdr>
                    <w:top w:val="none" w:sz="0" w:space="0" w:color="auto"/>
                    <w:left w:val="none" w:sz="0" w:space="0" w:color="auto"/>
                    <w:bottom w:val="none" w:sz="0" w:space="0" w:color="auto"/>
                    <w:right w:val="none" w:sz="0" w:space="0" w:color="auto"/>
                  </w:divBdr>
                </w:div>
              </w:divsChild>
            </w:div>
            <w:div w:id="279650860">
              <w:marLeft w:val="0"/>
              <w:marRight w:val="0"/>
              <w:marTop w:val="0"/>
              <w:marBottom w:val="0"/>
              <w:divBdr>
                <w:top w:val="none" w:sz="0" w:space="0" w:color="auto"/>
                <w:left w:val="none" w:sz="0" w:space="0" w:color="auto"/>
                <w:bottom w:val="none" w:sz="0" w:space="0" w:color="auto"/>
                <w:right w:val="none" w:sz="0" w:space="0" w:color="auto"/>
              </w:divBdr>
              <w:divsChild>
                <w:div w:id="2036348799">
                  <w:marLeft w:val="0"/>
                  <w:marRight w:val="0"/>
                  <w:marTop w:val="0"/>
                  <w:marBottom w:val="0"/>
                  <w:divBdr>
                    <w:top w:val="none" w:sz="0" w:space="0" w:color="auto"/>
                    <w:left w:val="none" w:sz="0" w:space="0" w:color="auto"/>
                    <w:bottom w:val="none" w:sz="0" w:space="0" w:color="auto"/>
                    <w:right w:val="none" w:sz="0" w:space="0" w:color="auto"/>
                  </w:divBdr>
                </w:div>
              </w:divsChild>
            </w:div>
            <w:div w:id="282347770">
              <w:marLeft w:val="0"/>
              <w:marRight w:val="0"/>
              <w:marTop w:val="0"/>
              <w:marBottom w:val="0"/>
              <w:divBdr>
                <w:top w:val="none" w:sz="0" w:space="0" w:color="auto"/>
                <w:left w:val="none" w:sz="0" w:space="0" w:color="auto"/>
                <w:bottom w:val="none" w:sz="0" w:space="0" w:color="auto"/>
                <w:right w:val="none" w:sz="0" w:space="0" w:color="auto"/>
              </w:divBdr>
              <w:divsChild>
                <w:div w:id="1976715049">
                  <w:marLeft w:val="0"/>
                  <w:marRight w:val="0"/>
                  <w:marTop w:val="0"/>
                  <w:marBottom w:val="0"/>
                  <w:divBdr>
                    <w:top w:val="none" w:sz="0" w:space="0" w:color="auto"/>
                    <w:left w:val="none" w:sz="0" w:space="0" w:color="auto"/>
                    <w:bottom w:val="none" w:sz="0" w:space="0" w:color="auto"/>
                    <w:right w:val="none" w:sz="0" w:space="0" w:color="auto"/>
                  </w:divBdr>
                </w:div>
              </w:divsChild>
            </w:div>
            <w:div w:id="282884217">
              <w:marLeft w:val="0"/>
              <w:marRight w:val="0"/>
              <w:marTop w:val="300"/>
              <w:marBottom w:val="300"/>
              <w:divBdr>
                <w:top w:val="none" w:sz="0" w:space="0" w:color="auto"/>
                <w:left w:val="none" w:sz="0" w:space="0" w:color="auto"/>
                <w:bottom w:val="none" w:sz="0" w:space="0" w:color="auto"/>
                <w:right w:val="none" w:sz="0" w:space="0" w:color="auto"/>
              </w:divBdr>
            </w:div>
            <w:div w:id="283928697">
              <w:marLeft w:val="0"/>
              <w:marRight w:val="0"/>
              <w:marTop w:val="0"/>
              <w:marBottom w:val="0"/>
              <w:divBdr>
                <w:top w:val="none" w:sz="0" w:space="0" w:color="auto"/>
                <w:left w:val="none" w:sz="0" w:space="0" w:color="auto"/>
                <w:bottom w:val="none" w:sz="0" w:space="0" w:color="auto"/>
                <w:right w:val="none" w:sz="0" w:space="0" w:color="auto"/>
              </w:divBdr>
              <w:divsChild>
                <w:div w:id="488178709">
                  <w:marLeft w:val="0"/>
                  <w:marRight w:val="0"/>
                  <w:marTop w:val="0"/>
                  <w:marBottom w:val="0"/>
                  <w:divBdr>
                    <w:top w:val="none" w:sz="0" w:space="0" w:color="auto"/>
                    <w:left w:val="none" w:sz="0" w:space="0" w:color="auto"/>
                    <w:bottom w:val="none" w:sz="0" w:space="0" w:color="auto"/>
                    <w:right w:val="none" w:sz="0" w:space="0" w:color="auto"/>
                  </w:divBdr>
                </w:div>
              </w:divsChild>
            </w:div>
            <w:div w:id="284118971">
              <w:marLeft w:val="0"/>
              <w:marRight w:val="0"/>
              <w:marTop w:val="0"/>
              <w:marBottom w:val="0"/>
              <w:divBdr>
                <w:top w:val="none" w:sz="0" w:space="0" w:color="auto"/>
                <w:left w:val="none" w:sz="0" w:space="0" w:color="auto"/>
                <w:bottom w:val="none" w:sz="0" w:space="0" w:color="auto"/>
                <w:right w:val="none" w:sz="0" w:space="0" w:color="auto"/>
              </w:divBdr>
              <w:divsChild>
                <w:div w:id="400643372">
                  <w:marLeft w:val="0"/>
                  <w:marRight w:val="0"/>
                  <w:marTop w:val="0"/>
                  <w:marBottom w:val="0"/>
                  <w:divBdr>
                    <w:top w:val="none" w:sz="0" w:space="0" w:color="auto"/>
                    <w:left w:val="none" w:sz="0" w:space="0" w:color="auto"/>
                    <w:bottom w:val="none" w:sz="0" w:space="0" w:color="auto"/>
                    <w:right w:val="none" w:sz="0" w:space="0" w:color="auto"/>
                  </w:divBdr>
                </w:div>
              </w:divsChild>
            </w:div>
            <w:div w:id="284120153">
              <w:marLeft w:val="0"/>
              <w:marRight w:val="0"/>
              <w:marTop w:val="0"/>
              <w:marBottom w:val="0"/>
              <w:divBdr>
                <w:top w:val="none" w:sz="0" w:space="0" w:color="auto"/>
                <w:left w:val="none" w:sz="0" w:space="0" w:color="auto"/>
                <w:bottom w:val="none" w:sz="0" w:space="0" w:color="auto"/>
                <w:right w:val="none" w:sz="0" w:space="0" w:color="auto"/>
              </w:divBdr>
              <w:divsChild>
                <w:div w:id="1952857323">
                  <w:marLeft w:val="0"/>
                  <w:marRight w:val="0"/>
                  <w:marTop w:val="0"/>
                  <w:marBottom w:val="0"/>
                  <w:divBdr>
                    <w:top w:val="none" w:sz="0" w:space="0" w:color="auto"/>
                    <w:left w:val="none" w:sz="0" w:space="0" w:color="auto"/>
                    <w:bottom w:val="none" w:sz="0" w:space="0" w:color="auto"/>
                    <w:right w:val="none" w:sz="0" w:space="0" w:color="auto"/>
                  </w:divBdr>
                </w:div>
              </w:divsChild>
            </w:div>
            <w:div w:id="287973405">
              <w:marLeft w:val="0"/>
              <w:marRight w:val="0"/>
              <w:marTop w:val="0"/>
              <w:marBottom w:val="0"/>
              <w:divBdr>
                <w:top w:val="none" w:sz="0" w:space="0" w:color="auto"/>
                <w:left w:val="none" w:sz="0" w:space="0" w:color="auto"/>
                <w:bottom w:val="none" w:sz="0" w:space="0" w:color="auto"/>
                <w:right w:val="none" w:sz="0" w:space="0" w:color="auto"/>
              </w:divBdr>
              <w:divsChild>
                <w:div w:id="786580261">
                  <w:marLeft w:val="0"/>
                  <w:marRight w:val="0"/>
                  <w:marTop w:val="0"/>
                  <w:marBottom w:val="0"/>
                  <w:divBdr>
                    <w:top w:val="none" w:sz="0" w:space="0" w:color="auto"/>
                    <w:left w:val="none" w:sz="0" w:space="0" w:color="auto"/>
                    <w:bottom w:val="none" w:sz="0" w:space="0" w:color="auto"/>
                    <w:right w:val="none" w:sz="0" w:space="0" w:color="auto"/>
                  </w:divBdr>
                </w:div>
              </w:divsChild>
            </w:div>
            <w:div w:id="289633006">
              <w:marLeft w:val="0"/>
              <w:marRight w:val="0"/>
              <w:marTop w:val="0"/>
              <w:marBottom w:val="0"/>
              <w:divBdr>
                <w:top w:val="none" w:sz="0" w:space="0" w:color="auto"/>
                <w:left w:val="none" w:sz="0" w:space="0" w:color="auto"/>
                <w:bottom w:val="none" w:sz="0" w:space="0" w:color="auto"/>
                <w:right w:val="none" w:sz="0" w:space="0" w:color="auto"/>
              </w:divBdr>
              <w:divsChild>
                <w:div w:id="273446183">
                  <w:marLeft w:val="0"/>
                  <w:marRight w:val="0"/>
                  <w:marTop w:val="0"/>
                  <w:marBottom w:val="0"/>
                  <w:divBdr>
                    <w:top w:val="none" w:sz="0" w:space="0" w:color="auto"/>
                    <w:left w:val="none" w:sz="0" w:space="0" w:color="auto"/>
                    <w:bottom w:val="none" w:sz="0" w:space="0" w:color="auto"/>
                    <w:right w:val="none" w:sz="0" w:space="0" w:color="auto"/>
                  </w:divBdr>
                </w:div>
              </w:divsChild>
            </w:div>
            <w:div w:id="290205944">
              <w:marLeft w:val="0"/>
              <w:marRight w:val="0"/>
              <w:marTop w:val="0"/>
              <w:marBottom w:val="0"/>
              <w:divBdr>
                <w:top w:val="none" w:sz="0" w:space="0" w:color="auto"/>
                <w:left w:val="none" w:sz="0" w:space="0" w:color="auto"/>
                <w:bottom w:val="none" w:sz="0" w:space="0" w:color="auto"/>
                <w:right w:val="none" w:sz="0" w:space="0" w:color="auto"/>
              </w:divBdr>
              <w:divsChild>
                <w:div w:id="1805728702">
                  <w:marLeft w:val="0"/>
                  <w:marRight w:val="0"/>
                  <w:marTop w:val="0"/>
                  <w:marBottom w:val="0"/>
                  <w:divBdr>
                    <w:top w:val="none" w:sz="0" w:space="0" w:color="auto"/>
                    <w:left w:val="none" w:sz="0" w:space="0" w:color="auto"/>
                    <w:bottom w:val="none" w:sz="0" w:space="0" w:color="auto"/>
                    <w:right w:val="none" w:sz="0" w:space="0" w:color="auto"/>
                  </w:divBdr>
                </w:div>
              </w:divsChild>
            </w:div>
            <w:div w:id="290865699">
              <w:marLeft w:val="0"/>
              <w:marRight w:val="0"/>
              <w:marTop w:val="0"/>
              <w:marBottom w:val="0"/>
              <w:divBdr>
                <w:top w:val="none" w:sz="0" w:space="0" w:color="auto"/>
                <w:left w:val="none" w:sz="0" w:space="0" w:color="auto"/>
                <w:bottom w:val="none" w:sz="0" w:space="0" w:color="auto"/>
                <w:right w:val="none" w:sz="0" w:space="0" w:color="auto"/>
              </w:divBdr>
              <w:divsChild>
                <w:div w:id="1160660453">
                  <w:marLeft w:val="0"/>
                  <w:marRight w:val="0"/>
                  <w:marTop w:val="0"/>
                  <w:marBottom w:val="0"/>
                  <w:divBdr>
                    <w:top w:val="none" w:sz="0" w:space="0" w:color="auto"/>
                    <w:left w:val="none" w:sz="0" w:space="0" w:color="auto"/>
                    <w:bottom w:val="none" w:sz="0" w:space="0" w:color="auto"/>
                    <w:right w:val="none" w:sz="0" w:space="0" w:color="auto"/>
                  </w:divBdr>
                </w:div>
              </w:divsChild>
            </w:div>
            <w:div w:id="291135175">
              <w:marLeft w:val="0"/>
              <w:marRight w:val="0"/>
              <w:marTop w:val="0"/>
              <w:marBottom w:val="0"/>
              <w:divBdr>
                <w:top w:val="none" w:sz="0" w:space="0" w:color="auto"/>
                <w:left w:val="none" w:sz="0" w:space="0" w:color="auto"/>
                <w:bottom w:val="none" w:sz="0" w:space="0" w:color="auto"/>
                <w:right w:val="none" w:sz="0" w:space="0" w:color="auto"/>
              </w:divBdr>
              <w:divsChild>
                <w:div w:id="500511921">
                  <w:marLeft w:val="0"/>
                  <w:marRight w:val="0"/>
                  <w:marTop w:val="0"/>
                  <w:marBottom w:val="0"/>
                  <w:divBdr>
                    <w:top w:val="none" w:sz="0" w:space="0" w:color="auto"/>
                    <w:left w:val="none" w:sz="0" w:space="0" w:color="auto"/>
                    <w:bottom w:val="none" w:sz="0" w:space="0" w:color="auto"/>
                    <w:right w:val="none" w:sz="0" w:space="0" w:color="auto"/>
                  </w:divBdr>
                </w:div>
              </w:divsChild>
            </w:div>
            <w:div w:id="292836562">
              <w:marLeft w:val="0"/>
              <w:marRight w:val="0"/>
              <w:marTop w:val="0"/>
              <w:marBottom w:val="0"/>
              <w:divBdr>
                <w:top w:val="none" w:sz="0" w:space="0" w:color="auto"/>
                <w:left w:val="none" w:sz="0" w:space="0" w:color="auto"/>
                <w:bottom w:val="none" w:sz="0" w:space="0" w:color="auto"/>
                <w:right w:val="none" w:sz="0" w:space="0" w:color="auto"/>
              </w:divBdr>
              <w:divsChild>
                <w:div w:id="588540589">
                  <w:marLeft w:val="0"/>
                  <w:marRight w:val="0"/>
                  <w:marTop w:val="0"/>
                  <w:marBottom w:val="0"/>
                  <w:divBdr>
                    <w:top w:val="none" w:sz="0" w:space="0" w:color="auto"/>
                    <w:left w:val="none" w:sz="0" w:space="0" w:color="auto"/>
                    <w:bottom w:val="none" w:sz="0" w:space="0" w:color="auto"/>
                    <w:right w:val="none" w:sz="0" w:space="0" w:color="auto"/>
                  </w:divBdr>
                </w:div>
              </w:divsChild>
            </w:div>
            <w:div w:id="295334761">
              <w:marLeft w:val="0"/>
              <w:marRight w:val="0"/>
              <w:marTop w:val="300"/>
              <w:marBottom w:val="300"/>
              <w:divBdr>
                <w:top w:val="none" w:sz="0" w:space="0" w:color="auto"/>
                <w:left w:val="none" w:sz="0" w:space="0" w:color="auto"/>
                <w:bottom w:val="none" w:sz="0" w:space="0" w:color="auto"/>
                <w:right w:val="none" w:sz="0" w:space="0" w:color="auto"/>
              </w:divBdr>
            </w:div>
            <w:div w:id="296879819">
              <w:marLeft w:val="0"/>
              <w:marRight w:val="0"/>
              <w:marTop w:val="0"/>
              <w:marBottom w:val="0"/>
              <w:divBdr>
                <w:top w:val="none" w:sz="0" w:space="0" w:color="auto"/>
                <w:left w:val="none" w:sz="0" w:space="0" w:color="auto"/>
                <w:bottom w:val="none" w:sz="0" w:space="0" w:color="auto"/>
                <w:right w:val="none" w:sz="0" w:space="0" w:color="auto"/>
              </w:divBdr>
              <w:divsChild>
                <w:div w:id="2117289335">
                  <w:marLeft w:val="0"/>
                  <w:marRight w:val="0"/>
                  <w:marTop w:val="0"/>
                  <w:marBottom w:val="0"/>
                  <w:divBdr>
                    <w:top w:val="none" w:sz="0" w:space="0" w:color="auto"/>
                    <w:left w:val="none" w:sz="0" w:space="0" w:color="auto"/>
                    <w:bottom w:val="none" w:sz="0" w:space="0" w:color="auto"/>
                    <w:right w:val="none" w:sz="0" w:space="0" w:color="auto"/>
                  </w:divBdr>
                </w:div>
              </w:divsChild>
            </w:div>
            <w:div w:id="297421682">
              <w:marLeft w:val="0"/>
              <w:marRight w:val="0"/>
              <w:marTop w:val="0"/>
              <w:marBottom w:val="0"/>
              <w:divBdr>
                <w:top w:val="none" w:sz="0" w:space="0" w:color="auto"/>
                <w:left w:val="none" w:sz="0" w:space="0" w:color="auto"/>
                <w:bottom w:val="none" w:sz="0" w:space="0" w:color="auto"/>
                <w:right w:val="none" w:sz="0" w:space="0" w:color="auto"/>
              </w:divBdr>
              <w:divsChild>
                <w:div w:id="2120442761">
                  <w:marLeft w:val="0"/>
                  <w:marRight w:val="0"/>
                  <w:marTop w:val="0"/>
                  <w:marBottom w:val="0"/>
                  <w:divBdr>
                    <w:top w:val="none" w:sz="0" w:space="0" w:color="auto"/>
                    <w:left w:val="none" w:sz="0" w:space="0" w:color="auto"/>
                    <w:bottom w:val="none" w:sz="0" w:space="0" w:color="auto"/>
                    <w:right w:val="none" w:sz="0" w:space="0" w:color="auto"/>
                  </w:divBdr>
                </w:div>
              </w:divsChild>
            </w:div>
            <w:div w:id="297994752">
              <w:marLeft w:val="0"/>
              <w:marRight w:val="0"/>
              <w:marTop w:val="0"/>
              <w:marBottom w:val="0"/>
              <w:divBdr>
                <w:top w:val="none" w:sz="0" w:space="0" w:color="auto"/>
                <w:left w:val="none" w:sz="0" w:space="0" w:color="auto"/>
                <w:bottom w:val="none" w:sz="0" w:space="0" w:color="auto"/>
                <w:right w:val="none" w:sz="0" w:space="0" w:color="auto"/>
              </w:divBdr>
              <w:divsChild>
                <w:div w:id="263618332">
                  <w:marLeft w:val="0"/>
                  <w:marRight w:val="0"/>
                  <w:marTop w:val="0"/>
                  <w:marBottom w:val="0"/>
                  <w:divBdr>
                    <w:top w:val="none" w:sz="0" w:space="0" w:color="auto"/>
                    <w:left w:val="none" w:sz="0" w:space="0" w:color="auto"/>
                    <w:bottom w:val="none" w:sz="0" w:space="0" w:color="auto"/>
                    <w:right w:val="none" w:sz="0" w:space="0" w:color="auto"/>
                  </w:divBdr>
                </w:div>
              </w:divsChild>
            </w:div>
            <w:div w:id="298539122">
              <w:marLeft w:val="0"/>
              <w:marRight w:val="0"/>
              <w:marTop w:val="0"/>
              <w:marBottom w:val="0"/>
              <w:divBdr>
                <w:top w:val="none" w:sz="0" w:space="0" w:color="auto"/>
                <w:left w:val="none" w:sz="0" w:space="0" w:color="auto"/>
                <w:bottom w:val="none" w:sz="0" w:space="0" w:color="auto"/>
                <w:right w:val="none" w:sz="0" w:space="0" w:color="auto"/>
              </w:divBdr>
              <w:divsChild>
                <w:div w:id="1958677248">
                  <w:marLeft w:val="0"/>
                  <w:marRight w:val="0"/>
                  <w:marTop w:val="0"/>
                  <w:marBottom w:val="0"/>
                  <w:divBdr>
                    <w:top w:val="none" w:sz="0" w:space="0" w:color="auto"/>
                    <w:left w:val="none" w:sz="0" w:space="0" w:color="auto"/>
                    <w:bottom w:val="none" w:sz="0" w:space="0" w:color="auto"/>
                    <w:right w:val="none" w:sz="0" w:space="0" w:color="auto"/>
                  </w:divBdr>
                </w:div>
              </w:divsChild>
            </w:div>
            <w:div w:id="299309769">
              <w:marLeft w:val="0"/>
              <w:marRight w:val="0"/>
              <w:marTop w:val="0"/>
              <w:marBottom w:val="0"/>
              <w:divBdr>
                <w:top w:val="none" w:sz="0" w:space="0" w:color="auto"/>
                <w:left w:val="none" w:sz="0" w:space="0" w:color="auto"/>
                <w:bottom w:val="none" w:sz="0" w:space="0" w:color="auto"/>
                <w:right w:val="none" w:sz="0" w:space="0" w:color="auto"/>
              </w:divBdr>
              <w:divsChild>
                <w:div w:id="1362129028">
                  <w:marLeft w:val="0"/>
                  <w:marRight w:val="0"/>
                  <w:marTop w:val="0"/>
                  <w:marBottom w:val="0"/>
                  <w:divBdr>
                    <w:top w:val="none" w:sz="0" w:space="0" w:color="auto"/>
                    <w:left w:val="none" w:sz="0" w:space="0" w:color="auto"/>
                    <w:bottom w:val="none" w:sz="0" w:space="0" w:color="auto"/>
                    <w:right w:val="none" w:sz="0" w:space="0" w:color="auto"/>
                  </w:divBdr>
                </w:div>
              </w:divsChild>
            </w:div>
            <w:div w:id="300766080">
              <w:marLeft w:val="0"/>
              <w:marRight w:val="0"/>
              <w:marTop w:val="0"/>
              <w:marBottom w:val="0"/>
              <w:divBdr>
                <w:top w:val="none" w:sz="0" w:space="0" w:color="auto"/>
                <w:left w:val="none" w:sz="0" w:space="0" w:color="auto"/>
                <w:bottom w:val="none" w:sz="0" w:space="0" w:color="auto"/>
                <w:right w:val="none" w:sz="0" w:space="0" w:color="auto"/>
              </w:divBdr>
              <w:divsChild>
                <w:div w:id="1186210515">
                  <w:marLeft w:val="0"/>
                  <w:marRight w:val="0"/>
                  <w:marTop w:val="0"/>
                  <w:marBottom w:val="0"/>
                  <w:divBdr>
                    <w:top w:val="none" w:sz="0" w:space="0" w:color="auto"/>
                    <w:left w:val="none" w:sz="0" w:space="0" w:color="auto"/>
                    <w:bottom w:val="none" w:sz="0" w:space="0" w:color="auto"/>
                    <w:right w:val="none" w:sz="0" w:space="0" w:color="auto"/>
                  </w:divBdr>
                </w:div>
              </w:divsChild>
            </w:div>
            <w:div w:id="301156351">
              <w:marLeft w:val="0"/>
              <w:marRight w:val="0"/>
              <w:marTop w:val="0"/>
              <w:marBottom w:val="0"/>
              <w:divBdr>
                <w:top w:val="none" w:sz="0" w:space="0" w:color="auto"/>
                <w:left w:val="none" w:sz="0" w:space="0" w:color="auto"/>
                <w:bottom w:val="none" w:sz="0" w:space="0" w:color="auto"/>
                <w:right w:val="none" w:sz="0" w:space="0" w:color="auto"/>
              </w:divBdr>
              <w:divsChild>
                <w:div w:id="1171218075">
                  <w:marLeft w:val="0"/>
                  <w:marRight w:val="0"/>
                  <w:marTop w:val="0"/>
                  <w:marBottom w:val="0"/>
                  <w:divBdr>
                    <w:top w:val="none" w:sz="0" w:space="0" w:color="auto"/>
                    <w:left w:val="none" w:sz="0" w:space="0" w:color="auto"/>
                    <w:bottom w:val="none" w:sz="0" w:space="0" w:color="auto"/>
                    <w:right w:val="none" w:sz="0" w:space="0" w:color="auto"/>
                  </w:divBdr>
                </w:div>
              </w:divsChild>
            </w:div>
            <w:div w:id="301739691">
              <w:marLeft w:val="0"/>
              <w:marRight w:val="0"/>
              <w:marTop w:val="0"/>
              <w:marBottom w:val="0"/>
              <w:divBdr>
                <w:top w:val="none" w:sz="0" w:space="0" w:color="auto"/>
                <w:left w:val="none" w:sz="0" w:space="0" w:color="auto"/>
                <w:bottom w:val="none" w:sz="0" w:space="0" w:color="auto"/>
                <w:right w:val="none" w:sz="0" w:space="0" w:color="auto"/>
              </w:divBdr>
              <w:divsChild>
                <w:div w:id="1731153335">
                  <w:marLeft w:val="0"/>
                  <w:marRight w:val="0"/>
                  <w:marTop w:val="0"/>
                  <w:marBottom w:val="0"/>
                  <w:divBdr>
                    <w:top w:val="none" w:sz="0" w:space="0" w:color="auto"/>
                    <w:left w:val="none" w:sz="0" w:space="0" w:color="auto"/>
                    <w:bottom w:val="none" w:sz="0" w:space="0" w:color="auto"/>
                    <w:right w:val="none" w:sz="0" w:space="0" w:color="auto"/>
                  </w:divBdr>
                </w:div>
              </w:divsChild>
            </w:div>
            <w:div w:id="307560554">
              <w:marLeft w:val="0"/>
              <w:marRight w:val="0"/>
              <w:marTop w:val="300"/>
              <w:marBottom w:val="300"/>
              <w:divBdr>
                <w:top w:val="none" w:sz="0" w:space="0" w:color="auto"/>
                <w:left w:val="none" w:sz="0" w:space="0" w:color="auto"/>
                <w:bottom w:val="none" w:sz="0" w:space="0" w:color="auto"/>
                <w:right w:val="none" w:sz="0" w:space="0" w:color="auto"/>
              </w:divBdr>
            </w:div>
            <w:div w:id="308169512">
              <w:marLeft w:val="0"/>
              <w:marRight w:val="0"/>
              <w:marTop w:val="0"/>
              <w:marBottom w:val="0"/>
              <w:divBdr>
                <w:top w:val="none" w:sz="0" w:space="0" w:color="auto"/>
                <w:left w:val="none" w:sz="0" w:space="0" w:color="auto"/>
                <w:bottom w:val="none" w:sz="0" w:space="0" w:color="auto"/>
                <w:right w:val="none" w:sz="0" w:space="0" w:color="auto"/>
              </w:divBdr>
              <w:divsChild>
                <w:div w:id="1789616289">
                  <w:marLeft w:val="0"/>
                  <w:marRight w:val="0"/>
                  <w:marTop w:val="0"/>
                  <w:marBottom w:val="0"/>
                  <w:divBdr>
                    <w:top w:val="none" w:sz="0" w:space="0" w:color="auto"/>
                    <w:left w:val="none" w:sz="0" w:space="0" w:color="auto"/>
                    <w:bottom w:val="none" w:sz="0" w:space="0" w:color="auto"/>
                    <w:right w:val="none" w:sz="0" w:space="0" w:color="auto"/>
                  </w:divBdr>
                </w:div>
              </w:divsChild>
            </w:div>
            <w:div w:id="310797174">
              <w:marLeft w:val="0"/>
              <w:marRight w:val="0"/>
              <w:marTop w:val="300"/>
              <w:marBottom w:val="300"/>
              <w:divBdr>
                <w:top w:val="none" w:sz="0" w:space="0" w:color="auto"/>
                <w:left w:val="none" w:sz="0" w:space="0" w:color="auto"/>
                <w:bottom w:val="none" w:sz="0" w:space="0" w:color="auto"/>
                <w:right w:val="none" w:sz="0" w:space="0" w:color="auto"/>
              </w:divBdr>
            </w:div>
            <w:div w:id="310839508">
              <w:marLeft w:val="0"/>
              <w:marRight w:val="0"/>
              <w:marTop w:val="0"/>
              <w:marBottom w:val="0"/>
              <w:divBdr>
                <w:top w:val="none" w:sz="0" w:space="0" w:color="auto"/>
                <w:left w:val="none" w:sz="0" w:space="0" w:color="auto"/>
                <w:bottom w:val="none" w:sz="0" w:space="0" w:color="auto"/>
                <w:right w:val="none" w:sz="0" w:space="0" w:color="auto"/>
              </w:divBdr>
              <w:divsChild>
                <w:div w:id="1113327210">
                  <w:marLeft w:val="0"/>
                  <w:marRight w:val="0"/>
                  <w:marTop w:val="0"/>
                  <w:marBottom w:val="0"/>
                  <w:divBdr>
                    <w:top w:val="none" w:sz="0" w:space="0" w:color="auto"/>
                    <w:left w:val="none" w:sz="0" w:space="0" w:color="auto"/>
                    <w:bottom w:val="none" w:sz="0" w:space="0" w:color="auto"/>
                    <w:right w:val="none" w:sz="0" w:space="0" w:color="auto"/>
                  </w:divBdr>
                </w:div>
              </w:divsChild>
            </w:div>
            <w:div w:id="311521564">
              <w:marLeft w:val="0"/>
              <w:marRight w:val="0"/>
              <w:marTop w:val="0"/>
              <w:marBottom w:val="0"/>
              <w:divBdr>
                <w:top w:val="none" w:sz="0" w:space="0" w:color="auto"/>
                <w:left w:val="none" w:sz="0" w:space="0" w:color="auto"/>
                <w:bottom w:val="none" w:sz="0" w:space="0" w:color="auto"/>
                <w:right w:val="none" w:sz="0" w:space="0" w:color="auto"/>
              </w:divBdr>
              <w:divsChild>
                <w:div w:id="1349865731">
                  <w:marLeft w:val="0"/>
                  <w:marRight w:val="0"/>
                  <w:marTop w:val="0"/>
                  <w:marBottom w:val="0"/>
                  <w:divBdr>
                    <w:top w:val="none" w:sz="0" w:space="0" w:color="auto"/>
                    <w:left w:val="none" w:sz="0" w:space="0" w:color="auto"/>
                    <w:bottom w:val="none" w:sz="0" w:space="0" w:color="auto"/>
                    <w:right w:val="none" w:sz="0" w:space="0" w:color="auto"/>
                  </w:divBdr>
                </w:div>
              </w:divsChild>
            </w:div>
            <w:div w:id="312106130">
              <w:marLeft w:val="0"/>
              <w:marRight w:val="0"/>
              <w:marTop w:val="0"/>
              <w:marBottom w:val="0"/>
              <w:divBdr>
                <w:top w:val="none" w:sz="0" w:space="0" w:color="auto"/>
                <w:left w:val="none" w:sz="0" w:space="0" w:color="auto"/>
                <w:bottom w:val="none" w:sz="0" w:space="0" w:color="auto"/>
                <w:right w:val="none" w:sz="0" w:space="0" w:color="auto"/>
              </w:divBdr>
              <w:divsChild>
                <w:div w:id="1973705571">
                  <w:marLeft w:val="0"/>
                  <w:marRight w:val="0"/>
                  <w:marTop w:val="0"/>
                  <w:marBottom w:val="0"/>
                  <w:divBdr>
                    <w:top w:val="none" w:sz="0" w:space="0" w:color="auto"/>
                    <w:left w:val="none" w:sz="0" w:space="0" w:color="auto"/>
                    <w:bottom w:val="none" w:sz="0" w:space="0" w:color="auto"/>
                    <w:right w:val="none" w:sz="0" w:space="0" w:color="auto"/>
                  </w:divBdr>
                </w:div>
              </w:divsChild>
            </w:div>
            <w:div w:id="312174391">
              <w:marLeft w:val="0"/>
              <w:marRight w:val="0"/>
              <w:marTop w:val="0"/>
              <w:marBottom w:val="0"/>
              <w:divBdr>
                <w:top w:val="none" w:sz="0" w:space="0" w:color="auto"/>
                <w:left w:val="none" w:sz="0" w:space="0" w:color="auto"/>
                <w:bottom w:val="none" w:sz="0" w:space="0" w:color="auto"/>
                <w:right w:val="none" w:sz="0" w:space="0" w:color="auto"/>
              </w:divBdr>
              <w:divsChild>
                <w:div w:id="901059689">
                  <w:marLeft w:val="0"/>
                  <w:marRight w:val="0"/>
                  <w:marTop w:val="0"/>
                  <w:marBottom w:val="0"/>
                  <w:divBdr>
                    <w:top w:val="none" w:sz="0" w:space="0" w:color="auto"/>
                    <w:left w:val="none" w:sz="0" w:space="0" w:color="auto"/>
                    <w:bottom w:val="none" w:sz="0" w:space="0" w:color="auto"/>
                    <w:right w:val="none" w:sz="0" w:space="0" w:color="auto"/>
                  </w:divBdr>
                </w:div>
              </w:divsChild>
            </w:div>
            <w:div w:id="313221353">
              <w:marLeft w:val="0"/>
              <w:marRight w:val="0"/>
              <w:marTop w:val="0"/>
              <w:marBottom w:val="0"/>
              <w:divBdr>
                <w:top w:val="none" w:sz="0" w:space="0" w:color="auto"/>
                <w:left w:val="none" w:sz="0" w:space="0" w:color="auto"/>
                <w:bottom w:val="none" w:sz="0" w:space="0" w:color="auto"/>
                <w:right w:val="none" w:sz="0" w:space="0" w:color="auto"/>
              </w:divBdr>
              <w:divsChild>
                <w:div w:id="1294287050">
                  <w:marLeft w:val="0"/>
                  <w:marRight w:val="0"/>
                  <w:marTop w:val="0"/>
                  <w:marBottom w:val="0"/>
                  <w:divBdr>
                    <w:top w:val="none" w:sz="0" w:space="0" w:color="auto"/>
                    <w:left w:val="none" w:sz="0" w:space="0" w:color="auto"/>
                    <w:bottom w:val="none" w:sz="0" w:space="0" w:color="auto"/>
                    <w:right w:val="none" w:sz="0" w:space="0" w:color="auto"/>
                  </w:divBdr>
                </w:div>
              </w:divsChild>
            </w:div>
            <w:div w:id="314526899">
              <w:marLeft w:val="0"/>
              <w:marRight w:val="0"/>
              <w:marTop w:val="0"/>
              <w:marBottom w:val="0"/>
              <w:divBdr>
                <w:top w:val="none" w:sz="0" w:space="0" w:color="auto"/>
                <w:left w:val="none" w:sz="0" w:space="0" w:color="auto"/>
                <w:bottom w:val="none" w:sz="0" w:space="0" w:color="auto"/>
                <w:right w:val="none" w:sz="0" w:space="0" w:color="auto"/>
              </w:divBdr>
              <w:divsChild>
                <w:div w:id="1585530825">
                  <w:marLeft w:val="0"/>
                  <w:marRight w:val="0"/>
                  <w:marTop w:val="0"/>
                  <w:marBottom w:val="0"/>
                  <w:divBdr>
                    <w:top w:val="none" w:sz="0" w:space="0" w:color="auto"/>
                    <w:left w:val="none" w:sz="0" w:space="0" w:color="auto"/>
                    <w:bottom w:val="none" w:sz="0" w:space="0" w:color="auto"/>
                    <w:right w:val="none" w:sz="0" w:space="0" w:color="auto"/>
                  </w:divBdr>
                </w:div>
              </w:divsChild>
            </w:div>
            <w:div w:id="314838852">
              <w:marLeft w:val="0"/>
              <w:marRight w:val="0"/>
              <w:marTop w:val="0"/>
              <w:marBottom w:val="0"/>
              <w:divBdr>
                <w:top w:val="none" w:sz="0" w:space="0" w:color="auto"/>
                <w:left w:val="none" w:sz="0" w:space="0" w:color="auto"/>
                <w:bottom w:val="none" w:sz="0" w:space="0" w:color="auto"/>
                <w:right w:val="none" w:sz="0" w:space="0" w:color="auto"/>
              </w:divBdr>
              <w:divsChild>
                <w:div w:id="1394352187">
                  <w:marLeft w:val="0"/>
                  <w:marRight w:val="0"/>
                  <w:marTop w:val="0"/>
                  <w:marBottom w:val="0"/>
                  <w:divBdr>
                    <w:top w:val="none" w:sz="0" w:space="0" w:color="auto"/>
                    <w:left w:val="none" w:sz="0" w:space="0" w:color="auto"/>
                    <w:bottom w:val="none" w:sz="0" w:space="0" w:color="auto"/>
                    <w:right w:val="none" w:sz="0" w:space="0" w:color="auto"/>
                  </w:divBdr>
                </w:div>
              </w:divsChild>
            </w:div>
            <w:div w:id="317422742">
              <w:marLeft w:val="0"/>
              <w:marRight w:val="0"/>
              <w:marTop w:val="0"/>
              <w:marBottom w:val="0"/>
              <w:divBdr>
                <w:top w:val="none" w:sz="0" w:space="0" w:color="auto"/>
                <w:left w:val="none" w:sz="0" w:space="0" w:color="auto"/>
                <w:bottom w:val="none" w:sz="0" w:space="0" w:color="auto"/>
                <w:right w:val="none" w:sz="0" w:space="0" w:color="auto"/>
              </w:divBdr>
              <w:divsChild>
                <w:div w:id="1388338206">
                  <w:marLeft w:val="0"/>
                  <w:marRight w:val="0"/>
                  <w:marTop w:val="0"/>
                  <w:marBottom w:val="0"/>
                  <w:divBdr>
                    <w:top w:val="none" w:sz="0" w:space="0" w:color="auto"/>
                    <w:left w:val="none" w:sz="0" w:space="0" w:color="auto"/>
                    <w:bottom w:val="none" w:sz="0" w:space="0" w:color="auto"/>
                    <w:right w:val="none" w:sz="0" w:space="0" w:color="auto"/>
                  </w:divBdr>
                </w:div>
              </w:divsChild>
            </w:div>
            <w:div w:id="317852487">
              <w:marLeft w:val="0"/>
              <w:marRight w:val="0"/>
              <w:marTop w:val="0"/>
              <w:marBottom w:val="0"/>
              <w:divBdr>
                <w:top w:val="none" w:sz="0" w:space="0" w:color="auto"/>
                <w:left w:val="none" w:sz="0" w:space="0" w:color="auto"/>
                <w:bottom w:val="none" w:sz="0" w:space="0" w:color="auto"/>
                <w:right w:val="none" w:sz="0" w:space="0" w:color="auto"/>
              </w:divBdr>
              <w:divsChild>
                <w:div w:id="99954845">
                  <w:marLeft w:val="0"/>
                  <w:marRight w:val="0"/>
                  <w:marTop w:val="0"/>
                  <w:marBottom w:val="0"/>
                  <w:divBdr>
                    <w:top w:val="none" w:sz="0" w:space="0" w:color="auto"/>
                    <w:left w:val="none" w:sz="0" w:space="0" w:color="auto"/>
                    <w:bottom w:val="none" w:sz="0" w:space="0" w:color="auto"/>
                    <w:right w:val="none" w:sz="0" w:space="0" w:color="auto"/>
                  </w:divBdr>
                </w:div>
              </w:divsChild>
            </w:div>
            <w:div w:id="318926840">
              <w:marLeft w:val="0"/>
              <w:marRight w:val="0"/>
              <w:marTop w:val="0"/>
              <w:marBottom w:val="0"/>
              <w:divBdr>
                <w:top w:val="none" w:sz="0" w:space="0" w:color="auto"/>
                <w:left w:val="none" w:sz="0" w:space="0" w:color="auto"/>
                <w:bottom w:val="none" w:sz="0" w:space="0" w:color="auto"/>
                <w:right w:val="none" w:sz="0" w:space="0" w:color="auto"/>
              </w:divBdr>
              <w:divsChild>
                <w:div w:id="1260675089">
                  <w:marLeft w:val="0"/>
                  <w:marRight w:val="0"/>
                  <w:marTop w:val="0"/>
                  <w:marBottom w:val="0"/>
                  <w:divBdr>
                    <w:top w:val="none" w:sz="0" w:space="0" w:color="auto"/>
                    <w:left w:val="none" w:sz="0" w:space="0" w:color="auto"/>
                    <w:bottom w:val="none" w:sz="0" w:space="0" w:color="auto"/>
                    <w:right w:val="none" w:sz="0" w:space="0" w:color="auto"/>
                  </w:divBdr>
                </w:div>
              </w:divsChild>
            </w:div>
            <w:div w:id="318929002">
              <w:marLeft w:val="0"/>
              <w:marRight w:val="0"/>
              <w:marTop w:val="0"/>
              <w:marBottom w:val="0"/>
              <w:divBdr>
                <w:top w:val="none" w:sz="0" w:space="0" w:color="auto"/>
                <w:left w:val="none" w:sz="0" w:space="0" w:color="auto"/>
                <w:bottom w:val="none" w:sz="0" w:space="0" w:color="auto"/>
                <w:right w:val="none" w:sz="0" w:space="0" w:color="auto"/>
              </w:divBdr>
              <w:divsChild>
                <w:div w:id="1116944241">
                  <w:marLeft w:val="0"/>
                  <w:marRight w:val="0"/>
                  <w:marTop w:val="0"/>
                  <w:marBottom w:val="0"/>
                  <w:divBdr>
                    <w:top w:val="none" w:sz="0" w:space="0" w:color="auto"/>
                    <w:left w:val="none" w:sz="0" w:space="0" w:color="auto"/>
                    <w:bottom w:val="none" w:sz="0" w:space="0" w:color="auto"/>
                    <w:right w:val="none" w:sz="0" w:space="0" w:color="auto"/>
                  </w:divBdr>
                </w:div>
              </w:divsChild>
            </w:div>
            <w:div w:id="320621600">
              <w:marLeft w:val="0"/>
              <w:marRight w:val="0"/>
              <w:marTop w:val="0"/>
              <w:marBottom w:val="0"/>
              <w:divBdr>
                <w:top w:val="none" w:sz="0" w:space="0" w:color="auto"/>
                <w:left w:val="none" w:sz="0" w:space="0" w:color="auto"/>
                <w:bottom w:val="none" w:sz="0" w:space="0" w:color="auto"/>
                <w:right w:val="none" w:sz="0" w:space="0" w:color="auto"/>
              </w:divBdr>
              <w:divsChild>
                <w:div w:id="863591995">
                  <w:marLeft w:val="0"/>
                  <w:marRight w:val="0"/>
                  <w:marTop w:val="0"/>
                  <w:marBottom w:val="0"/>
                  <w:divBdr>
                    <w:top w:val="none" w:sz="0" w:space="0" w:color="auto"/>
                    <w:left w:val="none" w:sz="0" w:space="0" w:color="auto"/>
                    <w:bottom w:val="none" w:sz="0" w:space="0" w:color="auto"/>
                    <w:right w:val="none" w:sz="0" w:space="0" w:color="auto"/>
                  </w:divBdr>
                </w:div>
              </w:divsChild>
            </w:div>
            <w:div w:id="320819412">
              <w:marLeft w:val="0"/>
              <w:marRight w:val="0"/>
              <w:marTop w:val="0"/>
              <w:marBottom w:val="0"/>
              <w:divBdr>
                <w:top w:val="none" w:sz="0" w:space="0" w:color="auto"/>
                <w:left w:val="none" w:sz="0" w:space="0" w:color="auto"/>
                <w:bottom w:val="none" w:sz="0" w:space="0" w:color="auto"/>
                <w:right w:val="none" w:sz="0" w:space="0" w:color="auto"/>
              </w:divBdr>
              <w:divsChild>
                <w:div w:id="1187869154">
                  <w:marLeft w:val="0"/>
                  <w:marRight w:val="0"/>
                  <w:marTop w:val="0"/>
                  <w:marBottom w:val="0"/>
                  <w:divBdr>
                    <w:top w:val="none" w:sz="0" w:space="0" w:color="auto"/>
                    <w:left w:val="none" w:sz="0" w:space="0" w:color="auto"/>
                    <w:bottom w:val="none" w:sz="0" w:space="0" w:color="auto"/>
                    <w:right w:val="none" w:sz="0" w:space="0" w:color="auto"/>
                  </w:divBdr>
                </w:div>
              </w:divsChild>
            </w:div>
            <w:div w:id="321277534">
              <w:marLeft w:val="0"/>
              <w:marRight w:val="0"/>
              <w:marTop w:val="0"/>
              <w:marBottom w:val="0"/>
              <w:divBdr>
                <w:top w:val="none" w:sz="0" w:space="0" w:color="auto"/>
                <w:left w:val="none" w:sz="0" w:space="0" w:color="auto"/>
                <w:bottom w:val="none" w:sz="0" w:space="0" w:color="auto"/>
                <w:right w:val="none" w:sz="0" w:space="0" w:color="auto"/>
              </w:divBdr>
              <w:divsChild>
                <w:div w:id="312027539">
                  <w:marLeft w:val="0"/>
                  <w:marRight w:val="0"/>
                  <w:marTop w:val="0"/>
                  <w:marBottom w:val="0"/>
                  <w:divBdr>
                    <w:top w:val="none" w:sz="0" w:space="0" w:color="auto"/>
                    <w:left w:val="none" w:sz="0" w:space="0" w:color="auto"/>
                    <w:bottom w:val="none" w:sz="0" w:space="0" w:color="auto"/>
                    <w:right w:val="none" w:sz="0" w:space="0" w:color="auto"/>
                  </w:divBdr>
                </w:div>
              </w:divsChild>
            </w:div>
            <w:div w:id="322468948">
              <w:marLeft w:val="0"/>
              <w:marRight w:val="0"/>
              <w:marTop w:val="0"/>
              <w:marBottom w:val="0"/>
              <w:divBdr>
                <w:top w:val="none" w:sz="0" w:space="0" w:color="auto"/>
                <w:left w:val="none" w:sz="0" w:space="0" w:color="auto"/>
                <w:bottom w:val="none" w:sz="0" w:space="0" w:color="auto"/>
                <w:right w:val="none" w:sz="0" w:space="0" w:color="auto"/>
              </w:divBdr>
              <w:divsChild>
                <w:div w:id="877160015">
                  <w:marLeft w:val="0"/>
                  <w:marRight w:val="0"/>
                  <w:marTop w:val="0"/>
                  <w:marBottom w:val="0"/>
                  <w:divBdr>
                    <w:top w:val="none" w:sz="0" w:space="0" w:color="auto"/>
                    <w:left w:val="none" w:sz="0" w:space="0" w:color="auto"/>
                    <w:bottom w:val="none" w:sz="0" w:space="0" w:color="auto"/>
                    <w:right w:val="none" w:sz="0" w:space="0" w:color="auto"/>
                  </w:divBdr>
                </w:div>
              </w:divsChild>
            </w:div>
            <w:div w:id="325401196">
              <w:marLeft w:val="0"/>
              <w:marRight w:val="0"/>
              <w:marTop w:val="0"/>
              <w:marBottom w:val="0"/>
              <w:divBdr>
                <w:top w:val="none" w:sz="0" w:space="0" w:color="auto"/>
                <w:left w:val="none" w:sz="0" w:space="0" w:color="auto"/>
                <w:bottom w:val="none" w:sz="0" w:space="0" w:color="auto"/>
                <w:right w:val="none" w:sz="0" w:space="0" w:color="auto"/>
              </w:divBdr>
              <w:divsChild>
                <w:div w:id="1454790382">
                  <w:marLeft w:val="0"/>
                  <w:marRight w:val="0"/>
                  <w:marTop w:val="0"/>
                  <w:marBottom w:val="0"/>
                  <w:divBdr>
                    <w:top w:val="none" w:sz="0" w:space="0" w:color="auto"/>
                    <w:left w:val="none" w:sz="0" w:space="0" w:color="auto"/>
                    <w:bottom w:val="none" w:sz="0" w:space="0" w:color="auto"/>
                    <w:right w:val="none" w:sz="0" w:space="0" w:color="auto"/>
                  </w:divBdr>
                </w:div>
              </w:divsChild>
            </w:div>
            <w:div w:id="326133799">
              <w:marLeft w:val="0"/>
              <w:marRight w:val="0"/>
              <w:marTop w:val="300"/>
              <w:marBottom w:val="300"/>
              <w:divBdr>
                <w:top w:val="none" w:sz="0" w:space="0" w:color="auto"/>
                <w:left w:val="none" w:sz="0" w:space="0" w:color="auto"/>
                <w:bottom w:val="none" w:sz="0" w:space="0" w:color="auto"/>
                <w:right w:val="none" w:sz="0" w:space="0" w:color="auto"/>
              </w:divBdr>
            </w:div>
            <w:div w:id="327098980">
              <w:marLeft w:val="0"/>
              <w:marRight w:val="0"/>
              <w:marTop w:val="0"/>
              <w:marBottom w:val="0"/>
              <w:divBdr>
                <w:top w:val="none" w:sz="0" w:space="0" w:color="auto"/>
                <w:left w:val="none" w:sz="0" w:space="0" w:color="auto"/>
                <w:bottom w:val="none" w:sz="0" w:space="0" w:color="auto"/>
                <w:right w:val="none" w:sz="0" w:space="0" w:color="auto"/>
              </w:divBdr>
              <w:divsChild>
                <w:div w:id="1007756361">
                  <w:marLeft w:val="0"/>
                  <w:marRight w:val="0"/>
                  <w:marTop w:val="0"/>
                  <w:marBottom w:val="0"/>
                  <w:divBdr>
                    <w:top w:val="none" w:sz="0" w:space="0" w:color="auto"/>
                    <w:left w:val="none" w:sz="0" w:space="0" w:color="auto"/>
                    <w:bottom w:val="none" w:sz="0" w:space="0" w:color="auto"/>
                    <w:right w:val="none" w:sz="0" w:space="0" w:color="auto"/>
                  </w:divBdr>
                </w:div>
              </w:divsChild>
            </w:div>
            <w:div w:id="327830653">
              <w:marLeft w:val="0"/>
              <w:marRight w:val="0"/>
              <w:marTop w:val="0"/>
              <w:marBottom w:val="0"/>
              <w:divBdr>
                <w:top w:val="none" w:sz="0" w:space="0" w:color="auto"/>
                <w:left w:val="none" w:sz="0" w:space="0" w:color="auto"/>
                <w:bottom w:val="none" w:sz="0" w:space="0" w:color="auto"/>
                <w:right w:val="none" w:sz="0" w:space="0" w:color="auto"/>
              </w:divBdr>
              <w:divsChild>
                <w:div w:id="2108770673">
                  <w:marLeft w:val="0"/>
                  <w:marRight w:val="0"/>
                  <w:marTop w:val="0"/>
                  <w:marBottom w:val="0"/>
                  <w:divBdr>
                    <w:top w:val="none" w:sz="0" w:space="0" w:color="auto"/>
                    <w:left w:val="none" w:sz="0" w:space="0" w:color="auto"/>
                    <w:bottom w:val="none" w:sz="0" w:space="0" w:color="auto"/>
                    <w:right w:val="none" w:sz="0" w:space="0" w:color="auto"/>
                  </w:divBdr>
                </w:div>
              </w:divsChild>
            </w:div>
            <w:div w:id="328406510">
              <w:marLeft w:val="0"/>
              <w:marRight w:val="0"/>
              <w:marTop w:val="0"/>
              <w:marBottom w:val="0"/>
              <w:divBdr>
                <w:top w:val="none" w:sz="0" w:space="0" w:color="auto"/>
                <w:left w:val="none" w:sz="0" w:space="0" w:color="auto"/>
                <w:bottom w:val="none" w:sz="0" w:space="0" w:color="auto"/>
                <w:right w:val="none" w:sz="0" w:space="0" w:color="auto"/>
              </w:divBdr>
              <w:divsChild>
                <w:div w:id="1189759492">
                  <w:marLeft w:val="0"/>
                  <w:marRight w:val="0"/>
                  <w:marTop w:val="0"/>
                  <w:marBottom w:val="0"/>
                  <w:divBdr>
                    <w:top w:val="none" w:sz="0" w:space="0" w:color="auto"/>
                    <w:left w:val="none" w:sz="0" w:space="0" w:color="auto"/>
                    <w:bottom w:val="none" w:sz="0" w:space="0" w:color="auto"/>
                    <w:right w:val="none" w:sz="0" w:space="0" w:color="auto"/>
                  </w:divBdr>
                </w:div>
              </w:divsChild>
            </w:div>
            <w:div w:id="331683493">
              <w:marLeft w:val="0"/>
              <w:marRight w:val="0"/>
              <w:marTop w:val="0"/>
              <w:marBottom w:val="0"/>
              <w:divBdr>
                <w:top w:val="none" w:sz="0" w:space="0" w:color="auto"/>
                <w:left w:val="none" w:sz="0" w:space="0" w:color="auto"/>
                <w:bottom w:val="none" w:sz="0" w:space="0" w:color="auto"/>
                <w:right w:val="none" w:sz="0" w:space="0" w:color="auto"/>
              </w:divBdr>
              <w:divsChild>
                <w:div w:id="2086415143">
                  <w:marLeft w:val="0"/>
                  <w:marRight w:val="0"/>
                  <w:marTop w:val="0"/>
                  <w:marBottom w:val="0"/>
                  <w:divBdr>
                    <w:top w:val="none" w:sz="0" w:space="0" w:color="auto"/>
                    <w:left w:val="none" w:sz="0" w:space="0" w:color="auto"/>
                    <w:bottom w:val="none" w:sz="0" w:space="0" w:color="auto"/>
                    <w:right w:val="none" w:sz="0" w:space="0" w:color="auto"/>
                  </w:divBdr>
                  <w:divsChild>
                    <w:div w:id="28943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226553">
              <w:marLeft w:val="0"/>
              <w:marRight w:val="0"/>
              <w:marTop w:val="0"/>
              <w:marBottom w:val="0"/>
              <w:divBdr>
                <w:top w:val="none" w:sz="0" w:space="0" w:color="auto"/>
                <w:left w:val="none" w:sz="0" w:space="0" w:color="auto"/>
                <w:bottom w:val="none" w:sz="0" w:space="0" w:color="auto"/>
                <w:right w:val="none" w:sz="0" w:space="0" w:color="auto"/>
              </w:divBdr>
              <w:divsChild>
                <w:div w:id="1029768526">
                  <w:marLeft w:val="0"/>
                  <w:marRight w:val="0"/>
                  <w:marTop w:val="0"/>
                  <w:marBottom w:val="0"/>
                  <w:divBdr>
                    <w:top w:val="none" w:sz="0" w:space="0" w:color="auto"/>
                    <w:left w:val="none" w:sz="0" w:space="0" w:color="auto"/>
                    <w:bottom w:val="none" w:sz="0" w:space="0" w:color="auto"/>
                    <w:right w:val="none" w:sz="0" w:space="0" w:color="auto"/>
                  </w:divBdr>
                </w:div>
              </w:divsChild>
            </w:div>
            <w:div w:id="334385518">
              <w:marLeft w:val="0"/>
              <w:marRight w:val="0"/>
              <w:marTop w:val="0"/>
              <w:marBottom w:val="0"/>
              <w:divBdr>
                <w:top w:val="none" w:sz="0" w:space="0" w:color="auto"/>
                <w:left w:val="none" w:sz="0" w:space="0" w:color="auto"/>
                <w:bottom w:val="none" w:sz="0" w:space="0" w:color="auto"/>
                <w:right w:val="none" w:sz="0" w:space="0" w:color="auto"/>
              </w:divBdr>
              <w:divsChild>
                <w:div w:id="1434940808">
                  <w:marLeft w:val="0"/>
                  <w:marRight w:val="0"/>
                  <w:marTop w:val="0"/>
                  <w:marBottom w:val="0"/>
                  <w:divBdr>
                    <w:top w:val="none" w:sz="0" w:space="0" w:color="auto"/>
                    <w:left w:val="none" w:sz="0" w:space="0" w:color="auto"/>
                    <w:bottom w:val="none" w:sz="0" w:space="0" w:color="auto"/>
                    <w:right w:val="none" w:sz="0" w:space="0" w:color="auto"/>
                  </w:divBdr>
                </w:div>
              </w:divsChild>
            </w:div>
            <w:div w:id="336814239">
              <w:marLeft w:val="0"/>
              <w:marRight w:val="0"/>
              <w:marTop w:val="0"/>
              <w:marBottom w:val="0"/>
              <w:divBdr>
                <w:top w:val="none" w:sz="0" w:space="0" w:color="auto"/>
                <w:left w:val="none" w:sz="0" w:space="0" w:color="auto"/>
                <w:bottom w:val="none" w:sz="0" w:space="0" w:color="auto"/>
                <w:right w:val="none" w:sz="0" w:space="0" w:color="auto"/>
              </w:divBdr>
              <w:divsChild>
                <w:div w:id="110445099">
                  <w:marLeft w:val="0"/>
                  <w:marRight w:val="0"/>
                  <w:marTop w:val="0"/>
                  <w:marBottom w:val="0"/>
                  <w:divBdr>
                    <w:top w:val="none" w:sz="0" w:space="0" w:color="auto"/>
                    <w:left w:val="none" w:sz="0" w:space="0" w:color="auto"/>
                    <w:bottom w:val="none" w:sz="0" w:space="0" w:color="auto"/>
                    <w:right w:val="none" w:sz="0" w:space="0" w:color="auto"/>
                  </w:divBdr>
                </w:div>
              </w:divsChild>
            </w:div>
            <w:div w:id="340744861">
              <w:marLeft w:val="0"/>
              <w:marRight w:val="0"/>
              <w:marTop w:val="0"/>
              <w:marBottom w:val="0"/>
              <w:divBdr>
                <w:top w:val="none" w:sz="0" w:space="0" w:color="auto"/>
                <w:left w:val="none" w:sz="0" w:space="0" w:color="auto"/>
                <w:bottom w:val="none" w:sz="0" w:space="0" w:color="auto"/>
                <w:right w:val="none" w:sz="0" w:space="0" w:color="auto"/>
              </w:divBdr>
              <w:divsChild>
                <w:div w:id="1174299475">
                  <w:marLeft w:val="0"/>
                  <w:marRight w:val="0"/>
                  <w:marTop w:val="0"/>
                  <w:marBottom w:val="0"/>
                  <w:divBdr>
                    <w:top w:val="none" w:sz="0" w:space="0" w:color="auto"/>
                    <w:left w:val="none" w:sz="0" w:space="0" w:color="auto"/>
                    <w:bottom w:val="none" w:sz="0" w:space="0" w:color="auto"/>
                    <w:right w:val="none" w:sz="0" w:space="0" w:color="auto"/>
                  </w:divBdr>
                </w:div>
              </w:divsChild>
            </w:div>
            <w:div w:id="341051923">
              <w:marLeft w:val="0"/>
              <w:marRight w:val="0"/>
              <w:marTop w:val="0"/>
              <w:marBottom w:val="0"/>
              <w:divBdr>
                <w:top w:val="none" w:sz="0" w:space="0" w:color="auto"/>
                <w:left w:val="none" w:sz="0" w:space="0" w:color="auto"/>
                <w:bottom w:val="none" w:sz="0" w:space="0" w:color="auto"/>
                <w:right w:val="none" w:sz="0" w:space="0" w:color="auto"/>
              </w:divBdr>
              <w:divsChild>
                <w:div w:id="2090956662">
                  <w:marLeft w:val="0"/>
                  <w:marRight w:val="0"/>
                  <w:marTop w:val="0"/>
                  <w:marBottom w:val="0"/>
                  <w:divBdr>
                    <w:top w:val="none" w:sz="0" w:space="0" w:color="auto"/>
                    <w:left w:val="none" w:sz="0" w:space="0" w:color="auto"/>
                    <w:bottom w:val="none" w:sz="0" w:space="0" w:color="auto"/>
                    <w:right w:val="none" w:sz="0" w:space="0" w:color="auto"/>
                  </w:divBdr>
                </w:div>
              </w:divsChild>
            </w:div>
            <w:div w:id="343285664">
              <w:marLeft w:val="0"/>
              <w:marRight w:val="0"/>
              <w:marTop w:val="0"/>
              <w:marBottom w:val="0"/>
              <w:divBdr>
                <w:top w:val="none" w:sz="0" w:space="0" w:color="auto"/>
                <w:left w:val="none" w:sz="0" w:space="0" w:color="auto"/>
                <w:bottom w:val="none" w:sz="0" w:space="0" w:color="auto"/>
                <w:right w:val="none" w:sz="0" w:space="0" w:color="auto"/>
              </w:divBdr>
              <w:divsChild>
                <w:div w:id="1468819964">
                  <w:marLeft w:val="0"/>
                  <w:marRight w:val="0"/>
                  <w:marTop w:val="0"/>
                  <w:marBottom w:val="0"/>
                  <w:divBdr>
                    <w:top w:val="none" w:sz="0" w:space="0" w:color="auto"/>
                    <w:left w:val="none" w:sz="0" w:space="0" w:color="auto"/>
                    <w:bottom w:val="none" w:sz="0" w:space="0" w:color="auto"/>
                    <w:right w:val="none" w:sz="0" w:space="0" w:color="auto"/>
                  </w:divBdr>
                </w:div>
              </w:divsChild>
            </w:div>
            <w:div w:id="343289147">
              <w:marLeft w:val="0"/>
              <w:marRight w:val="0"/>
              <w:marTop w:val="300"/>
              <w:marBottom w:val="300"/>
              <w:divBdr>
                <w:top w:val="none" w:sz="0" w:space="0" w:color="auto"/>
                <w:left w:val="none" w:sz="0" w:space="0" w:color="auto"/>
                <w:bottom w:val="none" w:sz="0" w:space="0" w:color="auto"/>
                <w:right w:val="none" w:sz="0" w:space="0" w:color="auto"/>
              </w:divBdr>
            </w:div>
            <w:div w:id="343632727">
              <w:marLeft w:val="0"/>
              <w:marRight w:val="0"/>
              <w:marTop w:val="300"/>
              <w:marBottom w:val="300"/>
              <w:divBdr>
                <w:top w:val="none" w:sz="0" w:space="0" w:color="auto"/>
                <w:left w:val="none" w:sz="0" w:space="0" w:color="auto"/>
                <w:bottom w:val="none" w:sz="0" w:space="0" w:color="auto"/>
                <w:right w:val="none" w:sz="0" w:space="0" w:color="auto"/>
              </w:divBdr>
            </w:div>
            <w:div w:id="345787115">
              <w:marLeft w:val="0"/>
              <w:marRight w:val="0"/>
              <w:marTop w:val="0"/>
              <w:marBottom w:val="0"/>
              <w:divBdr>
                <w:top w:val="none" w:sz="0" w:space="0" w:color="auto"/>
                <w:left w:val="none" w:sz="0" w:space="0" w:color="auto"/>
                <w:bottom w:val="none" w:sz="0" w:space="0" w:color="auto"/>
                <w:right w:val="none" w:sz="0" w:space="0" w:color="auto"/>
              </w:divBdr>
              <w:divsChild>
                <w:div w:id="1857185629">
                  <w:marLeft w:val="0"/>
                  <w:marRight w:val="0"/>
                  <w:marTop w:val="0"/>
                  <w:marBottom w:val="0"/>
                  <w:divBdr>
                    <w:top w:val="none" w:sz="0" w:space="0" w:color="auto"/>
                    <w:left w:val="none" w:sz="0" w:space="0" w:color="auto"/>
                    <w:bottom w:val="none" w:sz="0" w:space="0" w:color="auto"/>
                    <w:right w:val="none" w:sz="0" w:space="0" w:color="auto"/>
                  </w:divBdr>
                </w:div>
              </w:divsChild>
            </w:div>
            <w:div w:id="347103166">
              <w:marLeft w:val="0"/>
              <w:marRight w:val="0"/>
              <w:marTop w:val="0"/>
              <w:marBottom w:val="0"/>
              <w:divBdr>
                <w:top w:val="none" w:sz="0" w:space="0" w:color="auto"/>
                <w:left w:val="none" w:sz="0" w:space="0" w:color="auto"/>
                <w:bottom w:val="none" w:sz="0" w:space="0" w:color="auto"/>
                <w:right w:val="none" w:sz="0" w:space="0" w:color="auto"/>
              </w:divBdr>
              <w:divsChild>
                <w:div w:id="158424408">
                  <w:marLeft w:val="0"/>
                  <w:marRight w:val="0"/>
                  <w:marTop w:val="0"/>
                  <w:marBottom w:val="0"/>
                  <w:divBdr>
                    <w:top w:val="none" w:sz="0" w:space="0" w:color="auto"/>
                    <w:left w:val="none" w:sz="0" w:space="0" w:color="auto"/>
                    <w:bottom w:val="none" w:sz="0" w:space="0" w:color="auto"/>
                    <w:right w:val="none" w:sz="0" w:space="0" w:color="auto"/>
                  </w:divBdr>
                </w:div>
              </w:divsChild>
            </w:div>
            <w:div w:id="347174040">
              <w:marLeft w:val="0"/>
              <w:marRight w:val="0"/>
              <w:marTop w:val="0"/>
              <w:marBottom w:val="0"/>
              <w:divBdr>
                <w:top w:val="none" w:sz="0" w:space="0" w:color="auto"/>
                <w:left w:val="none" w:sz="0" w:space="0" w:color="auto"/>
                <w:bottom w:val="none" w:sz="0" w:space="0" w:color="auto"/>
                <w:right w:val="none" w:sz="0" w:space="0" w:color="auto"/>
              </w:divBdr>
              <w:divsChild>
                <w:div w:id="747001596">
                  <w:marLeft w:val="0"/>
                  <w:marRight w:val="0"/>
                  <w:marTop w:val="0"/>
                  <w:marBottom w:val="0"/>
                  <w:divBdr>
                    <w:top w:val="none" w:sz="0" w:space="0" w:color="auto"/>
                    <w:left w:val="none" w:sz="0" w:space="0" w:color="auto"/>
                    <w:bottom w:val="none" w:sz="0" w:space="0" w:color="auto"/>
                    <w:right w:val="none" w:sz="0" w:space="0" w:color="auto"/>
                  </w:divBdr>
                </w:div>
              </w:divsChild>
            </w:div>
            <w:div w:id="347219430">
              <w:marLeft w:val="0"/>
              <w:marRight w:val="0"/>
              <w:marTop w:val="0"/>
              <w:marBottom w:val="0"/>
              <w:divBdr>
                <w:top w:val="none" w:sz="0" w:space="0" w:color="auto"/>
                <w:left w:val="none" w:sz="0" w:space="0" w:color="auto"/>
                <w:bottom w:val="none" w:sz="0" w:space="0" w:color="auto"/>
                <w:right w:val="none" w:sz="0" w:space="0" w:color="auto"/>
              </w:divBdr>
              <w:divsChild>
                <w:div w:id="1653748977">
                  <w:marLeft w:val="0"/>
                  <w:marRight w:val="0"/>
                  <w:marTop w:val="0"/>
                  <w:marBottom w:val="0"/>
                  <w:divBdr>
                    <w:top w:val="none" w:sz="0" w:space="0" w:color="auto"/>
                    <w:left w:val="none" w:sz="0" w:space="0" w:color="auto"/>
                    <w:bottom w:val="none" w:sz="0" w:space="0" w:color="auto"/>
                    <w:right w:val="none" w:sz="0" w:space="0" w:color="auto"/>
                  </w:divBdr>
                </w:div>
              </w:divsChild>
            </w:div>
            <w:div w:id="348875730">
              <w:marLeft w:val="0"/>
              <w:marRight w:val="0"/>
              <w:marTop w:val="0"/>
              <w:marBottom w:val="0"/>
              <w:divBdr>
                <w:top w:val="none" w:sz="0" w:space="0" w:color="auto"/>
                <w:left w:val="none" w:sz="0" w:space="0" w:color="auto"/>
                <w:bottom w:val="none" w:sz="0" w:space="0" w:color="auto"/>
                <w:right w:val="none" w:sz="0" w:space="0" w:color="auto"/>
              </w:divBdr>
              <w:divsChild>
                <w:div w:id="960113514">
                  <w:marLeft w:val="0"/>
                  <w:marRight w:val="0"/>
                  <w:marTop w:val="0"/>
                  <w:marBottom w:val="0"/>
                  <w:divBdr>
                    <w:top w:val="none" w:sz="0" w:space="0" w:color="auto"/>
                    <w:left w:val="none" w:sz="0" w:space="0" w:color="auto"/>
                    <w:bottom w:val="none" w:sz="0" w:space="0" w:color="auto"/>
                    <w:right w:val="none" w:sz="0" w:space="0" w:color="auto"/>
                  </w:divBdr>
                </w:div>
              </w:divsChild>
            </w:div>
            <w:div w:id="348994768">
              <w:marLeft w:val="0"/>
              <w:marRight w:val="0"/>
              <w:marTop w:val="0"/>
              <w:marBottom w:val="0"/>
              <w:divBdr>
                <w:top w:val="none" w:sz="0" w:space="0" w:color="auto"/>
                <w:left w:val="none" w:sz="0" w:space="0" w:color="auto"/>
                <w:bottom w:val="none" w:sz="0" w:space="0" w:color="auto"/>
                <w:right w:val="none" w:sz="0" w:space="0" w:color="auto"/>
              </w:divBdr>
              <w:divsChild>
                <w:div w:id="656225094">
                  <w:marLeft w:val="0"/>
                  <w:marRight w:val="0"/>
                  <w:marTop w:val="0"/>
                  <w:marBottom w:val="0"/>
                  <w:divBdr>
                    <w:top w:val="none" w:sz="0" w:space="0" w:color="auto"/>
                    <w:left w:val="none" w:sz="0" w:space="0" w:color="auto"/>
                    <w:bottom w:val="none" w:sz="0" w:space="0" w:color="auto"/>
                    <w:right w:val="none" w:sz="0" w:space="0" w:color="auto"/>
                  </w:divBdr>
                </w:div>
              </w:divsChild>
            </w:div>
            <w:div w:id="350839998">
              <w:marLeft w:val="0"/>
              <w:marRight w:val="0"/>
              <w:marTop w:val="0"/>
              <w:marBottom w:val="0"/>
              <w:divBdr>
                <w:top w:val="none" w:sz="0" w:space="0" w:color="auto"/>
                <w:left w:val="none" w:sz="0" w:space="0" w:color="auto"/>
                <w:bottom w:val="none" w:sz="0" w:space="0" w:color="auto"/>
                <w:right w:val="none" w:sz="0" w:space="0" w:color="auto"/>
              </w:divBdr>
              <w:divsChild>
                <w:div w:id="240260655">
                  <w:marLeft w:val="0"/>
                  <w:marRight w:val="0"/>
                  <w:marTop w:val="0"/>
                  <w:marBottom w:val="0"/>
                  <w:divBdr>
                    <w:top w:val="none" w:sz="0" w:space="0" w:color="auto"/>
                    <w:left w:val="none" w:sz="0" w:space="0" w:color="auto"/>
                    <w:bottom w:val="none" w:sz="0" w:space="0" w:color="auto"/>
                    <w:right w:val="none" w:sz="0" w:space="0" w:color="auto"/>
                  </w:divBdr>
                </w:div>
              </w:divsChild>
            </w:div>
            <w:div w:id="351541115">
              <w:marLeft w:val="0"/>
              <w:marRight w:val="0"/>
              <w:marTop w:val="0"/>
              <w:marBottom w:val="0"/>
              <w:divBdr>
                <w:top w:val="none" w:sz="0" w:space="0" w:color="auto"/>
                <w:left w:val="none" w:sz="0" w:space="0" w:color="auto"/>
                <w:bottom w:val="none" w:sz="0" w:space="0" w:color="auto"/>
                <w:right w:val="none" w:sz="0" w:space="0" w:color="auto"/>
              </w:divBdr>
              <w:divsChild>
                <w:div w:id="1115445038">
                  <w:marLeft w:val="0"/>
                  <w:marRight w:val="0"/>
                  <w:marTop w:val="0"/>
                  <w:marBottom w:val="0"/>
                  <w:divBdr>
                    <w:top w:val="none" w:sz="0" w:space="0" w:color="auto"/>
                    <w:left w:val="none" w:sz="0" w:space="0" w:color="auto"/>
                    <w:bottom w:val="none" w:sz="0" w:space="0" w:color="auto"/>
                    <w:right w:val="none" w:sz="0" w:space="0" w:color="auto"/>
                  </w:divBdr>
                </w:div>
              </w:divsChild>
            </w:div>
            <w:div w:id="352272752">
              <w:marLeft w:val="0"/>
              <w:marRight w:val="0"/>
              <w:marTop w:val="0"/>
              <w:marBottom w:val="0"/>
              <w:divBdr>
                <w:top w:val="none" w:sz="0" w:space="0" w:color="auto"/>
                <w:left w:val="none" w:sz="0" w:space="0" w:color="auto"/>
                <w:bottom w:val="none" w:sz="0" w:space="0" w:color="auto"/>
                <w:right w:val="none" w:sz="0" w:space="0" w:color="auto"/>
              </w:divBdr>
              <w:divsChild>
                <w:div w:id="1721707914">
                  <w:marLeft w:val="0"/>
                  <w:marRight w:val="0"/>
                  <w:marTop w:val="0"/>
                  <w:marBottom w:val="0"/>
                  <w:divBdr>
                    <w:top w:val="none" w:sz="0" w:space="0" w:color="auto"/>
                    <w:left w:val="none" w:sz="0" w:space="0" w:color="auto"/>
                    <w:bottom w:val="none" w:sz="0" w:space="0" w:color="auto"/>
                    <w:right w:val="none" w:sz="0" w:space="0" w:color="auto"/>
                  </w:divBdr>
                </w:div>
              </w:divsChild>
            </w:div>
            <w:div w:id="352849013">
              <w:marLeft w:val="0"/>
              <w:marRight w:val="0"/>
              <w:marTop w:val="0"/>
              <w:marBottom w:val="0"/>
              <w:divBdr>
                <w:top w:val="none" w:sz="0" w:space="0" w:color="auto"/>
                <w:left w:val="none" w:sz="0" w:space="0" w:color="auto"/>
                <w:bottom w:val="none" w:sz="0" w:space="0" w:color="auto"/>
                <w:right w:val="none" w:sz="0" w:space="0" w:color="auto"/>
              </w:divBdr>
              <w:divsChild>
                <w:div w:id="1575124634">
                  <w:marLeft w:val="0"/>
                  <w:marRight w:val="0"/>
                  <w:marTop w:val="0"/>
                  <w:marBottom w:val="0"/>
                  <w:divBdr>
                    <w:top w:val="none" w:sz="0" w:space="0" w:color="auto"/>
                    <w:left w:val="none" w:sz="0" w:space="0" w:color="auto"/>
                    <w:bottom w:val="none" w:sz="0" w:space="0" w:color="auto"/>
                    <w:right w:val="none" w:sz="0" w:space="0" w:color="auto"/>
                  </w:divBdr>
                </w:div>
              </w:divsChild>
            </w:div>
            <w:div w:id="354503919">
              <w:marLeft w:val="0"/>
              <w:marRight w:val="0"/>
              <w:marTop w:val="0"/>
              <w:marBottom w:val="0"/>
              <w:divBdr>
                <w:top w:val="none" w:sz="0" w:space="0" w:color="auto"/>
                <w:left w:val="none" w:sz="0" w:space="0" w:color="auto"/>
                <w:bottom w:val="none" w:sz="0" w:space="0" w:color="auto"/>
                <w:right w:val="none" w:sz="0" w:space="0" w:color="auto"/>
              </w:divBdr>
              <w:divsChild>
                <w:div w:id="943154340">
                  <w:marLeft w:val="0"/>
                  <w:marRight w:val="0"/>
                  <w:marTop w:val="0"/>
                  <w:marBottom w:val="0"/>
                  <w:divBdr>
                    <w:top w:val="none" w:sz="0" w:space="0" w:color="auto"/>
                    <w:left w:val="none" w:sz="0" w:space="0" w:color="auto"/>
                    <w:bottom w:val="none" w:sz="0" w:space="0" w:color="auto"/>
                    <w:right w:val="none" w:sz="0" w:space="0" w:color="auto"/>
                  </w:divBdr>
                </w:div>
              </w:divsChild>
            </w:div>
            <w:div w:id="355237232">
              <w:marLeft w:val="0"/>
              <w:marRight w:val="0"/>
              <w:marTop w:val="0"/>
              <w:marBottom w:val="0"/>
              <w:divBdr>
                <w:top w:val="none" w:sz="0" w:space="0" w:color="auto"/>
                <w:left w:val="none" w:sz="0" w:space="0" w:color="auto"/>
                <w:bottom w:val="none" w:sz="0" w:space="0" w:color="auto"/>
                <w:right w:val="none" w:sz="0" w:space="0" w:color="auto"/>
              </w:divBdr>
              <w:divsChild>
                <w:div w:id="1391226618">
                  <w:marLeft w:val="0"/>
                  <w:marRight w:val="0"/>
                  <w:marTop w:val="0"/>
                  <w:marBottom w:val="0"/>
                  <w:divBdr>
                    <w:top w:val="none" w:sz="0" w:space="0" w:color="auto"/>
                    <w:left w:val="none" w:sz="0" w:space="0" w:color="auto"/>
                    <w:bottom w:val="none" w:sz="0" w:space="0" w:color="auto"/>
                    <w:right w:val="none" w:sz="0" w:space="0" w:color="auto"/>
                  </w:divBdr>
                </w:div>
              </w:divsChild>
            </w:div>
            <w:div w:id="355422899">
              <w:marLeft w:val="0"/>
              <w:marRight w:val="0"/>
              <w:marTop w:val="0"/>
              <w:marBottom w:val="0"/>
              <w:divBdr>
                <w:top w:val="none" w:sz="0" w:space="0" w:color="auto"/>
                <w:left w:val="none" w:sz="0" w:space="0" w:color="auto"/>
                <w:bottom w:val="none" w:sz="0" w:space="0" w:color="auto"/>
                <w:right w:val="none" w:sz="0" w:space="0" w:color="auto"/>
              </w:divBdr>
              <w:divsChild>
                <w:div w:id="1934967653">
                  <w:marLeft w:val="0"/>
                  <w:marRight w:val="0"/>
                  <w:marTop w:val="0"/>
                  <w:marBottom w:val="0"/>
                  <w:divBdr>
                    <w:top w:val="none" w:sz="0" w:space="0" w:color="auto"/>
                    <w:left w:val="none" w:sz="0" w:space="0" w:color="auto"/>
                    <w:bottom w:val="none" w:sz="0" w:space="0" w:color="auto"/>
                    <w:right w:val="none" w:sz="0" w:space="0" w:color="auto"/>
                  </w:divBdr>
                </w:div>
              </w:divsChild>
            </w:div>
            <w:div w:id="361395511">
              <w:marLeft w:val="0"/>
              <w:marRight w:val="0"/>
              <w:marTop w:val="0"/>
              <w:marBottom w:val="0"/>
              <w:divBdr>
                <w:top w:val="none" w:sz="0" w:space="0" w:color="auto"/>
                <w:left w:val="none" w:sz="0" w:space="0" w:color="auto"/>
                <w:bottom w:val="none" w:sz="0" w:space="0" w:color="auto"/>
                <w:right w:val="none" w:sz="0" w:space="0" w:color="auto"/>
              </w:divBdr>
              <w:divsChild>
                <w:div w:id="1384987609">
                  <w:marLeft w:val="0"/>
                  <w:marRight w:val="0"/>
                  <w:marTop w:val="0"/>
                  <w:marBottom w:val="0"/>
                  <w:divBdr>
                    <w:top w:val="none" w:sz="0" w:space="0" w:color="auto"/>
                    <w:left w:val="none" w:sz="0" w:space="0" w:color="auto"/>
                    <w:bottom w:val="none" w:sz="0" w:space="0" w:color="auto"/>
                    <w:right w:val="none" w:sz="0" w:space="0" w:color="auto"/>
                  </w:divBdr>
                </w:div>
              </w:divsChild>
            </w:div>
            <w:div w:id="362557196">
              <w:marLeft w:val="0"/>
              <w:marRight w:val="0"/>
              <w:marTop w:val="0"/>
              <w:marBottom w:val="0"/>
              <w:divBdr>
                <w:top w:val="none" w:sz="0" w:space="0" w:color="auto"/>
                <w:left w:val="none" w:sz="0" w:space="0" w:color="auto"/>
                <w:bottom w:val="none" w:sz="0" w:space="0" w:color="auto"/>
                <w:right w:val="none" w:sz="0" w:space="0" w:color="auto"/>
              </w:divBdr>
              <w:divsChild>
                <w:div w:id="945697326">
                  <w:marLeft w:val="0"/>
                  <w:marRight w:val="0"/>
                  <w:marTop w:val="0"/>
                  <w:marBottom w:val="0"/>
                  <w:divBdr>
                    <w:top w:val="none" w:sz="0" w:space="0" w:color="auto"/>
                    <w:left w:val="none" w:sz="0" w:space="0" w:color="auto"/>
                    <w:bottom w:val="none" w:sz="0" w:space="0" w:color="auto"/>
                    <w:right w:val="none" w:sz="0" w:space="0" w:color="auto"/>
                  </w:divBdr>
                </w:div>
              </w:divsChild>
            </w:div>
            <w:div w:id="362629736">
              <w:marLeft w:val="0"/>
              <w:marRight w:val="0"/>
              <w:marTop w:val="300"/>
              <w:marBottom w:val="300"/>
              <w:divBdr>
                <w:top w:val="none" w:sz="0" w:space="0" w:color="auto"/>
                <w:left w:val="none" w:sz="0" w:space="0" w:color="auto"/>
                <w:bottom w:val="none" w:sz="0" w:space="0" w:color="auto"/>
                <w:right w:val="none" w:sz="0" w:space="0" w:color="auto"/>
              </w:divBdr>
            </w:div>
            <w:div w:id="363024451">
              <w:marLeft w:val="0"/>
              <w:marRight w:val="0"/>
              <w:marTop w:val="0"/>
              <w:marBottom w:val="0"/>
              <w:divBdr>
                <w:top w:val="none" w:sz="0" w:space="0" w:color="auto"/>
                <w:left w:val="none" w:sz="0" w:space="0" w:color="auto"/>
                <w:bottom w:val="none" w:sz="0" w:space="0" w:color="auto"/>
                <w:right w:val="none" w:sz="0" w:space="0" w:color="auto"/>
              </w:divBdr>
              <w:divsChild>
                <w:div w:id="558202062">
                  <w:marLeft w:val="0"/>
                  <w:marRight w:val="0"/>
                  <w:marTop w:val="0"/>
                  <w:marBottom w:val="0"/>
                  <w:divBdr>
                    <w:top w:val="none" w:sz="0" w:space="0" w:color="auto"/>
                    <w:left w:val="none" w:sz="0" w:space="0" w:color="auto"/>
                    <w:bottom w:val="none" w:sz="0" w:space="0" w:color="auto"/>
                    <w:right w:val="none" w:sz="0" w:space="0" w:color="auto"/>
                  </w:divBdr>
                </w:div>
              </w:divsChild>
            </w:div>
            <w:div w:id="364864707">
              <w:marLeft w:val="0"/>
              <w:marRight w:val="0"/>
              <w:marTop w:val="0"/>
              <w:marBottom w:val="0"/>
              <w:divBdr>
                <w:top w:val="none" w:sz="0" w:space="0" w:color="auto"/>
                <w:left w:val="none" w:sz="0" w:space="0" w:color="auto"/>
                <w:bottom w:val="none" w:sz="0" w:space="0" w:color="auto"/>
                <w:right w:val="none" w:sz="0" w:space="0" w:color="auto"/>
              </w:divBdr>
              <w:divsChild>
                <w:div w:id="1241715580">
                  <w:marLeft w:val="0"/>
                  <w:marRight w:val="0"/>
                  <w:marTop w:val="0"/>
                  <w:marBottom w:val="0"/>
                  <w:divBdr>
                    <w:top w:val="none" w:sz="0" w:space="0" w:color="auto"/>
                    <w:left w:val="none" w:sz="0" w:space="0" w:color="auto"/>
                    <w:bottom w:val="none" w:sz="0" w:space="0" w:color="auto"/>
                    <w:right w:val="none" w:sz="0" w:space="0" w:color="auto"/>
                  </w:divBdr>
                </w:div>
              </w:divsChild>
            </w:div>
            <w:div w:id="366415209">
              <w:marLeft w:val="0"/>
              <w:marRight w:val="0"/>
              <w:marTop w:val="0"/>
              <w:marBottom w:val="0"/>
              <w:divBdr>
                <w:top w:val="none" w:sz="0" w:space="0" w:color="auto"/>
                <w:left w:val="none" w:sz="0" w:space="0" w:color="auto"/>
                <w:bottom w:val="none" w:sz="0" w:space="0" w:color="auto"/>
                <w:right w:val="none" w:sz="0" w:space="0" w:color="auto"/>
              </w:divBdr>
              <w:divsChild>
                <w:div w:id="1856648593">
                  <w:marLeft w:val="0"/>
                  <w:marRight w:val="0"/>
                  <w:marTop w:val="0"/>
                  <w:marBottom w:val="0"/>
                  <w:divBdr>
                    <w:top w:val="none" w:sz="0" w:space="0" w:color="auto"/>
                    <w:left w:val="none" w:sz="0" w:space="0" w:color="auto"/>
                    <w:bottom w:val="none" w:sz="0" w:space="0" w:color="auto"/>
                    <w:right w:val="none" w:sz="0" w:space="0" w:color="auto"/>
                  </w:divBdr>
                </w:div>
              </w:divsChild>
            </w:div>
            <w:div w:id="368841735">
              <w:marLeft w:val="0"/>
              <w:marRight w:val="0"/>
              <w:marTop w:val="0"/>
              <w:marBottom w:val="0"/>
              <w:divBdr>
                <w:top w:val="none" w:sz="0" w:space="0" w:color="auto"/>
                <w:left w:val="none" w:sz="0" w:space="0" w:color="auto"/>
                <w:bottom w:val="none" w:sz="0" w:space="0" w:color="auto"/>
                <w:right w:val="none" w:sz="0" w:space="0" w:color="auto"/>
              </w:divBdr>
              <w:divsChild>
                <w:div w:id="998731447">
                  <w:marLeft w:val="0"/>
                  <w:marRight w:val="0"/>
                  <w:marTop w:val="0"/>
                  <w:marBottom w:val="0"/>
                  <w:divBdr>
                    <w:top w:val="none" w:sz="0" w:space="0" w:color="auto"/>
                    <w:left w:val="none" w:sz="0" w:space="0" w:color="auto"/>
                    <w:bottom w:val="none" w:sz="0" w:space="0" w:color="auto"/>
                    <w:right w:val="none" w:sz="0" w:space="0" w:color="auto"/>
                  </w:divBdr>
                </w:div>
              </w:divsChild>
            </w:div>
            <w:div w:id="370032271">
              <w:marLeft w:val="0"/>
              <w:marRight w:val="0"/>
              <w:marTop w:val="0"/>
              <w:marBottom w:val="0"/>
              <w:divBdr>
                <w:top w:val="none" w:sz="0" w:space="0" w:color="auto"/>
                <w:left w:val="none" w:sz="0" w:space="0" w:color="auto"/>
                <w:bottom w:val="none" w:sz="0" w:space="0" w:color="auto"/>
                <w:right w:val="none" w:sz="0" w:space="0" w:color="auto"/>
              </w:divBdr>
              <w:divsChild>
                <w:div w:id="1865824924">
                  <w:marLeft w:val="0"/>
                  <w:marRight w:val="0"/>
                  <w:marTop w:val="0"/>
                  <w:marBottom w:val="0"/>
                  <w:divBdr>
                    <w:top w:val="none" w:sz="0" w:space="0" w:color="auto"/>
                    <w:left w:val="none" w:sz="0" w:space="0" w:color="auto"/>
                    <w:bottom w:val="none" w:sz="0" w:space="0" w:color="auto"/>
                    <w:right w:val="none" w:sz="0" w:space="0" w:color="auto"/>
                  </w:divBdr>
                </w:div>
              </w:divsChild>
            </w:div>
            <w:div w:id="371152679">
              <w:marLeft w:val="0"/>
              <w:marRight w:val="0"/>
              <w:marTop w:val="0"/>
              <w:marBottom w:val="0"/>
              <w:divBdr>
                <w:top w:val="none" w:sz="0" w:space="0" w:color="auto"/>
                <w:left w:val="none" w:sz="0" w:space="0" w:color="auto"/>
                <w:bottom w:val="none" w:sz="0" w:space="0" w:color="auto"/>
                <w:right w:val="none" w:sz="0" w:space="0" w:color="auto"/>
              </w:divBdr>
              <w:divsChild>
                <w:div w:id="1703742612">
                  <w:marLeft w:val="0"/>
                  <w:marRight w:val="0"/>
                  <w:marTop w:val="0"/>
                  <w:marBottom w:val="0"/>
                  <w:divBdr>
                    <w:top w:val="none" w:sz="0" w:space="0" w:color="auto"/>
                    <w:left w:val="none" w:sz="0" w:space="0" w:color="auto"/>
                    <w:bottom w:val="none" w:sz="0" w:space="0" w:color="auto"/>
                    <w:right w:val="none" w:sz="0" w:space="0" w:color="auto"/>
                  </w:divBdr>
                </w:div>
              </w:divsChild>
            </w:div>
            <w:div w:id="371808515">
              <w:marLeft w:val="0"/>
              <w:marRight w:val="0"/>
              <w:marTop w:val="300"/>
              <w:marBottom w:val="300"/>
              <w:divBdr>
                <w:top w:val="none" w:sz="0" w:space="0" w:color="auto"/>
                <w:left w:val="none" w:sz="0" w:space="0" w:color="auto"/>
                <w:bottom w:val="none" w:sz="0" w:space="0" w:color="auto"/>
                <w:right w:val="none" w:sz="0" w:space="0" w:color="auto"/>
              </w:divBdr>
            </w:div>
            <w:div w:id="371928725">
              <w:marLeft w:val="0"/>
              <w:marRight w:val="0"/>
              <w:marTop w:val="0"/>
              <w:marBottom w:val="0"/>
              <w:divBdr>
                <w:top w:val="none" w:sz="0" w:space="0" w:color="auto"/>
                <w:left w:val="none" w:sz="0" w:space="0" w:color="auto"/>
                <w:bottom w:val="none" w:sz="0" w:space="0" w:color="auto"/>
                <w:right w:val="none" w:sz="0" w:space="0" w:color="auto"/>
              </w:divBdr>
              <w:divsChild>
                <w:div w:id="149953241">
                  <w:marLeft w:val="0"/>
                  <w:marRight w:val="0"/>
                  <w:marTop w:val="0"/>
                  <w:marBottom w:val="0"/>
                  <w:divBdr>
                    <w:top w:val="none" w:sz="0" w:space="0" w:color="auto"/>
                    <w:left w:val="none" w:sz="0" w:space="0" w:color="auto"/>
                    <w:bottom w:val="none" w:sz="0" w:space="0" w:color="auto"/>
                    <w:right w:val="none" w:sz="0" w:space="0" w:color="auto"/>
                  </w:divBdr>
                </w:div>
              </w:divsChild>
            </w:div>
            <w:div w:id="372198220">
              <w:marLeft w:val="0"/>
              <w:marRight w:val="0"/>
              <w:marTop w:val="0"/>
              <w:marBottom w:val="0"/>
              <w:divBdr>
                <w:top w:val="none" w:sz="0" w:space="0" w:color="auto"/>
                <w:left w:val="none" w:sz="0" w:space="0" w:color="auto"/>
                <w:bottom w:val="none" w:sz="0" w:space="0" w:color="auto"/>
                <w:right w:val="none" w:sz="0" w:space="0" w:color="auto"/>
              </w:divBdr>
              <w:divsChild>
                <w:div w:id="709232861">
                  <w:marLeft w:val="0"/>
                  <w:marRight w:val="0"/>
                  <w:marTop w:val="0"/>
                  <w:marBottom w:val="0"/>
                  <w:divBdr>
                    <w:top w:val="none" w:sz="0" w:space="0" w:color="auto"/>
                    <w:left w:val="none" w:sz="0" w:space="0" w:color="auto"/>
                    <w:bottom w:val="none" w:sz="0" w:space="0" w:color="auto"/>
                    <w:right w:val="none" w:sz="0" w:space="0" w:color="auto"/>
                  </w:divBdr>
                </w:div>
              </w:divsChild>
            </w:div>
            <w:div w:id="374619366">
              <w:marLeft w:val="0"/>
              <w:marRight w:val="0"/>
              <w:marTop w:val="0"/>
              <w:marBottom w:val="0"/>
              <w:divBdr>
                <w:top w:val="none" w:sz="0" w:space="0" w:color="auto"/>
                <w:left w:val="none" w:sz="0" w:space="0" w:color="auto"/>
                <w:bottom w:val="none" w:sz="0" w:space="0" w:color="auto"/>
                <w:right w:val="none" w:sz="0" w:space="0" w:color="auto"/>
              </w:divBdr>
              <w:divsChild>
                <w:div w:id="874855756">
                  <w:marLeft w:val="0"/>
                  <w:marRight w:val="0"/>
                  <w:marTop w:val="0"/>
                  <w:marBottom w:val="0"/>
                  <w:divBdr>
                    <w:top w:val="none" w:sz="0" w:space="0" w:color="auto"/>
                    <w:left w:val="none" w:sz="0" w:space="0" w:color="auto"/>
                    <w:bottom w:val="none" w:sz="0" w:space="0" w:color="auto"/>
                    <w:right w:val="none" w:sz="0" w:space="0" w:color="auto"/>
                  </w:divBdr>
                </w:div>
              </w:divsChild>
            </w:div>
            <w:div w:id="375007295">
              <w:marLeft w:val="0"/>
              <w:marRight w:val="0"/>
              <w:marTop w:val="0"/>
              <w:marBottom w:val="0"/>
              <w:divBdr>
                <w:top w:val="none" w:sz="0" w:space="0" w:color="auto"/>
                <w:left w:val="none" w:sz="0" w:space="0" w:color="auto"/>
                <w:bottom w:val="none" w:sz="0" w:space="0" w:color="auto"/>
                <w:right w:val="none" w:sz="0" w:space="0" w:color="auto"/>
              </w:divBdr>
              <w:divsChild>
                <w:div w:id="733773580">
                  <w:marLeft w:val="0"/>
                  <w:marRight w:val="0"/>
                  <w:marTop w:val="0"/>
                  <w:marBottom w:val="0"/>
                  <w:divBdr>
                    <w:top w:val="none" w:sz="0" w:space="0" w:color="auto"/>
                    <w:left w:val="none" w:sz="0" w:space="0" w:color="auto"/>
                    <w:bottom w:val="none" w:sz="0" w:space="0" w:color="auto"/>
                    <w:right w:val="none" w:sz="0" w:space="0" w:color="auto"/>
                  </w:divBdr>
                </w:div>
              </w:divsChild>
            </w:div>
            <w:div w:id="375932960">
              <w:marLeft w:val="0"/>
              <w:marRight w:val="0"/>
              <w:marTop w:val="0"/>
              <w:marBottom w:val="0"/>
              <w:divBdr>
                <w:top w:val="none" w:sz="0" w:space="0" w:color="auto"/>
                <w:left w:val="none" w:sz="0" w:space="0" w:color="auto"/>
                <w:bottom w:val="none" w:sz="0" w:space="0" w:color="auto"/>
                <w:right w:val="none" w:sz="0" w:space="0" w:color="auto"/>
              </w:divBdr>
              <w:divsChild>
                <w:div w:id="1683193272">
                  <w:marLeft w:val="0"/>
                  <w:marRight w:val="0"/>
                  <w:marTop w:val="0"/>
                  <w:marBottom w:val="0"/>
                  <w:divBdr>
                    <w:top w:val="none" w:sz="0" w:space="0" w:color="auto"/>
                    <w:left w:val="none" w:sz="0" w:space="0" w:color="auto"/>
                    <w:bottom w:val="none" w:sz="0" w:space="0" w:color="auto"/>
                    <w:right w:val="none" w:sz="0" w:space="0" w:color="auto"/>
                  </w:divBdr>
                </w:div>
              </w:divsChild>
            </w:div>
            <w:div w:id="378626578">
              <w:marLeft w:val="0"/>
              <w:marRight w:val="0"/>
              <w:marTop w:val="0"/>
              <w:marBottom w:val="0"/>
              <w:divBdr>
                <w:top w:val="none" w:sz="0" w:space="0" w:color="auto"/>
                <w:left w:val="none" w:sz="0" w:space="0" w:color="auto"/>
                <w:bottom w:val="none" w:sz="0" w:space="0" w:color="auto"/>
                <w:right w:val="none" w:sz="0" w:space="0" w:color="auto"/>
              </w:divBdr>
              <w:divsChild>
                <w:div w:id="406222496">
                  <w:marLeft w:val="0"/>
                  <w:marRight w:val="0"/>
                  <w:marTop w:val="0"/>
                  <w:marBottom w:val="0"/>
                  <w:divBdr>
                    <w:top w:val="none" w:sz="0" w:space="0" w:color="auto"/>
                    <w:left w:val="none" w:sz="0" w:space="0" w:color="auto"/>
                    <w:bottom w:val="none" w:sz="0" w:space="0" w:color="auto"/>
                    <w:right w:val="none" w:sz="0" w:space="0" w:color="auto"/>
                  </w:divBdr>
                </w:div>
              </w:divsChild>
            </w:div>
            <w:div w:id="378893702">
              <w:marLeft w:val="0"/>
              <w:marRight w:val="0"/>
              <w:marTop w:val="0"/>
              <w:marBottom w:val="0"/>
              <w:divBdr>
                <w:top w:val="none" w:sz="0" w:space="0" w:color="auto"/>
                <w:left w:val="none" w:sz="0" w:space="0" w:color="auto"/>
                <w:bottom w:val="none" w:sz="0" w:space="0" w:color="auto"/>
                <w:right w:val="none" w:sz="0" w:space="0" w:color="auto"/>
              </w:divBdr>
              <w:divsChild>
                <w:div w:id="1130054121">
                  <w:marLeft w:val="0"/>
                  <w:marRight w:val="0"/>
                  <w:marTop w:val="0"/>
                  <w:marBottom w:val="0"/>
                  <w:divBdr>
                    <w:top w:val="none" w:sz="0" w:space="0" w:color="auto"/>
                    <w:left w:val="none" w:sz="0" w:space="0" w:color="auto"/>
                    <w:bottom w:val="none" w:sz="0" w:space="0" w:color="auto"/>
                    <w:right w:val="none" w:sz="0" w:space="0" w:color="auto"/>
                  </w:divBdr>
                </w:div>
              </w:divsChild>
            </w:div>
            <w:div w:id="380440356">
              <w:marLeft w:val="0"/>
              <w:marRight w:val="0"/>
              <w:marTop w:val="0"/>
              <w:marBottom w:val="0"/>
              <w:divBdr>
                <w:top w:val="none" w:sz="0" w:space="0" w:color="auto"/>
                <w:left w:val="none" w:sz="0" w:space="0" w:color="auto"/>
                <w:bottom w:val="none" w:sz="0" w:space="0" w:color="auto"/>
                <w:right w:val="none" w:sz="0" w:space="0" w:color="auto"/>
              </w:divBdr>
              <w:divsChild>
                <w:div w:id="817723845">
                  <w:marLeft w:val="0"/>
                  <w:marRight w:val="0"/>
                  <w:marTop w:val="0"/>
                  <w:marBottom w:val="0"/>
                  <w:divBdr>
                    <w:top w:val="none" w:sz="0" w:space="0" w:color="auto"/>
                    <w:left w:val="none" w:sz="0" w:space="0" w:color="auto"/>
                    <w:bottom w:val="none" w:sz="0" w:space="0" w:color="auto"/>
                    <w:right w:val="none" w:sz="0" w:space="0" w:color="auto"/>
                  </w:divBdr>
                </w:div>
              </w:divsChild>
            </w:div>
            <w:div w:id="380590704">
              <w:marLeft w:val="0"/>
              <w:marRight w:val="0"/>
              <w:marTop w:val="0"/>
              <w:marBottom w:val="0"/>
              <w:divBdr>
                <w:top w:val="none" w:sz="0" w:space="0" w:color="auto"/>
                <w:left w:val="none" w:sz="0" w:space="0" w:color="auto"/>
                <w:bottom w:val="none" w:sz="0" w:space="0" w:color="auto"/>
                <w:right w:val="none" w:sz="0" w:space="0" w:color="auto"/>
              </w:divBdr>
              <w:divsChild>
                <w:div w:id="1682664549">
                  <w:marLeft w:val="0"/>
                  <w:marRight w:val="0"/>
                  <w:marTop w:val="0"/>
                  <w:marBottom w:val="0"/>
                  <w:divBdr>
                    <w:top w:val="none" w:sz="0" w:space="0" w:color="auto"/>
                    <w:left w:val="none" w:sz="0" w:space="0" w:color="auto"/>
                    <w:bottom w:val="none" w:sz="0" w:space="0" w:color="auto"/>
                    <w:right w:val="none" w:sz="0" w:space="0" w:color="auto"/>
                  </w:divBdr>
                </w:div>
              </w:divsChild>
            </w:div>
            <w:div w:id="380979211">
              <w:marLeft w:val="0"/>
              <w:marRight w:val="0"/>
              <w:marTop w:val="0"/>
              <w:marBottom w:val="0"/>
              <w:divBdr>
                <w:top w:val="none" w:sz="0" w:space="0" w:color="auto"/>
                <w:left w:val="none" w:sz="0" w:space="0" w:color="auto"/>
                <w:bottom w:val="none" w:sz="0" w:space="0" w:color="auto"/>
                <w:right w:val="none" w:sz="0" w:space="0" w:color="auto"/>
              </w:divBdr>
              <w:divsChild>
                <w:div w:id="214047519">
                  <w:marLeft w:val="0"/>
                  <w:marRight w:val="0"/>
                  <w:marTop w:val="0"/>
                  <w:marBottom w:val="0"/>
                  <w:divBdr>
                    <w:top w:val="none" w:sz="0" w:space="0" w:color="auto"/>
                    <w:left w:val="none" w:sz="0" w:space="0" w:color="auto"/>
                    <w:bottom w:val="none" w:sz="0" w:space="0" w:color="auto"/>
                    <w:right w:val="none" w:sz="0" w:space="0" w:color="auto"/>
                  </w:divBdr>
                </w:div>
              </w:divsChild>
            </w:div>
            <w:div w:id="383139838">
              <w:marLeft w:val="0"/>
              <w:marRight w:val="0"/>
              <w:marTop w:val="0"/>
              <w:marBottom w:val="0"/>
              <w:divBdr>
                <w:top w:val="none" w:sz="0" w:space="0" w:color="auto"/>
                <w:left w:val="none" w:sz="0" w:space="0" w:color="auto"/>
                <w:bottom w:val="none" w:sz="0" w:space="0" w:color="auto"/>
                <w:right w:val="none" w:sz="0" w:space="0" w:color="auto"/>
              </w:divBdr>
              <w:divsChild>
                <w:div w:id="2144541251">
                  <w:marLeft w:val="0"/>
                  <w:marRight w:val="0"/>
                  <w:marTop w:val="0"/>
                  <w:marBottom w:val="0"/>
                  <w:divBdr>
                    <w:top w:val="none" w:sz="0" w:space="0" w:color="auto"/>
                    <w:left w:val="none" w:sz="0" w:space="0" w:color="auto"/>
                    <w:bottom w:val="none" w:sz="0" w:space="0" w:color="auto"/>
                    <w:right w:val="none" w:sz="0" w:space="0" w:color="auto"/>
                  </w:divBdr>
                </w:div>
              </w:divsChild>
            </w:div>
            <w:div w:id="383522844">
              <w:marLeft w:val="0"/>
              <w:marRight w:val="0"/>
              <w:marTop w:val="0"/>
              <w:marBottom w:val="0"/>
              <w:divBdr>
                <w:top w:val="none" w:sz="0" w:space="0" w:color="auto"/>
                <w:left w:val="none" w:sz="0" w:space="0" w:color="auto"/>
                <w:bottom w:val="none" w:sz="0" w:space="0" w:color="auto"/>
                <w:right w:val="none" w:sz="0" w:space="0" w:color="auto"/>
              </w:divBdr>
              <w:divsChild>
                <w:div w:id="55786234">
                  <w:marLeft w:val="0"/>
                  <w:marRight w:val="0"/>
                  <w:marTop w:val="0"/>
                  <w:marBottom w:val="0"/>
                  <w:divBdr>
                    <w:top w:val="none" w:sz="0" w:space="0" w:color="auto"/>
                    <w:left w:val="none" w:sz="0" w:space="0" w:color="auto"/>
                    <w:bottom w:val="none" w:sz="0" w:space="0" w:color="auto"/>
                    <w:right w:val="none" w:sz="0" w:space="0" w:color="auto"/>
                  </w:divBdr>
                </w:div>
              </w:divsChild>
            </w:div>
            <w:div w:id="383721195">
              <w:marLeft w:val="0"/>
              <w:marRight w:val="0"/>
              <w:marTop w:val="0"/>
              <w:marBottom w:val="0"/>
              <w:divBdr>
                <w:top w:val="none" w:sz="0" w:space="0" w:color="auto"/>
                <w:left w:val="none" w:sz="0" w:space="0" w:color="auto"/>
                <w:bottom w:val="none" w:sz="0" w:space="0" w:color="auto"/>
                <w:right w:val="none" w:sz="0" w:space="0" w:color="auto"/>
              </w:divBdr>
              <w:divsChild>
                <w:div w:id="1662276821">
                  <w:marLeft w:val="0"/>
                  <w:marRight w:val="0"/>
                  <w:marTop w:val="0"/>
                  <w:marBottom w:val="0"/>
                  <w:divBdr>
                    <w:top w:val="none" w:sz="0" w:space="0" w:color="auto"/>
                    <w:left w:val="none" w:sz="0" w:space="0" w:color="auto"/>
                    <w:bottom w:val="none" w:sz="0" w:space="0" w:color="auto"/>
                    <w:right w:val="none" w:sz="0" w:space="0" w:color="auto"/>
                  </w:divBdr>
                </w:div>
              </w:divsChild>
            </w:div>
            <w:div w:id="384334086">
              <w:marLeft w:val="0"/>
              <w:marRight w:val="0"/>
              <w:marTop w:val="0"/>
              <w:marBottom w:val="0"/>
              <w:divBdr>
                <w:top w:val="none" w:sz="0" w:space="0" w:color="auto"/>
                <w:left w:val="none" w:sz="0" w:space="0" w:color="auto"/>
                <w:bottom w:val="none" w:sz="0" w:space="0" w:color="auto"/>
                <w:right w:val="none" w:sz="0" w:space="0" w:color="auto"/>
              </w:divBdr>
              <w:divsChild>
                <w:div w:id="71247448">
                  <w:marLeft w:val="0"/>
                  <w:marRight w:val="0"/>
                  <w:marTop w:val="0"/>
                  <w:marBottom w:val="0"/>
                  <w:divBdr>
                    <w:top w:val="none" w:sz="0" w:space="0" w:color="auto"/>
                    <w:left w:val="none" w:sz="0" w:space="0" w:color="auto"/>
                    <w:bottom w:val="none" w:sz="0" w:space="0" w:color="auto"/>
                    <w:right w:val="none" w:sz="0" w:space="0" w:color="auto"/>
                  </w:divBdr>
                </w:div>
              </w:divsChild>
            </w:div>
            <w:div w:id="386489284">
              <w:marLeft w:val="0"/>
              <w:marRight w:val="0"/>
              <w:marTop w:val="0"/>
              <w:marBottom w:val="0"/>
              <w:divBdr>
                <w:top w:val="none" w:sz="0" w:space="0" w:color="auto"/>
                <w:left w:val="none" w:sz="0" w:space="0" w:color="auto"/>
                <w:bottom w:val="none" w:sz="0" w:space="0" w:color="auto"/>
                <w:right w:val="none" w:sz="0" w:space="0" w:color="auto"/>
              </w:divBdr>
              <w:divsChild>
                <w:div w:id="1592667640">
                  <w:marLeft w:val="0"/>
                  <w:marRight w:val="0"/>
                  <w:marTop w:val="0"/>
                  <w:marBottom w:val="0"/>
                  <w:divBdr>
                    <w:top w:val="none" w:sz="0" w:space="0" w:color="auto"/>
                    <w:left w:val="none" w:sz="0" w:space="0" w:color="auto"/>
                    <w:bottom w:val="none" w:sz="0" w:space="0" w:color="auto"/>
                    <w:right w:val="none" w:sz="0" w:space="0" w:color="auto"/>
                  </w:divBdr>
                </w:div>
              </w:divsChild>
            </w:div>
            <w:div w:id="387845479">
              <w:marLeft w:val="0"/>
              <w:marRight w:val="0"/>
              <w:marTop w:val="0"/>
              <w:marBottom w:val="0"/>
              <w:divBdr>
                <w:top w:val="none" w:sz="0" w:space="0" w:color="auto"/>
                <w:left w:val="none" w:sz="0" w:space="0" w:color="auto"/>
                <w:bottom w:val="none" w:sz="0" w:space="0" w:color="auto"/>
                <w:right w:val="none" w:sz="0" w:space="0" w:color="auto"/>
              </w:divBdr>
              <w:divsChild>
                <w:div w:id="628364874">
                  <w:marLeft w:val="0"/>
                  <w:marRight w:val="0"/>
                  <w:marTop w:val="0"/>
                  <w:marBottom w:val="0"/>
                  <w:divBdr>
                    <w:top w:val="none" w:sz="0" w:space="0" w:color="auto"/>
                    <w:left w:val="none" w:sz="0" w:space="0" w:color="auto"/>
                    <w:bottom w:val="none" w:sz="0" w:space="0" w:color="auto"/>
                    <w:right w:val="none" w:sz="0" w:space="0" w:color="auto"/>
                  </w:divBdr>
                </w:div>
              </w:divsChild>
            </w:div>
            <w:div w:id="388114733">
              <w:marLeft w:val="0"/>
              <w:marRight w:val="0"/>
              <w:marTop w:val="0"/>
              <w:marBottom w:val="0"/>
              <w:divBdr>
                <w:top w:val="none" w:sz="0" w:space="0" w:color="auto"/>
                <w:left w:val="none" w:sz="0" w:space="0" w:color="auto"/>
                <w:bottom w:val="none" w:sz="0" w:space="0" w:color="auto"/>
                <w:right w:val="none" w:sz="0" w:space="0" w:color="auto"/>
              </w:divBdr>
              <w:divsChild>
                <w:div w:id="837037070">
                  <w:marLeft w:val="0"/>
                  <w:marRight w:val="0"/>
                  <w:marTop w:val="0"/>
                  <w:marBottom w:val="0"/>
                  <w:divBdr>
                    <w:top w:val="none" w:sz="0" w:space="0" w:color="auto"/>
                    <w:left w:val="none" w:sz="0" w:space="0" w:color="auto"/>
                    <w:bottom w:val="none" w:sz="0" w:space="0" w:color="auto"/>
                    <w:right w:val="none" w:sz="0" w:space="0" w:color="auto"/>
                  </w:divBdr>
                </w:div>
              </w:divsChild>
            </w:div>
            <w:div w:id="388185260">
              <w:marLeft w:val="0"/>
              <w:marRight w:val="0"/>
              <w:marTop w:val="300"/>
              <w:marBottom w:val="300"/>
              <w:divBdr>
                <w:top w:val="none" w:sz="0" w:space="0" w:color="auto"/>
                <w:left w:val="none" w:sz="0" w:space="0" w:color="auto"/>
                <w:bottom w:val="none" w:sz="0" w:space="0" w:color="auto"/>
                <w:right w:val="none" w:sz="0" w:space="0" w:color="auto"/>
              </w:divBdr>
            </w:div>
            <w:div w:id="388772925">
              <w:marLeft w:val="0"/>
              <w:marRight w:val="0"/>
              <w:marTop w:val="0"/>
              <w:marBottom w:val="0"/>
              <w:divBdr>
                <w:top w:val="none" w:sz="0" w:space="0" w:color="auto"/>
                <w:left w:val="none" w:sz="0" w:space="0" w:color="auto"/>
                <w:bottom w:val="none" w:sz="0" w:space="0" w:color="auto"/>
                <w:right w:val="none" w:sz="0" w:space="0" w:color="auto"/>
              </w:divBdr>
              <w:divsChild>
                <w:div w:id="1540358481">
                  <w:marLeft w:val="0"/>
                  <w:marRight w:val="0"/>
                  <w:marTop w:val="0"/>
                  <w:marBottom w:val="0"/>
                  <w:divBdr>
                    <w:top w:val="none" w:sz="0" w:space="0" w:color="auto"/>
                    <w:left w:val="none" w:sz="0" w:space="0" w:color="auto"/>
                    <w:bottom w:val="none" w:sz="0" w:space="0" w:color="auto"/>
                    <w:right w:val="none" w:sz="0" w:space="0" w:color="auto"/>
                  </w:divBdr>
                </w:div>
              </w:divsChild>
            </w:div>
            <w:div w:id="389113133">
              <w:marLeft w:val="0"/>
              <w:marRight w:val="0"/>
              <w:marTop w:val="0"/>
              <w:marBottom w:val="0"/>
              <w:divBdr>
                <w:top w:val="none" w:sz="0" w:space="0" w:color="auto"/>
                <w:left w:val="none" w:sz="0" w:space="0" w:color="auto"/>
                <w:bottom w:val="none" w:sz="0" w:space="0" w:color="auto"/>
                <w:right w:val="none" w:sz="0" w:space="0" w:color="auto"/>
              </w:divBdr>
              <w:divsChild>
                <w:div w:id="389034085">
                  <w:marLeft w:val="0"/>
                  <w:marRight w:val="0"/>
                  <w:marTop w:val="0"/>
                  <w:marBottom w:val="0"/>
                  <w:divBdr>
                    <w:top w:val="none" w:sz="0" w:space="0" w:color="auto"/>
                    <w:left w:val="none" w:sz="0" w:space="0" w:color="auto"/>
                    <w:bottom w:val="none" w:sz="0" w:space="0" w:color="auto"/>
                    <w:right w:val="none" w:sz="0" w:space="0" w:color="auto"/>
                  </w:divBdr>
                </w:div>
              </w:divsChild>
            </w:div>
            <w:div w:id="389422104">
              <w:marLeft w:val="0"/>
              <w:marRight w:val="0"/>
              <w:marTop w:val="0"/>
              <w:marBottom w:val="0"/>
              <w:divBdr>
                <w:top w:val="none" w:sz="0" w:space="0" w:color="auto"/>
                <w:left w:val="none" w:sz="0" w:space="0" w:color="auto"/>
                <w:bottom w:val="none" w:sz="0" w:space="0" w:color="auto"/>
                <w:right w:val="none" w:sz="0" w:space="0" w:color="auto"/>
              </w:divBdr>
              <w:divsChild>
                <w:div w:id="478348335">
                  <w:marLeft w:val="0"/>
                  <w:marRight w:val="0"/>
                  <w:marTop w:val="0"/>
                  <w:marBottom w:val="0"/>
                  <w:divBdr>
                    <w:top w:val="none" w:sz="0" w:space="0" w:color="auto"/>
                    <w:left w:val="none" w:sz="0" w:space="0" w:color="auto"/>
                    <w:bottom w:val="none" w:sz="0" w:space="0" w:color="auto"/>
                    <w:right w:val="none" w:sz="0" w:space="0" w:color="auto"/>
                  </w:divBdr>
                </w:div>
              </w:divsChild>
            </w:div>
            <w:div w:id="390428053">
              <w:marLeft w:val="0"/>
              <w:marRight w:val="0"/>
              <w:marTop w:val="300"/>
              <w:marBottom w:val="300"/>
              <w:divBdr>
                <w:top w:val="none" w:sz="0" w:space="0" w:color="auto"/>
                <w:left w:val="none" w:sz="0" w:space="0" w:color="auto"/>
                <w:bottom w:val="none" w:sz="0" w:space="0" w:color="auto"/>
                <w:right w:val="none" w:sz="0" w:space="0" w:color="auto"/>
              </w:divBdr>
            </w:div>
            <w:div w:id="390736447">
              <w:marLeft w:val="0"/>
              <w:marRight w:val="0"/>
              <w:marTop w:val="0"/>
              <w:marBottom w:val="0"/>
              <w:divBdr>
                <w:top w:val="none" w:sz="0" w:space="0" w:color="auto"/>
                <w:left w:val="none" w:sz="0" w:space="0" w:color="auto"/>
                <w:bottom w:val="none" w:sz="0" w:space="0" w:color="auto"/>
                <w:right w:val="none" w:sz="0" w:space="0" w:color="auto"/>
              </w:divBdr>
              <w:divsChild>
                <w:div w:id="239143530">
                  <w:marLeft w:val="0"/>
                  <w:marRight w:val="0"/>
                  <w:marTop w:val="0"/>
                  <w:marBottom w:val="0"/>
                  <w:divBdr>
                    <w:top w:val="none" w:sz="0" w:space="0" w:color="auto"/>
                    <w:left w:val="none" w:sz="0" w:space="0" w:color="auto"/>
                    <w:bottom w:val="none" w:sz="0" w:space="0" w:color="auto"/>
                    <w:right w:val="none" w:sz="0" w:space="0" w:color="auto"/>
                  </w:divBdr>
                </w:div>
              </w:divsChild>
            </w:div>
            <w:div w:id="391124023">
              <w:marLeft w:val="0"/>
              <w:marRight w:val="0"/>
              <w:marTop w:val="300"/>
              <w:marBottom w:val="300"/>
              <w:divBdr>
                <w:top w:val="none" w:sz="0" w:space="0" w:color="auto"/>
                <w:left w:val="none" w:sz="0" w:space="0" w:color="auto"/>
                <w:bottom w:val="none" w:sz="0" w:space="0" w:color="auto"/>
                <w:right w:val="none" w:sz="0" w:space="0" w:color="auto"/>
              </w:divBdr>
            </w:div>
            <w:div w:id="391468766">
              <w:marLeft w:val="0"/>
              <w:marRight w:val="0"/>
              <w:marTop w:val="0"/>
              <w:marBottom w:val="0"/>
              <w:divBdr>
                <w:top w:val="none" w:sz="0" w:space="0" w:color="auto"/>
                <w:left w:val="none" w:sz="0" w:space="0" w:color="auto"/>
                <w:bottom w:val="none" w:sz="0" w:space="0" w:color="auto"/>
                <w:right w:val="none" w:sz="0" w:space="0" w:color="auto"/>
              </w:divBdr>
              <w:divsChild>
                <w:div w:id="1958950633">
                  <w:marLeft w:val="0"/>
                  <w:marRight w:val="0"/>
                  <w:marTop w:val="0"/>
                  <w:marBottom w:val="0"/>
                  <w:divBdr>
                    <w:top w:val="none" w:sz="0" w:space="0" w:color="auto"/>
                    <w:left w:val="none" w:sz="0" w:space="0" w:color="auto"/>
                    <w:bottom w:val="none" w:sz="0" w:space="0" w:color="auto"/>
                    <w:right w:val="none" w:sz="0" w:space="0" w:color="auto"/>
                  </w:divBdr>
                </w:div>
              </w:divsChild>
            </w:div>
            <w:div w:id="391582839">
              <w:marLeft w:val="0"/>
              <w:marRight w:val="0"/>
              <w:marTop w:val="0"/>
              <w:marBottom w:val="0"/>
              <w:divBdr>
                <w:top w:val="none" w:sz="0" w:space="0" w:color="auto"/>
                <w:left w:val="none" w:sz="0" w:space="0" w:color="auto"/>
                <w:bottom w:val="none" w:sz="0" w:space="0" w:color="auto"/>
                <w:right w:val="none" w:sz="0" w:space="0" w:color="auto"/>
              </w:divBdr>
              <w:divsChild>
                <w:div w:id="1214654848">
                  <w:marLeft w:val="0"/>
                  <w:marRight w:val="0"/>
                  <w:marTop w:val="0"/>
                  <w:marBottom w:val="0"/>
                  <w:divBdr>
                    <w:top w:val="none" w:sz="0" w:space="0" w:color="auto"/>
                    <w:left w:val="none" w:sz="0" w:space="0" w:color="auto"/>
                    <w:bottom w:val="none" w:sz="0" w:space="0" w:color="auto"/>
                    <w:right w:val="none" w:sz="0" w:space="0" w:color="auto"/>
                  </w:divBdr>
                </w:div>
              </w:divsChild>
            </w:div>
            <w:div w:id="392705918">
              <w:marLeft w:val="0"/>
              <w:marRight w:val="0"/>
              <w:marTop w:val="0"/>
              <w:marBottom w:val="0"/>
              <w:divBdr>
                <w:top w:val="none" w:sz="0" w:space="0" w:color="auto"/>
                <w:left w:val="none" w:sz="0" w:space="0" w:color="auto"/>
                <w:bottom w:val="none" w:sz="0" w:space="0" w:color="auto"/>
                <w:right w:val="none" w:sz="0" w:space="0" w:color="auto"/>
              </w:divBdr>
              <w:divsChild>
                <w:div w:id="1967004598">
                  <w:marLeft w:val="0"/>
                  <w:marRight w:val="0"/>
                  <w:marTop w:val="0"/>
                  <w:marBottom w:val="0"/>
                  <w:divBdr>
                    <w:top w:val="none" w:sz="0" w:space="0" w:color="auto"/>
                    <w:left w:val="none" w:sz="0" w:space="0" w:color="auto"/>
                    <w:bottom w:val="none" w:sz="0" w:space="0" w:color="auto"/>
                    <w:right w:val="none" w:sz="0" w:space="0" w:color="auto"/>
                  </w:divBdr>
                </w:div>
              </w:divsChild>
            </w:div>
            <w:div w:id="397365548">
              <w:marLeft w:val="0"/>
              <w:marRight w:val="0"/>
              <w:marTop w:val="0"/>
              <w:marBottom w:val="0"/>
              <w:divBdr>
                <w:top w:val="none" w:sz="0" w:space="0" w:color="auto"/>
                <w:left w:val="none" w:sz="0" w:space="0" w:color="auto"/>
                <w:bottom w:val="none" w:sz="0" w:space="0" w:color="auto"/>
                <w:right w:val="none" w:sz="0" w:space="0" w:color="auto"/>
              </w:divBdr>
              <w:divsChild>
                <w:div w:id="1347947905">
                  <w:marLeft w:val="0"/>
                  <w:marRight w:val="0"/>
                  <w:marTop w:val="0"/>
                  <w:marBottom w:val="0"/>
                  <w:divBdr>
                    <w:top w:val="none" w:sz="0" w:space="0" w:color="auto"/>
                    <w:left w:val="none" w:sz="0" w:space="0" w:color="auto"/>
                    <w:bottom w:val="none" w:sz="0" w:space="0" w:color="auto"/>
                    <w:right w:val="none" w:sz="0" w:space="0" w:color="auto"/>
                  </w:divBdr>
                </w:div>
              </w:divsChild>
            </w:div>
            <w:div w:id="401148861">
              <w:marLeft w:val="0"/>
              <w:marRight w:val="0"/>
              <w:marTop w:val="300"/>
              <w:marBottom w:val="300"/>
              <w:divBdr>
                <w:top w:val="none" w:sz="0" w:space="0" w:color="auto"/>
                <w:left w:val="none" w:sz="0" w:space="0" w:color="auto"/>
                <w:bottom w:val="none" w:sz="0" w:space="0" w:color="auto"/>
                <w:right w:val="none" w:sz="0" w:space="0" w:color="auto"/>
              </w:divBdr>
            </w:div>
            <w:div w:id="404648428">
              <w:marLeft w:val="0"/>
              <w:marRight w:val="0"/>
              <w:marTop w:val="0"/>
              <w:marBottom w:val="0"/>
              <w:divBdr>
                <w:top w:val="none" w:sz="0" w:space="0" w:color="auto"/>
                <w:left w:val="none" w:sz="0" w:space="0" w:color="auto"/>
                <w:bottom w:val="none" w:sz="0" w:space="0" w:color="auto"/>
                <w:right w:val="none" w:sz="0" w:space="0" w:color="auto"/>
              </w:divBdr>
              <w:divsChild>
                <w:div w:id="2110009084">
                  <w:marLeft w:val="0"/>
                  <w:marRight w:val="0"/>
                  <w:marTop w:val="0"/>
                  <w:marBottom w:val="0"/>
                  <w:divBdr>
                    <w:top w:val="none" w:sz="0" w:space="0" w:color="auto"/>
                    <w:left w:val="none" w:sz="0" w:space="0" w:color="auto"/>
                    <w:bottom w:val="none" w:sz="0" w:space="0" w:color="auto"/>
                    <w:right w:val="none" w:sz="0" w:space="0" w:color="auto"/>
                  </w:divBdr>
                </w:div>
              </w:divsChild>
            </w:div>
            <w:div w:id="406001368">
              <w:marLeft w:val="0"/>
              <w:marRight w:val="0"/>
              <w:marTop w:val="0"/>
              <w:marBottom w:val="0"/>
              <w:divBdr>
                <w:top w:val="none" w:sz="0" w:space="0" w:color="auto"/>
                <w:left w:val="none" w:sz="0" w:space="0" w:color="auto"/>
                <w:bottom w:val="none" w:sz="0" w:space="0" w:color="auto"/>
                <w:right w:val="none" w:sz="0" w:space="0" w:color="auto"/>
              </w:divBdr>
              <w:divsChild>
                <w:div w:id="337778503">
                  <w:marLeft w:val="0"/>
                  <w:marRight w:val="0"/>
                  <w:marTop w:val="0"/>
                  <w:marBottom w:val="0"/>
                  <w:divBdr>
                    <w:top w:val="none" w:sz="0" w:space="0" w:color="auto"/>
                    <w:left w:val="none" w:sz="0" w:space="0" w:color="auto"/>
                    <w:bottom w:val="none" w:sz="0" w:space="0" w:color="auto"/>
                    <w:right w:val="none" w:sz="0" w:space="0" w:color="auto"/>
                  </w:divBdr>
                </w:div>
              </w:divsChild>
            </w:div>
            <w:div w:id="407846652">
              <w:marLeft w:val="0"/>
              <w:marRight w:val="0"/>
              <w:marTop w:val="0"/>
              <w:marBottom w:val="0"/>
              <w:divBdr>
                <w:top w:val="none" w:sz="0" w:space="0" w:color="auto"/>
                <w:left w:val="none" w:sz="0" w:space="0" w:color="auto"/>
                <w:bottom w:val="none" w:sz="0" w:space="0" w:color="auto"/>
                <w:right w:val="none" w:sz="0" w:space="0" w:color="auto"/>
              </w:divBdr>
              <w:divsChild>
                <w:div w:id="1693415390">
                  <w:marLeft w:val="0"/>
                  <w:marRight w:val="0"/>
                  <w:marTop w:val="0"/>
                  <w:marBottom w:val="0"/>
                  <w:divBdr>
                    <w:top w:val="none" w:sz="0" w:space="0" w:color="auto"/>
                    <w:left w:val="none" w:sz="0" w:space="0" w:color="auto"/>
                    <w:bottom w:val="none" w:sz="0" w:space="0" w:color="auto"/>
                    <w:right w:val="none" w:sz="0" w:space="0" w:color="auto"/>
                  </w:divBdr>
                </w:div>
              </w:divsChild>
            </w:div>
            <w:div w:id="408774346">
              <w:marLeft w:val="0"/>
              <w:marRight w:val="0"/>
              <w:marTop w:val="0"/>
              <w:marBottom w:val="0"/>
              <w:divBdr>
                <w:top w:val="none" w:sz="0" w:space="0" w:color="auto"/>
                <w:left w:val="none" w:sz="0" w:space="0" w:color="auto"/>
                <w:bottom w:val="none" w:sz="0" w:space="0" w:color="auto"/>
                <w:right w:val="none" w:sz="0" w:space="0" w:color="auto"/>
              </w:divBdr>
              <w:divsChild>
                <w:div w:id="17195049">
                  <w:marLeft w:val="0"/>
                  <w:marRight w:val="0"/>
                  <w:marTop w:val="0"/>
                  <w:marBottom w:val="0"/>
                  <w:divBdr>
                    <w:top w:val="none" w:sz="0" w:space="0" w:color="auto"/>
                    <w:left w:val="none" w:sz="0" w:space="0" w:color="auto"/>
                    <w:bottom w:val="none" w:sz="0" w:space="0" w:color="auto"/>
                    <w:right w:val="none" w:sz="0" w:space="0" w:color="auto"/>
                  </w:divBdr>
                </w:div>
              </w:divsChild>
            </w:div>
            <w:div w:id="409739441">
              <w:marLeft w:val="0"/>
              <w:marRight w:val="0"/>
              <w:marTop w:val="0"/>
              <w:marBottom w:val="0"/>
              <w:divBdr>
                <w:top w:val="none" w:sz="0" w:space="0" w:color="auto"/>
                <w:left w:val="none" w:sz="0" w:space="0" w:color="auto"/>
                <w:bottom w:val="none" w:sz="0" w:space="0" w:color="auto"/>
                <w:right w:val="none" w:sz="0" w:space="0" w:color="auto"/>
              </w:divBdr>
              <w:divsChild>
                <w:div w:id="1486777112">
                  <w:marLeft w:val="0"/>
                  <w:marRight w:val="0"/>
                  <w:marTop w:val="0"/>
                  <w:marBottom w:val="0"/>
                  <w:divBdr>
                    <w:top w:val="none" w:sz="0" w:space="0" w:color="auto"/>
                    <w:left w:val="none" w:sz="0" w:space="0" w:color="auto"/>
                    <w:bottom w:val="none" w:sz="0" w:space="0" w:color="auto"/>
                    <w:right w:val="none" w:sz="0" w:space="0" w:color="auto"/>
                  </w:divBdr>
                </w:div>
              </w:divsChild>
            </w:div>
            <w:div w:id="411392556">
              <w:marLeft w:val="0"/>
              <w:marRight w:val="0"/>
              <w:marTop w:val="0"/>
              <w:marBottom w:val="0"/>
              <w:divBdr>
                <w:top w:val="none" w:sz="0" w:space="0" w:color="auto"/>
                <w:left w:val="none" w:sz="0" w:space="0" w:color="auto"/>
                <w:bottom w:val="none" w:sz="0" w:space="0" w:color="auto"/>
                <w:right w:val="none" w:sz="0" w:space="0" w:color="auto"/>
              </w:divBdr>
              <w:divsChild>
                <w:div w:id="1412965129">
                  <w:marLeft w:val="0"/>
                  <w:marRight w:val="0"/>
                  <w:marTop w:val="0"/>
                  <w:marBottom w:val="0"/>
                  <w:divBdr>
                    <w:top w:val="none" w:sz="0" w:space="0" w:color="auto"/>
                    <w:left w:val="none" w:sz="0" w:space="0" w:color="auto"/>
                    <w:bottom w:val="none" w:sz="0" w:space="0" w:color="auto"/>
                    <w:right w:val="none" w:sz="0" w:space="0" w:color="auto"/>
                  </w:divBdr>
                </w:div>
              </w:divsChild>
            </w:div>
            <w:div w:id="412822032">
              <w:marLeft w:val="0"/>
              <w:marRight w:val="0"/>
              <w:marTop w:val="0"/>
              <w:marBottom w:val="0"/>
              <w:divBdr>
                <w:top w:val="none" w:sz="0" w:space="0" w:color="auto"/>
                <w:left w:val="none" w:sz="0" w:space="0" w:color="auto"/>
                <w:bottom w:val="none" w:sz="0" w:space="0" w:color="auto"/>
                <w:right w:val="none" w:sz="0" w:space="0" w:color="auto"/>
              </w:divBdr>
              <w:divsChild>
                <w:div w:id="1451196349">
                  <w:marLeft w:val="0"/>
                  <w:marRight w:val="0"/>
                  <w:marTop w:val="0"/>
                  <w:marBottom w:val="0"/>
                  <w:divBdr>
                    <w:top w:val="none" w:sz="0" w:space="0" w:color="auto"/>
                    <w:left w:val="none" w:sz="0" w:space="0" w:color="auto"/>
                    <w:bottom w:val="none" w:sz="0" w:space="0" w:color="auto"/>
                    <w:right w:val="none" w:sz="0" w:space="0" w:color="auto"/>
                  </w:divBdr>
                </w:div>
              </w:divsChild>
            </w:div>
            <w:div w:id="412973634">
              <w:marLeft w:val="0"/>
              <w:marRight w:val="0"/>
              <w:marTop w:val="0"/>
              <w:marBottom w:val="0"/>
              <w:divBdr>
                <w:top w:val="none" w:sz="0" w:space="0" w:color="auto"/>
                <w:left w:val="none" w:sz="0" w:space="0" w:color="auto"/>
                <w:bottom w:val="none" w:sz="0" w:space="0" w:color="auto"/>
                <w:right w:val="none" w:sz="0" w:space="0" w:color="auto"/>
              </w:divBdr>
              <w:divsChild>
                <w:div w:id="810367127">
                  <w:marLeft w:val="0"/>
                  <w:marRight w:val="0"/>
                  <w:marTop w:val="0"/>
                  <w:marBottom w:val="0"/>
                  <w:divBdr>
                    <w:top w:val="none" w:sz="0" w:space="0" w:color="auto"/>
                    <w:left w:val="none" w:sz="0" w:space="0" w:color="auto"/>
                    <w:bottom w:val="none" w:sz="0" w:space="0" w:color="auto"/>
                    <w:right w:val="none" w:sz="0" w:space="0" w:color="auto"/>
                  </w:divBdr>
                </w:div>
              </w:divsChild>
            </w:div>
            <w:div w:id="413093838">
              <w:marLeft w:val="0"/>
              <w:marRight w:val="0"/>
              <w:marTop w:val="0"/>
              <w:marBottom w:val="0"/>
              <w:divBdr>
                <w:top w:val="none" w:sz="0" w:space="0" w:color="auto"/>
                <w:left w:val="none" w:sz="0" w:space="0" w:color="auto"/>
                <w:bottom w:val="none" w:sz="0" w:space="0" w:color="auto"/>
                <w:right w:val="none" w:sz="0" w:space="0" w:color="auto"/>
              </w:divBdr>
              <w:divsChild>
                <w:div w:id="299381991">
                  <w:marLeft w:val="0"/>
                  <w:marRight w:val="0"/>
                  <w:marTop w:val="0"/>
                  <w:marBottom w:val="0"/>
                  <w:divBdr>
                    <w:top w:val="none" w:sz="0" w:space="0" w:color="auto"/>
                    <w:left w:val="none" w:sz="0" w:space="0" w:color="auto"/>
                    <w:bottom w:val="none" w:sz="0" w:space="0" w:color="auto"/>
                    <w:right w:val="none" w:sz="0" w:space="0" w:color="auto"/>
                  </w:divBdr>
                </w:div>
              </w:divsChild>
            </w:div>
            <w:div w:id="413433635">
              <w:marLeft w:val="0"/>
              <w:marRight w:val="0"/>
              <w:marTop w:val="0"/>
              <w:marBottom w:val="0"/>
              <w:divBdr>
                <w:top w:val="none" w:sz="0" w:space="0" w:color="auto"/>
                <w:left w:val="none" w:sz="0" w:space="0" w:color="auto"/>
                <w:bottom w:val="none" w:sz="0" w:space="0" w:color="auto"/>
                <w:right w:val="none" w:sz="0" w:space="0" w:color="auto"/>
              </w:divBdr>
              <w:divsChild>
                <w:div w:id="19941992">
                  <w:marLeft w:val="0"/>
                  <w:marRight w:val="0"/>
                  <w:marTop w:val="0"/>
                  <w:marBottom w:val="0"/>
                  <w:divBdr>
                    <w:top w:val="none" w:sz="0" w:space="0" w:color="auto"/>
                    <w:left w:val="none" w:sz="0" w:space="0" w:color="auto"/>
                    <w:bottom w:val="none" w:sz="0" w:space="0" w:color="auto"/>
                    <w:right w:val="none" w:sz="0" w:space="0" w:color="auto"/>
                  </w:divBdr>
                </w:div>
              </w:divsChild>
            </w:div>
            <w:div w:id="413433721">
              <w:marLeft w:val="0"/>
              <w:marRight w:val="0"/>
              <w:marTop w:val="0"/>
              <w:marBottom w:val="0"/>
              <w:divBdr>
                <w:top w:val="none" w:sz="0" w:space="0" w:color="auto"/>
                <w:left w:val="none" w:sz="0" w:space="0" w:color="auto"/>
                <w:bottom w:val="none" w:sz="0" w:space="0" w:color="auto"/>
                <w:right w:val="none" w:sz="0" w:space="0" w:color="auto"/>
              </w:divBdr>
              <w:divsChild>
                <w:div w:id="469902776">
                  <w:marLeft w:val="0"/>
                  <w:marRight w:val="0"/>
                  <w:marTop w:val="0"/>
                  <w:marBottom w:val="0"/>
                  <w:divBdr>
                    <w:top w:val="none" w:sz="0" w:space="0" w:color="auto"/>
                    <w:left w:val="none" w:sz="0" w:space="0" w:color="auto"/>
                    <w:bottom w:val="none" w:sz="0" w:space="0" w:color="auto"/>
                    <w:right w:val="none" w:sz="0" w:space="0" w:color="auto"/>
                  </w:divBdr>
                </w:div>
              </w:divsChild>
            </w:div>
            <w:div w:id="414744489">
              <w:marLeft w:val="0"/>
              <w:marRight w:val="0"/>
              <w:marTop w:val="300"/>
              <w:marBottom w:val="300"/>
              <w:divBdr>
                <w:top w:val="none" w:sz="0" w:space="0" w:color="auto"/>
                <w:left w:val="none" w:sz="0" w:space="0" w:color="auto"/>
                <w:bottom w:val="none" w:sz="0" w:space="0" w:color="auto"/>
                <w:right w:val="none" w:sz="0" w:space="0" w:color="auto"/>
              </w:divBdr>
            </w:div>
            <w:div w:id="415904805">
              <w:marLeft w:val="0"/>
              <w:marRight w:val="0"/>
              <w:marTop w:val="0"/>
              <w:marBottom w:val="0"/>
              <w:divBdr>
                <w:top w:val="none" w:sz="0" w:space="0" w:color="auto"/>
                <w:left w:val="none" w:sz="0" w:space="0" w:color="auto"/>
                <w:bottom w:val="none" w:sz="0" w:space="0" w:color="auto"/>
                <w:right w:val="none" w:sz="0" w:space="0" w:color="auto"/>
              </w:divBdr>
              <w:divsChild>
                <w:div w:id="49547122">
                  <w:marLeft w:val="0"/>
                  <w:marRight w:val="0"/>
                  <w:marTop w:val="0"/>
                  <w:marBottom w:val="0"/>
                  <w:divBdr>
                    <w:top w:val="none" w:sz="0" w:space="0" w:color="auto"/>
                    <w:left w:val="none" w:sz="0" w:space="0" w:color="auto"/>
                    <w:bottom w:val="none" w:sz="0" w:space="0" w:color="auto"/>
                    <w:right w:val="none" w:sz="0" w:space="0" w:color="auto"/>
                  </w:divBdr>
                </w:div>
              </w:divsChild>
            </w:div>
            <w:div w:id="419831665">
              <w:marLeft w:val="0"/>
              <w:marRight w:val="0"/>
              <w:marTop w:val="300"/>
              <w:marBottom w:val="300"/>
              <w:divBdr>
                <w:top w:val="none" w:sz="0" w:space="0" w:color="auto"/>
                <w:left w:val="none" w:sz="0" w:space="0" w:color="auto"/>
                <w:bottom w:val="none" w:sz="0" w:space="0" w:color="auto"/>
                <w:right w:val="none" w:sz="0" w:space="0" w:color="auto"/>
              </w:divBdr>
            </w:div>
            <w:div w:id="420226488">
              <w:marLeft w:val="0"/>
              <w:marRight w:val="0"/>
              <w:marTop w:val="0"/>
              <w:marBottom w:val="0"/>
              <w:divBdr>
                <w:top w:val="none" w:sz="0" w:space="0" w:color="auto"/>
                <w:left w:val="none" w:sz="0" w:space="0" w:color="auto"/>
                <w:bottom w:val="none" w:sz="0" w:space="0" w:color="auto"/>
                <w:right w:val="none" w:sz="0" w:space="0" w:color="auto"/>
              </w:divBdr>
              <w:divsChild>
                <w:div w:id="1748308747">
                  <w:marLeft w:val="0"/>
                  <w:marRight w:val="0"/>
                  <w:marTop w:val="0"/>
                  <w:marBottom w:val="0"/>
                  <w:divBdr>
                    <w:top w:val="none" w:sz="0" w:space="0" w:color="auto"/>
                    <w:left w:val="none" w:sz="0" w:space="0" w:color="auto"/>
                    <w:bottom w:val="none" w:sz="0" w:space="0" w:color="auto"/>
                    <w:right w:val="none" w:sz="0" w:space="0" w:color="auto"/>
                  </w:divBdr>
                </w:div>
              </w:divsChild>
            </w:div>
            <w:div w:id="420301059">
              <w:marLeft w:val="0"/>
              <w:marRight w:val="0"/>
              <w:marTop w:val="0"/>
              <w:marBottom w:val="0"/>
              <w:divBdr>
                <w:top w:val="none" w:sz="0" w:space="0" w:color="auto"/>
                <w:left w:val="none" w:sz="0" w:space="0" w:color="auto"/>
                <w:bottom w:val="none" w:sz="0" w:space="0" w:color="auto"/>
                <w:right w:val="none" w:sz="0" w:space="0" w:color="auto"/>
              </w:divBdr>
              <w:divsChild>
                <w:div w:id="139004159">
                  <w:marLeft w:val="0"/>
                  <w:marRight w:val="0"/>
                  <w:marTop w:val="0"/>
                  <w:marBottom w:val="0"/>
                  <w:divBdr>
                    <w:top w:val="none" w:sz="0" w:space="0" w:color="auto"/>
                    <w:left w:val="none" w:sz="0" w:space="0" w:color="auto"/>
                    <w:bottom w:val="none" w:sz="0" w:space="0" w:color="auto"/>
                    <w:right w:val="none" w:sz="0" w:space="0" w:color="auto"/>
                  </w:divBdr>
                </w:div>
              </w:divsChild>
            </w:div>
            <w:div w:id="420567643">
              <w:marLeft w:val="0"/>
              <w:marRight w:val="0"/>
              <w:marTop w:val="0"/>
              <w:marBottom w:val="0"/>
              <w:divBdr>
                <w:top w:val="none" w:sz="0" w:space="0" w:color="auto"/>
                <w:left w:val="none" w:sz="0" w:space="0" w:color="auto"/>
                <w:bottom w:val="none" w:sz="0" w:space="0" w:color="auto"/>
                <w:right w:val="none" w:sz="0" w:space="0" w:color="auto"/>
              </w:divBdr>
              <w:divsChild>
                <w:div w:id="363602363">
                  <w:marLeft w:val="0"/>
                  <w:marRight w:val="0"/>
                  <w:marTop w:val="0"/>
                  <w:marBottom w:val="0"/>
                  <w:divBdr>
                    <w:top w:val="none" w:sz="0" w:space="0" w:color="auto"/>
                    <w:left w:val="none" w:sz="0" w:space="0" w:color="auto"/>
                    <w:bottom w:val="none" w:sz="0" w:space="0" w:color="auto"/>
                    <w:right w:val="none" w:sz="0" w:space="0" w:color="auto"/>
                  </w:divBdr>
                </w:div>
              </w:divsChild>
            </w:div>
            <w:div w:id="421529507">
              <w:marLeft w:val="0"/>
              <w:marRight w:val="0"/>
              <w:marTop w:val="0"/>
              <w:marBottom w:val="0"/>
              <w:divBdr>
                <w:top w:val="none" w:sz="0" w:space="0" w:color="auto"/>
                <w:left w:val="none" w:sz="0" w:space="0" w:color="auto"/>
                <w:bottom w:val="none" w:sz="0" w:space="0" w:color="auto"/>
                <w:right w:val="none" w:sz="0" w:space="0" w:color="auto"/>
              </w:divBdr>
              <w:divsChild>
                <w:div w:id="521865748">
                  <w:marLeft w:val="0"/>
                  <w:marRight w:val="0"/>
                  <w:marTop w:val="0"/>
                  <w:marBottom w:val="0"/>
                  <w:divBdr>
                    <w:top w:val="none" w:sz="0" w:space="0" w:color="auto"/>
                    <w:left w:val="none" w:sz="0" w:space="0" w:color="auto"/>
                    <w:bottom w:val="none" w:sz="0" w:space="0" w:color="auto"/>
                    <w:right w:val="none" w:sz="0" w:space="0" w:color="auto"/>
                  </w:divBdr>
                </w:div>
              </w:divsChild>
            </w:div>
            <w:div w:id="423651948">
              <w:marLeft w:val="0"/>
              <w:marRight w:val="0"/>
              <w:marTop w:val="0"/>
              <w:marBottom w:val="0"/>
              <w:divBdr>
                <w:top w:val="none" w:sz="0" w:space="0" w:color="auto"/>
                <w:left w:val="none" w:sz="0" w:space="0" w:color="auto"/>
                <w:bottom w:val="none" w:sz="0" w:space="0" w:color="auto"/>
                <w:right w:val="none" w:sz="0" w:space="0" w:color="auto"/>
              </w:divBdr>
              <w:divsChild>
                <w:div w:id="1499345627">
                  <w:marLeft w:val="0"/>
                  <w:marRight w:val="0"/>
                  <w:marTop w:val="0"/>
                  <w:marBottom w:val="0"/>
                  <w:divBdr>
                    <w:top w:val="none" w:sz="0" w:space="0" w:color="auto"/>
                    <w:left w:val="none" w:sz="0" w:space="0" w:color="auto"/>
                    <w:bottom w:val="none" w:sz="0" w:space="0" w:color="auto"/>
                    <w:right w:val="none" w:sz="0" w:space="0" w:color="auto"/>
                  </w:divBdr>
                </w:div>
              </w:divsChild>
            </w:div>
            <w:div w:id="424498947">
              <w:marLeft w:val="0"/>
              <w:marRight w:val="0"/>
              <w:marTop w:val="0"/>
              <w:marBottom w:val="0"/>
              <w:divBdr>
                <w:top w:val="none" w:sz="0" w:space="0" w:color="auto"/>
                <w:left w:val="none" w:sz="0" w:space="0" w:color="auto"/>
                <w:bottom w:val="none" w:sz="0" w:space="0" w:color="auto"/>
                <w:right w:val="none" w:sz="0" w:space="0" w:color="auto"/>
              </w:divBdr>
              <w:divsChild>
                <w:div w:id="292298591">
                  <w:marLeft w:val="0"/>
                  <w:marRight w:val="0"/>
                  <w:marTop w:val="0"/>
                  <w:marBottom w:val="0"/>
                  <w:divBdr>
                    <w:top w:val="none" w:sz="0" w:space="0" w:color="auto"/>
                    <w:left w:val="none" w:sz="0" w:space="0" w:color="auto"/>
                    <w:bottom w:val="none" w:sz="0" w:space="0" w:color="auto"/>
                    <w:right w:val="none" w:sz="0" w:space="0" w:color="auto"/>
                  </w:divBdr>
                </w:div>
              </w:divsChild>
            </w:div>
            <w:div w:id="424808714">
              <w:marLeft w:val="0"/>
              <w:marRight w:val="0"/>
              <w:marTop w:val="300"/>
              <w:marBottom w:val="300"/>
              <w:divBdr>
                <w:top w:val="none" w:sz="0" w:space="0" w:color="auto"/>
                <w:left w:val="none" w:sz="0" w:space="0" w:color="auto"/>
                <w:bottom w:val="none" w:sz="0" w:space="0" w:color="auto"/>
                <w:right w:val="none" w:sz="0" w:space="0" w:color="auto"/>
              </w:divBdr>
            </w:div>
            <w:div w:id="426272373">
              <w:marLeft w:val="0"/>
              <w:marRight w:val="0"/>
              <w:marTop w:val="0"/>
              <w:marBottom w:val="0"/>
              <w:divBdr>
                <w:top w:val="none" w:sz="0" w:space="0" w:color="auto"/>
                <w:left w:val="none" w:sz="0" w:space="0" w:color="auto"/>
                <w:bottom w:val="none" w:sz="0" w:space="0" w:color="auto"/>
                <w:right w:val="none" w:sz="0" w:space="0" w:color="auto"/>
              </w:divBdr>
              <w:divsChild>
                <w:div w:id="1491097330">
                  <w:marLeft w:val="0"/>
                  <w:marRight w:val="0"/>
                  <w:marTop w:val="0"/>
                  <w:marBottom w:val="0"/>
                  <w:divBdr>
                    <w:top w:val="none" w:sz="0" w:space="0" w:color="auto"/>
                    <w:left w:val="none" w:sz="0" w:space="0" w:color="auto"/>
                    <w:bottom w:val="none" w:sz="0" w:space="0" w:color="auto"/>
                    <w:right w:val="none" w:sz="0" w:space="0" w:color="auto"/>
                  </w:divBdr>
                </w:div>
              </w:divsChild>
            </w:div>
            <w:div w:id="426341975">
              <w:marLeft w:val="0"/>
              <w:marRight w:val="0"/>
              <w:marTop w:val="0"/>
              <w:marBottom w:val="0"/>
              <w:divBdr>
                <w:top w:val="none" w:sz="0" w:space="0" w:color="auto"/>
                <w:left w:val="none" w:sz="0" w:space="0" w:color="auto"/>
                <w:bottom w:val="none" w:sz="0" w:space="0" w:color="auto"/>
                <w:right w:val="none" w:sz="0" w:space="0" w:color="auto"/>
              </w:divBdr>
              <w:divsChild>
                <w:div w:id="449281377">
                  <w:marLeft w:val="0"/>
                  <w:marRight w:val="0"/>
                  <w:marTop w:val="0"/>
                  <w:marBottom w:val="0"/>
                  <w:divBdr>
                    <w:top w:val="none" w:sz="0" w:space="0" w:color="auto"/>
                    <w:left w:val="none" w:sz="0" w:space="0" w:color="auto"/>
                    <w:bottom w:val="none" w:sz="0" w:space="0" w:color="auto"/>
                    <w:right w:val="none" w:sz="0" w:space="0" w:color="auto"/>
                  </w:divBdr>
                </w:div>
              </w:divsChild>
            </w:div>
            <w:div w:id="428894917">
              <w:marLeft w:val="0"/>
              <w:marRight w:val="0"/>
              <w:marTop w:val="0"/>
              <w:marBottom w:val="0"/>
              <w:divBdr>
                <w:top w:val="none" w:sz="0" w:space="0" w:color="auto"/>
                <w:left w:val="none" w:sz="0" w:space="0" w:color="auto"/>
                <w:bottom w:val="none" w:sz="0" w:space="0" w:color="auto"/>
                <w:right w:val="none" w:sz="0" w:space="0" w:color="auto"/>
              </w:divBdr>
              <w:divsChild>
                <w:div w:id="1157770107">
                  <w:marLeft w:val="0"/>
                  <w:marRight w:val="0"/>
                  <w:marTop w:val="0"/>
                  <w:marBottom w:val="0"/>
                  <w:divBdr>
                    <w:top w:val="none" w:sz="0" w:space="0" w:color="auto"/>
                    <w:left w:val="none" w:sz="0" w:space="0" w:color="auto"/>
                    <w:bottom w:val="none" w:sz="0" w:space="0" w:color="auto"/>
                    <w:right w:val="none" w:sz="0" w:space="0" w:color="auto"/>
                  </w:divBdr>
                </w:div>
              </w:divsChild>
            </w:div>
            <w:div w:id="429199961">
              <w:marLeft w:val="0"/>
              <w:marRight w:val="0"/>
              <w:marTop w:val="0"/>
              <w:marBottom w:val="0"/>
              <w:divBdr>
                <w:top w:val="none" w:sz="0" w:space="0" w:color="auto"/>
                <w:left w:val="none" w:sz="0" w:space="0" w:color="auto"/>
                <w:bottom w:val="none" w:sz="0" w:space="0" w:color="auto"/>
                <w:right w:val="none" w:sz="0" w:space="0" w:color="auto"/>
              </w:divBdr>
              <w:divsChild>
                <w:div w:id="1983847540">
                  <w:marLeft w:val="0"/>
                  <w:marRight w:val="0"/>
                  <w:marTop w:val="0"/>
                  <w:marBottom w:val="0"/>
                  <w:divBdr>
                    <w:top w:val="none" w:sz="0" w:space="0" w:color="auto"/>
                    <w:left w:val="none" w:sz="0" w:space="0" w:color="auto"/>
                    <w:bottom w:val="none" w:sz="0" w:space="0" w:color="auto"/>
                    <w:right w:val="none" w:sz="0" w:space="0" w:color="auto"/>
                  </w:divBdr>
                </w:div>
              </w:divsChild>
            </w:div>
            <w:div w:id="429741180">
              <w:marLeft w:val="0"/>
              <w:marRight w:val="0"/>
              <w:marTop w:val="0"/>
              <w:marBottom w:val="0"/>
              <w:divBdr>
                <w:top w:val="none" w:sz="0" w:space="0" w:color="auto"/>
                <w:left w:val="none" w:sz="0" w:space="0" w:color="auto"/>
                <w:bottom w:val="none" w:sz="0" w:space="0" w:color="auto"/>
                <w:right w:val="none" w:sz="0" w:space="0" w:color="auto"/>
              </w:divBdr>
              <w:divsChild>
                <w:div w:id="1165785891">
                  <w:marLeft w:val="0"/>
                  <w:marRight w:val="0"/>
                  <w:marTop w:val="0"/>
                  <w:marBottom w:val="0"/>
                  <w:divBdr>
                    <w:top w:val="none" w:sz="0" w:space="0" w:color="auto"/>
                    <w:left w:val="none" w:sz="0" w:space="0" w:color="auto"/>
                    <w:bottom w:val="none" w:sz="0" w:space="0" w:color="auto"/>
                    <w:right w:val="none" w:sz="0" w:space="0" w:color="auto"/>
                  </w:divBdr>
                </w:div>
              </w:divsChild>
            </w:div>
            <w:div w:id="431124969">
              <w:marLeft w:val="0"/>
              <w:marRight w:val="0"/>
              <w:marTop w:val="0"/>
              <w:marBottom w:val="0"/>
              <w:divBdr>
                <w:top w:val="none" w:sz="0" w:space="0" w:color="auto"/>
                <w:left w:val="none" w:sz="0" w:space="0" w:color="auto"/>
                <w:bottom w:val="none" w:sz="0" w:space="0" w:color="auto"/>
                <w:right w:val="none" w:sz="0" w:space="0" w:color="auto"/>
              </w:divBdr>
              <w:divsChild>
                <w:div w:id="202334145">
                  <w:marLeft w:val="0"/>
                  <w:marRight w:val="0"/>
                  <w:marTop w:val="0"/>
                  <w:marBottom w:val="0"/>
                  <w:divBdr>
                    <w:top w:val="none" w:sz="0" w:space="0" w:color="auto"/>
                    <w:left w:val="none" w:sz="0" w:space="0" w:color="auto"/>
                    <w:bottom w:val="none" w:sz="0" w:space="0" w:color="auto"/>
                    <w:right w:val="none" w:sz="0" w:space="0" w:color="auto"/>
                  </w:divBdr>
                </w:div>
              </w:divsChild>
            </w:div>
            <w:div w:id="431902438">
              <w:marLeft w:val="0"/>
              <w:marRight w:val="0"/>
              <w:marTop w:val="300"/>
              <w:marBottom w:val="300"/>
              <w:divBdr>
                <w:top w:val="none" w:sz="0" w:space="0" w:color="auto"/>
                <w:left w:val="none" w:sz="0" w:space="0" w:color="auto"/>
                <w:bottom w:val="none" w:sz="0" w:space="0" w:color="auto"/>
                <w:right w:val="none" w:sz="0" w:space="0" w:color="auto"/>
              </w:divBdr>
            </w:div>
            <w:div w:id="433595489">
              <w:marLeft w:val="0"/>
              <w:marRight w:val="0"/>
              <w:marTop w:val="300"/>
              <w:marBottom w:val="300"/>
              <w:divBdr>
                <w:top w:val="none" w:sz="0" w:space="0" w:color="auto"/>
                <w:left w:val="none" w:sz="0" w:space="0" w:color="auto"/>
                <w:bottom w:val="none" w:sz="0" w:space="0" w:color="auto"/>
                <w:right w:val="none" w:sz="0" w:space="0" w:color="auto"/>
              </w:divBdr>
            </w:div>
            <w:div w:id="433870309">
              <w:marLeft w:val="0"/>
              <w:marRight w:val="0"/>
              <w:marTop w:val="0"/>
              <w:marBottom w:val="0"/>
              <w:divBdr>
                <w:top w:val="none" w:sz="0" w:space="0" w:color="auto"/>
                <w:left w:val="none" w:sz="0" w:space="0" w:color="auto"/>
                <w:bottom w:val="none" w:sz="0" w:space="0" w:color="auto"/>
                <w:right w:val="none" w:sz="0" w:space="0" w:color="auto"/>
              </w:divBdr>
              <w:divsChild>
                <w:div w:id="965500742">
                  <w:marLeft w:val="0"/>
                  <w:marRight w:val="0"/>
                  <w:marTop w:val="0"/>
                  <w:marBottom w:val="0"/>
                  <w:divBdr>
                    <w:top w:val="none" w:sz="0" w:space="0" w:color="auto"/>
                    <w:left w:val="none" w:sz="0" w:space="0" w:color="auto"/>
                    <w:bottom w:val="none" w:sz="0" w:space="0" w:color="auto"/>
                    <w:right w:val="none" w:sz="0" w:space="0" w:color="auto"/>
                  </w:divBdr>
                </w:div>
              </w:divsChild>
            </w:div>
            <w:div w:id="433945384">
              <w:marLeft w:val="0"/>
              <w:marRight w:val="0"/>
              <w:marTop w:val="300"/>
              <w:marBottom w:val="300"/>
              <w:divBdr>
                <w:top w:val="none" w:sz="0" w:space="0" w:color="auto"/>
                <w:left w:val="none" w:sz="0" w:space="0" w:color="auto"/>
                <w:bottom w:val="none" w:sz="0" w:space="0" w:color="auto"/>
                <w:right w:val="none" w:sz="0" w:space="0" w:color="auto"/>
              </w:divBdr>
            </w:div>
            <w:div w:id="435760178">
              <w:marLeft w:val="0"/>
              <w:marRight w:val="0"/>
              <w:marTop w:val="0"/>
              <w:marBottom w:val="0"/>
              <w:divBdr>
                <w:top w:val="none" w:sz="0" w:space="0" w:color="auto"/>
                <w:left w:val="none" w:sz="0" w:space="0" w:color="auto"/>
                <w:bottom w:val="none" w:sz="0" w:space="0" w:color="auto"/>
                <w:right w:val="none" w:sz="0" w:space="0" w:color="auto"/>
              </w:divBdr>
              <w:divsChild>
                <w:div w:id="1591507290">
                  <w:marLeft w:val="0"/>
                  <w:marRight w:val="0"/>
                  <w:marTop w:val="0"/>
                  <w:marBottom w:val="0"/>
                  <w:divBdr>
                    <w:top w:val="none" w:sz="0" w:space="0" w:color="auto"/>
                    <w:left w:val="none" w:sz="0" w:space="0" w:color="auto"/>
                    <w:bottom w:val="none" w:sz="0" w:space="0" w:color="auto"/>
                    <w:right w:val="none" w:sz="0" w:space="0" w:color="auto"/>
                  </w:divBdr>
                </w:div>
              </w:divsChild>
            </w:div>
            <w:div w:id="437792574">
              <w:marLeft w:val="0"/>
              <w:marRight w:val="0"/>
              <w:marTop w:val="0"/>
              <w:marBottom w:val="0"/>
              <w:divBdr>
                <w:top w:val="none" w:sz="0" w:space="0" w:color="auto"/>
                <w:left w:val="none" w:sz="0" w:space="0" w:color="auto"/>
                <w:bottom w:val="none" w:sz="0" w:space="0" w:color="auto"/>
                <w:right w:val="none" w:sz="0" w:space="0" w:color="auto"/>
              </w:divBdr>
              <w:divsChild>
                <w:div w:id="395739049">
                  <w:marLeft w:val="0"/>
                  <w:marRight w:val="0"/>
                  <w:marTop w:val="0"/>
                  <w:marBottom w:val="0"/>
                  <w:divBdr>
                    <w:top w:val="none" w:sz="0" w:space="0" w:color="auto"/>
                    <w:left w:val="none" w:sz="0" w:space="0" w:color="auto"/>
                    <w:bottom w:val="none" w:sz="0" w:space="0" w:color="auto"/>
                    <w:right w:val="none" w:sz="0" w:space="0" w:color="auto"/>
                  </w:divBdr>
                </w:div>
              </w:divsChild>
            </w:div>
            <w:div w:id="437989046">
              <w:marLeft w:val="0"/>
              <w:marRight w:val="0"/>
              <w:marTop w:val="300"/>
              <w:marBottom w:val="300"/>
              <w:divBdr>
                <w:top w:val="none" w:sz="0" w:space="0" w:color="auto"/>
                <w:left w:val="none" w:sz="0" w:space="0" w:color="auto"/>
                <w:bottom w:val="none" w:sz="0" w:space="0" w:color="auto"/>
                <w:right w:val="none" w:sz="0" w:space="0" w:color="auto"/>
              </w:divBdr>
            </w:div>
            <w:div w:id="440341698">
              <w:marLeft w:val="0"/>
              <w:marRight w:val="0"/>
              <w:marTop w:val="0"/>
              <w:marBottom w:val="0"/>
              <w:divBdr>
                <w:top w:val="none" w:sz="0" w:space="0" w:color="auto"/>
                <w:left w:val="none" w:sz="0" w:space="0" w:color="auto"/>
                <w:bottom w:val="none" w:sz="0" w:space="0" w:color="auto"/>
                <w:right w:val="none" w:sz="0" w:space="0" w:color="auto"/>
              </w:divBdr>
              <w:divsChild>
                <w:div w:id="947003485">
                  <w:marLeft w:val="0"/>
                  <w:marRight w:val="0"/>
                  <w:marTop w:val="0"/>
                  <w:marBottom w:val="0"/>
                  <w:divBdr>
                    <w:top w:val="none" w:sz="0" w:space="0" w:color="auto"/>
                    <w:left w:val="none" w:sz="0" w:space="0" w:color="auto"/>
                    <w:bottom w:val="none" w:sz="0" w:space="0" w:color="auto"/>
                    <w:right w:val="none" w:sz="0" w:space="0" w:color="auto"/>
                  </w:divBdr>
                </w:div>
              </w:divsChild>
            </w:div>
            <w:div w:id="440489555">
              <w:marLeft w:val="0"/>
              <w:marRight w:val="0"/>
              <w:marTop w:val="0"/>
              <w:marBottom w:val="0"/>
              <w:divBdr>
                <w:top w:val="none" w:sz="0" w:space="0" w:color="auto"/>
                <w:left w:val="none" w:sz="0" w:space="0" w:color="auto"/>
                <w:bottom w:val="none" w:sz="0" w:space="0" w:color="auto"/>
                <w:right w:val="none" w:sz="0" w:space="0" w:color="auto"/>
              </w:divBdr>
              <w:divsChild>
                <w:div w:id="1185634211">
                  <w:marLeft w:val="0"/>
                  <w:marRight w:val="0"/>
                  <w:marTop w:val="0"/>
                  <w:marBottom w:val="0"/>
                  <w:divBdr>
                    <w:top w:val="none" w:sz="0" w:space="0" w:color="auto"/>
                    <w:left w:val="none" w:sz="0" w:space="0" w:color="auto"/>
                    <w:bottom w:val="none" w:sz="0" w:space="0" w:color="auto"/>
                    <w:right w:val="none" w:sz="0" w:space="0" w:color="auto"/>
                  </w:divBdr>
                </w:div>
              </w:divsChild>
            </w:div>
            <w:div w:id="440498051">
              <w:marLeft w:val="0"/>
              <w:marRight w:val="0"/>
              <w:marTop w:val="0"/>
              <w:marBottom w:val="0"/>
              <w:divBdr>
                <w:top w:val="none" w:sz="0" w:space="0" w:color="auto"/>
                <w:left w:val="none" w:sz="0" w:space="0" w:color="auto"/>
                <w:bottom w:val="none" w:sz="0" w:space="0" w:color="auto"/>
                <w:right w:val="none" w:sz="0" w:space="0" w:color="auto"/>
              </w:divBdr>
              <w:divsChild>
                <w:div w:id="22681936">
                  <w:marLeft w:val="0"/>
                  <w:marRight w:val="0"/>
                  <w:marTop w:val="0"/>
                  <w:marBottom w:val="0"/>
                  <w:divBdr>
                    <w:top w:val="none" w:sz="0" w:space="0" w:color="auto"/>
                    <w:left w:val="none" w:sz="0" w:space="0" w:color="auto"/>
                    <w:bottom w:val="none" w:sz="0" w:space="0" w:color="auto"/>
                    <w:right w:val="none" w:sz="0" w:space="0" w:color="auto"/>
                  </w:divBdr>
                </w:div>
              </w:divsChild>
            </w:div>
            <w:div w:id="444663786">
              <w:marLeft w:val="0"/>
              <w:marRight w:val="0"/>
              <w:marTop w:val="0"/>
              <w:marBottom w:val="0"/>
              <w:divBdr>
                <w:top w:val="none" w:sz="0" w:space="0" w:color="auto"/>
                <w:left w:val="none" w:sz="0" w:space="0" w:color="auto"/>
                <w:bottom w:val="none" w:sz="0" w:space="0" w:color="auto"/>
                <w:right w:val="none" w:sz="0" w:space="0" w:color="auto"/>
              </w:divBdr>
              <w:divsChild>
                <w:div w:id="58483393">
                  <w:marLeft w:val="0"/>
                  <w:marRight w:val="0"/>
                  <w:marTop w:val="0"/>
                  <w:marBottom w:val="0"/>
                  <w:divBdr>
                    <w:top w:val="none" w:sz="0" w:space="0" w:color="auto"/>
                    <w:left w:val="none" w:sz="0" w:space="0" w:color="auto"/>
                    <w:bottom w:val="none" w:sz="0" w:space="0" w:color="auto"/>
                    <w:right w:val="none" w:sz="0" w:space="0" w:color="auto"/>
                  </w:divBdr>
                </w:div>
              </w:divsChild>
            </w:div>
            <w:div w:id="445077269">
              <w:marLeft w:val="0"/>
              <w:marRight w:val="0"/>
              <w:marTop w:val="0"/>
              <w:marBottom w:val="0"/>
              <w:divBdr>
                <w:top w:val="none" w:sz="0" w:space="0" w:color="auto"/>
                <w:left w:val="none" w:sz="0" w:space="0" w:color="auto"/>
                <w:bottom w:val="none" w:sz="0" w:space="0" w:color="auto"/>
                <w:right w:val="none" w:sz="0" w:space="0" w:color="auto"/>
              </w:divBdr>
              <w:divsChild>
                <w:div w:id="683871240">
                  <w:marLeft w:val="0"/>
                  <w:marRight w:val="0"/>
                  <w:marTop w:val="0"/>
                  <w:marBottom w:val="0"/>
                  <w:divBdr>
                    <w:top w:val="none" w:sz="0" w:space="0" w:color="auto"/>
                    <w:left w:val="none" w:sz="0" w:space="0" w:color="auto"/>
                    <w:bottom w:val="none" w:sz="0" w:space="0" w:color="auto"/>
                    <w:right w:val="none" w:sz="0" w:space="0" w:color="auto"/>
                  </w:divBdr>
                </w:div>
              </w:divsChild>
            </w:div>
            <w:div w:id="448087452">
              <w:marLeft w:val="0"/>
              <w:marRight w:val="0"/>
              <w:marTop w:val="0"/>
              <w:marBottom w:val="0"/>
              <w:divBdr>
                <w:top w:val="none" w:sz="0" w:space="0" w:color="auto"/>
                <w:left w:val="none" w:sz="0" w:space="0" w:color="auto"/>
                <w:bottom w:val="none" w:sz="0" w:space="0" w:color="auto"/>
                <w:right w:val="none" w:sz="0" w:space="0" w:color="auto"/>
              </w:divBdr>
              <w:divsChild>
                <w:div w:id="1939173548">
                  <w:marLeft w:val="0"/>
                  <w:marRight w:val="0"/>
                  <w:marTop w:val="0"/>
                  <w:marBottom w:val="0"/>
                  <w:divBdr>
                    <w:top w:val="none" w:sz="0" w:space="0" w:color="auto"/>
                    <w:left w:val="none" w:sz="0" w:space="0" w:color="auto"/>
                    <w:bottom w:val="none" w:sz="0" w:space="0" w:color="auto"/>
                    <w:right w:val="none" w:sz="0" w:space="0" w:color="auto"/>
                  </w:divBdr>
                </w:div>
              </w:divsChild>
            </w:div>
            <w:div w:id="449281775">
              <w:marLeft w:val="0"/>
              <w:marRight w:val="0"/>
              <w:marTop w:val="300"/>
              <w:marBottom w:val="300"/>
              <w:divBdr>
                <w:top w:val="none" w:sz="0" w:space="0" w:color="auto"/>
                <w:left w:val="none" w:sz="0" w:space="0" w:color="auto"/>
                <w:bottom w:val="none" w:sz="0" w:space="0" w:color="auto"/>
                <w:right w:val="none" w:sz="0" w:space="0" w:color="auto"/>
              </w:divBdr>
            </w:div>
            <w:div w:id="449327967">
              <w:marLeft w:val="0"/>
              <w:marRight w:val="0"/>
              <w:marTop w:val="0"/>
              <w:marBottom w:val="0"/>
              <w:divBdr>
                <w:top w:val="none" w:sz="0" w:space="0" w:color="auto"/>
                <w:left w:val="none" w:sz="0" w:space="0" w:color="auto"/>
                <w:bottom w:val="none" w:sz="0" w:space="0" w:color="auto"/>
                <w:right w:val="none" w:sz="0" w:space="0" w:color="auto"/>
              </w:divBdr>
              <w:divsChild>
                <w:div w:id="1234657261">
                  <w:marLeft w:val="0"/>
                  <w:marRight w:val="0"/>
                  <w:marTop w:val="0"/>
                  <w:marBottom w:val="0"/>
                  <w:divBdr>
                    <w:top w:val="none" w:sz="0" w:space="0" w:color="auto"/>
                    <w:left w:val="none" w:sz="0" w:space="0" w:color="auto"/>
                    <w:bottom w:val="none" w:sz="0" w:space="0" w:color="auto"/>
                    <w:right w:val="none" w:sz="0" w:space="0" w:color="auto"/>
                  </w:divBdr>
                </w:div>
              </w:divsChild>
            </w:div>
            <w:div w:id="449519301">
              <w:marLeft w:val="0"/>
              <w:marRight w:val="0"/>
              <w:marTop w:val="0"/>
              <w:marBottom w:val="0"/>
              <w:divBdr>
                <w:top w:val="none" w:sz="0" w:space="0" w:color="auto"/>
                <w:left w:val="none" w:sz="0" w:space="0" w:color="auto"/>
                <w:bottom w:val="none" w:sz="0" w:space="0" w:color="auto"/>
                <w:right w:val="none" w:sz="0" w:space="0" w:color="auto"/>
              </w:divBdr>
              <w:divsChild>
                <w:div w:id="1080055905">
                  <w:marLeft w:val="0"/>
                  <w:marRight w:val="0"/>
                  <w:marTop w:val="0"/>
                  <w:marBottom w:val="0"/>
                  <w:divBdr>
                    <w:top w:val="none" w:sz="0" w:space="0" w:color="auto"/>
                    <w:left w:val="none" w:sz="0" w:space="0" w:color="auto"/>
                    <w:bottom w:val="none" w:sz="0" w:space="0" w:color="auto"/>
                    <w:right w:val="none" w:sz="0" w:space="0" w:color="auto"/>
                  </w:divBdr>
                </w:div>
              </w:divsChild>
            </w:div>
            <w:div w:id="450129648">
              <w:marLeft w:val="0"/>
              <w:marRight w:val="0"/>
              <w:marTop w:val="0"/>
              <w:marBottom w:val="0"/>
              <w:divBdr>
                <w:top w:val="none" w:sz="0" w:space="0" w:color="auto"/>
                <w:left w:val="none" w:sz="0" w:space="0" w:color="auto"/>
                <w:bottom w:val="none" w:sz="0" w:space="0" w:color="auto"/>
                <w:right w:val="none" w:sz="0" w:space="0" w:color="auto"/>
              </w:divBdr>
              <w:divsChild>
                <w:div w:id="823207799">
                  <w:marLeft w:val="0"/>
                  <w:marRight w:val="0"/>
                  <w:marTop w:val="0"/>
                  <w:marBottom w:val="0"/>
                  <w:divBdr>
                    <w:top w:val="none" w:sz="0" w:space="0" w:color="auto"/>
                    <w:left w:val="none" w:sz="0" w:space="0" w:color="auto"/>
                    <w:bottom w:val="none" w:sz="0" w:space="0" w:color="auto"/>
                    <w:right w:val="none" w:sz="0" w:space="0" w:color="auto"/>
                  </w:divBdr>
                </w:div>
              </w:divsChild>
            </w:div>
            <w:div w:id="452752869">
              <w:marLeft w:val="0"/>
              <w:marRight w:val="0"/>
              <w:marTop w:val="0"/>
              <w:marBottom w:val="0"/>
              <w:divBdr>
                <w:top w:val="none" w:sz="0" w:space="0" w:color="auto"/>
                <w:left w:val="none" w:sz="0" w:space="0" w:color="auto"/>
                <w:bottom w:val="none" w:sz="0" w:space="0" w:color="auto"/>
                <w:right w:val="none" w:sz="0" w:space="0" w:color="auto"/>
              </w:divBdr>
              <w:divsChild>
                <w:div w:id="1095325176">
                  <w:marLeft w:val="0"/>
                  <w:marRight w:val="0"/>
                  <w:marTop w:val="0"/>
                  <w:marBottom w:val="0"/>
                  <w:divBdr>
                    <w:top w:val="none" w:sz="0" w:space="0" w:color="auto"/>
                    <w:left w:val="none" w:sz="0" w:space="0" w:color="auto"/>
                    <w:bottom w:val="none" w:sz="0" w:space="0" w:color="auto"/>
                    <w:right w:val="none" w:sz="0" w:space="0" w:color="auto"/>
                  </w:divBdr>
                </w:div>
              </w:divsChild>
            </w:div>
            <w:div w:id="454061710">
              <w:marLeft w:val="0"/>
              <w:marRight w:val="0"/>
              <w:marTop w:val="0"/>
              <w:marBottom w:val="0"/>
              <w:divBdr>
                <w:top w:val="none" w:sz="0" w:space="0" w:color="auto"/>
                <w:left w:val="none" w:sz="0" w:space="0" w:color="auto"/>
                <w:bottom w:val="none" w:sz="0" w:space="0" w:color="auto"/>
                <w:right w:val="none" w:sz="0" w:space="0" w:color="auto"/>
              </w:divBdr>
              <w:divsChild>
                <w:div w:id="590237082">
                  <w:marLeft w:val="0"/>
                  <w:marRight w:val="0"/>
                  <w:marTop w:val="0"/>
                  <w:marBottom w:val="0"/>
                  <w:divBdr>
                    <w:top w:val="none" w:sz="0" w:space="0" w:color="auto"/>
                    <w:left w:val="none" w:sz="0" w:space="0" w:color="auto"/>
                    <w:bottom w:val="none" w:sz="0" w:space="0" w:color="auto"/>
                    <w:right w:val="none" w:sz="0" w:space="0" w:color="auto"/>
                  </w:divBdr>
                </w:div>
              </w:divsChild>
            </w:div>
            <w:div w:id="454445617">
              <w:marLeft w:val="0"/>
              <w:marRight w:val="0"/>
              <w:marTop w:val="0"/>
              <w:marBottom w:val="0"/>
              <w:divBdr>
                <w:top w:val="none" w:sz="0" w:space="0" w:color="auto"/>
                <w:left w:val="none" w:sz="0" w:space="0" w:color="auto"/>
                <w:bottom w:val="none" w:sz="0" w:space="0" w:color="auto"/>
                <w:right w:val="none" w:sz="0" w:space="0" w:color="auto"/>
              </w:divBdr>
              <w:divsChild>
                <w:div w:id="1093555423">
                  <w:marLeft w:val="0"/>
                  <w:marRight w:val="0"/>
                  <w:marTop w:val="0"/>
                  <w:marBottom w:val="0"/>
                  <w:divBdr>
                    <w:top w:val="none" w:sz="0" w:space="0" w:color="auto"/>
                    <w:left w:val="none" w:sz="0" w:space="0" w:color="auto"/>
                    <w:bottom w:val="none" w:sz="0" w:space="0" w:color="auto"/>
                    <w:right w:val="none" w:sz="0" w:space="0" w:color="auto"/>
                  </w:divBdr>
                </w:div>
              </w:divsChild>
            </w:div>
            <w:div w:id="454717410">
              <w:marLeft w:val="0"/>
              <w:marRight w:val="0"/>
              <w:marTop w:val="0"/>
              <w:marBottom w:val="0"/>
              <w:divBdr>
                <w:top w:val="none" w:sz="0" w:space="0" w:color="auto"/>
                <w:left w:val="none" w:sz="0" w:space="0" w:color="auto"/>
                <w:bottom w:val="none" w:sz="0" w:space="0" w:color="auto"/>
                <w:right w:val="none" w:sz="0" w:space="0" w:color="auto"/>
              </w:divBdr>
              <w:divsChild>
                <w:div w:id="926695222">
                  <w:marLeft w:val="0"/>
                  <w:marRight w:val="0"/>
                  <w:marTop w:val="0"/>
                  <w:marBottom w:val="0"/>
                  <w:divBdr>
                    <w:top w:val="none" w:sz="0" w:space="0" w:color="auto"/>
                    <w:left w:val="none" w:sz="0" w:space="0" w:color="auto"/>
                    <w:bottom w:val="none" w:sz="0" w:space="0" w:color="auto"/>
                    <w:right w:val="none" w:sz="0" w:space="0" w:color="auto"/>
                  </w:divBdr>
                </w:div>
              </w:divsChild>
            </w:div>
            <w:div w:id="455829910">
              <w:marLeft w:val="0"/>
              <w:marRight w:val="0"/>
              <w:marTop w:val="0"/>
              <w:marBottom w:val="0"/>
              <w:divBdr>
                <w:top w:val="none" w:sz="0" w:space="0" w:color="auto"/>
                <w:left w:val="none" w:sz="0" w:space="0" w:color="auto"/>
                <w:bottom w:val="none" w:sz="0" w:space="0" w:color="auto"/>
                <w:right w:val="none" w:sz="0" w:space="0" w:color="auto"/>
              </w:divBdr>
              <w:divsChild>
                <w:div w:id="1605501332">
                  <w:marLeft w:val="0"/>
                  <w:marRight w:val="0"/>
                  <w:marTop w:val="0"/>
                  <w:marBottom w:val="0"/>
                  <w:divBdr>
                    <w:top w:val="none" w:sz="0" w:space="0" w:color="auto"/>
                    <w:left w:val="none" w:sz="0" w:space="0" w:color="auto"/>
                    <w:bottom w:val="none" w:sz="0" w:space="0" w:color="auto"/>
                    <w:right w:val="none" w:sz="0" w:space="0" w:color="auto"/>
                  </w:divBdr>
                </w:div>
              </w:divsChild>
            </w:div>
            <w:div w:id="457920924">
              <w:marLeft w:val="0"/>
              <w:marRight w:val="0"/>
              <w:marTop w:val="0"/>
              <w:marBottom w:val="0"/>
              <w:divBdr>
                <w:top w:val="none" w:sz="0" w:space="0" w:color="auto"/>
                <w:left w:val="none" w:sz="0" w:space="0" w:color="auto"/>
                <w:bottom w:val="none" w:sz="0" w:space="0" w:color="auto"/>
                <w:right w:val="none" w:sz="0" w:space="0" w:color="auto"/>
              </w:divBdr>
              <w:divsChild>
                <w:div w:id="2037732345">
                  <w:marLeft w:val="0"/>
                  <w:marRight w:val="0"/>
                  <w:marTop w:val="0"/>
                  <w:marBottom w:val="0"/>
                  <w:divBdr>
                    <w:top w:val="none" w:sz="0" w:space="0" w:color="auto"/>
                    <w:left w:val="none" w:sz="0" w:space="0" w:color="auto"/>
                    <w:bottom w:val="none" w:sz="0" w:space="0" w:color="auto"/>
                    <w:right w:val="none" w:sz="0" w:space="0" w:color="auto"/>
                  </w:divBdr>
                </w:div>
              </w:divsChild>
            </w:div>
            <w:div w:id="460852465">
              <w:marLeft w:val="0"/>
              <w:marRight w:val="0"/>
              <w:marTop w:val="0"/>
              <w:marBottom w:val="0"/>
              <w:divBdr>
                <w:top w:val="none" w:sz="0" w:space="0" w:color="auto"/>
                <w:left w:val="none" w:sz="0" w:space="0" w:color="auto"/>
                <w:bottom w:val="none" w:sz="0" w:space="0" w:color="auto"/>
                <w:right w:val="none" w:sz="0" w:space="0" w:color="auto"/>
              </w:divBdr>
              <w:divsChild>
                <w:div w:id="1417096242">
                  <w:marLeft w:val="0"/>
                  <w:marRight w:val="0"/>
                  <w:marTop w:val="0"/>
                  <w:marBottom w:val="0"/>
                  <w:divBdr>
                    <w:top w:val="none" w:sz="0" w:space="0" w:color="auto"/>
                    <w:left w:val="none" w:sz="0" w:space="0" w:color="auto"/>
                    <w:bottom w:val="none" w:sz="0" w:space="0" w:color="auto"/>
                    <w:right w:val="none" w:sz="0" w:space="0" w:color="auto"/>
                  </w:divBdr>
                </w:div>
              </w:divsChild>
            </w:div>
            <w:div w:id="462307210">
              <w:marLeft w:val="0"/>
              <w:marRight w:val="0"/>
              <w:marTop w:val="0"/>
              <w:marBottom w:val="0"/>
              <w:divBdr>
                <w:top w:val="none" w:sz="0" w:space="0" w:color="auto"/>
                <w:left w:val="none" w:sz="0" w:space="0" w:color="auto"/>
                <w:bottom w:val="none" w:sz="0" w:space="0" w:color="auto"/>
                <w:right w:val="none" w:sz="0" w:space="0" w:color="auto"/>
              </w:divBdr>
              <w:divsChild>
                <w:div w:id="1581019395">
                  <w:marLeft w:val="0"/>
                  <w:marRight w:val="0"/>
                  <w:marTop w:val="0"/>
                  <w:marBottom w:val="0"/>
                  <w:divBdr>
                    <w:top w:val="none" w:sz="0" w:space="0" w:color="auto"/>
                    <w:left w:val="none" w:sz="0" w:space="0" w:color="auto"/>
                    <w:bottom w:val="none" w:sz="0" w:space="0" w:color="auto"/>
                    <w:right w:val="none" w:sz="0" w:space="0" w:color="auto"/>
                  </w:divBdr>
                </w:div>
              </w:divsChild>
            </w:div>
            <w:div w:id="463348606">
              <w:marLeft w:val="0"/>
              <w:marRight w:val="0"/>
              <w:marTop w:val="300"/>
              <w:marBottom w:val="300"/>
              <w:divBdr>
                <w:top w:val="none" w:sz="0" w:space="0" w:color="auto"/>
                <w:left w:val="none" w:sz="0" w:space="0" w:color="auto"/>
                <w:bottom w:val="none" w:sz="0" w:space="0" w:color="auto"/>
                <w:right w:val="none" w:sz="0" w:space="0" w:color="auto"/>
              </w:divBdr>
            </w:div>
            <w:div w:id="463740301">
              <w:marLeft w:val="0"/>
              <w:marRight w:val="0"/>
              <w:marTop w:val="0"/>
              <w:marBottom w:val="0"/>
              <w:divBdr>
                <w:top w:val="none" w:sz="0" w:space="0" w:color="auto"/>
                <w:left w:val="none" w:sz="0" w:space="0" w:color="auto"/>
                <w:bottom w:val="none" w:sz="0" w:space="0" w:color="auto"/>
                <w:right w:val="none" w:sz="0" w:space="0" w:color="auto"/>
              </w:divBdr>
              <w:divsChild>
                <w:div w:id="1792236714">
                  <w:marLeft w:val="0"/>
                  <w:marRight w:val="0"/>
                  <w:marTop w:val="0"/>
                  <w:marBottom w:val="0"/>
                  <w:divBdr>
                    <w:top w:val="none" w:sz="0" w:space="0" w:color="auto"/>
                    <w:left w:val="none" w:sz="0" w:space="0" w:color="auto"/>
                    <w:bottom w:val="none" w:sz="0" w:space="0" w:color="auto"/>
                    <w:right w:val="none" w:sz="0" w:space="0" w:color="auto"/>
                  </w:divBdr>
                </w:div>
              </w:divsChild>
            </w:div>
            <w:div w:id="463961248">
              <w:marLeft w:val="0"/>
              <w:marRight w:val="0"/>
              <w:marTop w:val="0"/>
              <w:marBottom w:val="0"/>
              <w:divBdr>
                <w:top w:val="none" w:sz="0" w:space="0" w:color="auto"/>
                <w:left w:val="none" w:sz="0" w:space="0" w:color="auto"/>
                <w:bottom w:val="none" w:sz="0" w:space="0" w:color="auto"/>
                <w:right w:val="none" w:sz="0" w:space="0" w:color="auto"/>
              </w:divBdr>
              <w:divsChild>
                <w:div w:id="1396276130">
                  <w:marLeft w:val="0"/>
                  <w:marRight w:val="0"/>
                  <w:marTop w:val="0"/>
                  <w:marBottom w:val="0"/>
                  <w:divBdr>
                    <w:top w:val="none" w:sz="0" w:space="0" w:color="auto"/>
                    <w:left w:val="none" w:sz="0" w:space="0" w:color="auto"/>
                    <w:bottom w:val="none" w:sz="0" w:space="0" w:color="auto"/>
                    <w:right w:val="none" w:sz="0" w:space="0" w:color="auto"/>
                  </w:divBdr>
                </w:div>
              </w:divsChild>
            </w:div>
            <w:div w:id="464740270">
              <w:marLeft w:val="0"/>
              <w:marRight w:val="0"/>
              <w:marTop w:val="0"/>
              <w:marBottom w:val="0"/>
              <w:divBdr>
                <w:top w:val="none" w:sz="0" w:space="0" w:color="auto"/>
                <w:left w:val="none" w:sz="0" w:space="0" w:color="auto"/>
                <w:bottom w:val="none" w:sz="0" w:space="0" w:color="auto"/>
                <w:right w:val="none" w:sz="0" w:space="0" w:color="auto"/>
              </w:divBdr>
              <w:divsChild>
                <w:div w:id="932905364">
                  <w:marLeft w:val="0"/>
                  <w:marRight w:val="0"/>
                  <w:marTop w:val="0"/>
                  <w:marBottom w:val="0"/>
                  <w:divBdr>
                    <w:top w:val="none" w:sz="0" w:space="0" w:color="auto"/>
                    <w:left w:val="none" w:sz="0" w:space="0" w:color="auto"/>
                    <w:bottom w:val="none" w:sz="0" w:space="0" w:color="auto"/>
                    <w:right w:val="none" w:sz="0" w:space="0" w:color="auto"/>
                  </w:divBdr>
                </w:div>
              </w:divsChild>
            </w:div>
            <w:div w:id="465634308">
              <w:marLeft w:val="0"/>
              <w:marRight w:val="0"/>
              <w:marTop w:val="300"/>
              <w:marBottom w:val="300"/>
              <w:divBdr>
                <w:top w:val="none" w:sz="0" w:space="0" w:color="auto"/>
                <w:left w:val="none" w:sz="0" w:space="0" w:color="auto"/>
                <w:bottom w:val="none" w:sz="0" w:space="0" w:color="auto"/>
                <w:right w:val="none" w:sz="0" w:space="0" w:color="auto"/>
              </w:divBdr>
            </w:div>
            <w:div w:id="467477754">
              <w:marLeft w:val="0"/>
              <w:marRight w:val="0"/>
              <w:marTop w:val="0"/>
              <w:marBottom w:val="0"/>
              <w:divBdr>
                <w:top w:val="none" w:sz="0" w:space="0" w:color="auto"/>
                <w:left w:val="none" w:sz="0" w:space="0" w:color="auto"/>
                <w:bottom w:val="none" w:sz="0" w:space="0" w:color="auto"/>
                <w:right w:val="none" w:sz="0" w:space="0" w:color="auto"/>
              </w:divBdr>
              <w:divsChild>
                <w:div w:id="803815893">
                  <w:marLeft w:val="0"/>
                  <w:marRight w:val="0"/>
                  <w:marTop w:val="0"/>
                  <w:marBottom w:val="0"/>
                  <w:divBdr>
                    <w:top w:val="none" w:sz="0" w:space="0" w:color="auto"/>
                    <w:left w:val="none" w:sz="0" w:space="0" w:color="auto"/>
                    <w:bottom w:val="none" w:sz="0" w:space="0" w:color="auto"/>
                    <w:right w:val="none" w:sz="0" w:space="0" w:color="auto"/>
                  </w:divBdr>
                </w:div>
              </w:divsChild>
            </w:div>
            <w:div w:id="468086690">
              <w:marLeft w:val="0"/>
              <w:marRight w:val="0"/>
              <w:marTop w:val="0"/>
              <w:marBottom w:val="0"/>
              <w:divBdr>
                <w:top w:val="none" w:sz="0" w:space="0" w:color="auto"/>
                <w:left w:val="none" w:sz="0" w:space="0" w:color="auto"/>
                <w:bottom w:val="none" w:sz="0" w:space="0" w:color="auto"/>
                <w:right w:val="none" w:sz="0" w:space="0" w:color="auto"/>
              </w:divBdr>
              <w:divsChild>
                <w:div w:id="1136872894">
                  <w:marLeft w:val="0"/>
                  <w:marRight w:val="0"/>
                  <w:marTop w:val="0"/>
                  <w:marBottom w:val="0"/>
                  <w:divBdr>
                    <w:top w:val="none" w:sz="0" w:space="0" w:color="auto"/>
                    <w:left w:val="none" w:sz="0" w:space="0" w:color="auto"/>
                    <w:bottom w:val="none" w:sz="0" w:space="0" w:color="auto"/>
                    <w:right w:val="none" w:sz="0" w:space="0" w:color="auto"/>
                  </w:divBdr>
                </w:div>
              </w:divsChild>
            </w:div>
            <w:div w:id="468328252">
              <w:marLeft w:val="0"/>
              <w:marRight w:val="0"/>
              <w:marTop w:val="300"/>
              <w:marBottom w:val="300"/>
              <w:divBdr>
                <w:top w:val="none" w:sz="0" w:space="0" w:color="auto"/>
                <w:left w:val="none" w:sz="0" w:space="0" w:color="auto"/>
                <w:bottom w:val="none" w:sz="0" w:space="0" w:color="auto"/>
                <w:right w:val="none" w:sz="0" w:space="0" w:color="auto"/>
              </w:divBdr>
            </w:div>
            <w:div w:id="468984947">
              <w:marLeft w:val="0"/>
              <w:marRight w:val="0"/>
              <w:marTop w:val="0"/>
              <w:marBottom w:val="0"/>
              <w:divBdr>
                <w:top w:val="none" w:sz="0" w:space="0" w:color="auto"/>
                <w:left w:val="none" w:sz="0" w:space="0" w:color="auto"/>
                <w:bottom w:val="none" w:sz="0" w:space="0" w:color="auto"/>
                <w:right w:val="none" w:sz="0" w:space="0" w:color="auto"/>
              </w:divBdr>
              <w:divsChild>
                <w:div w:id="55667557">
                  <w:marLeft w:val="0"/>
                  <w:marRight w:val="0"/>
                  <w:marTop w:val="0"/>
                  <w:marBottom w:val="0"/>
                  <w:divBdr>
                    <w:top w:val="none" w:sz="0" w:space="0" w:color="auto"/>
                    <w:left w:val="none" w:sz="0" w:space="0" w:color="auto"/>
                    <w:bottom w:val="none" w:sz="0" w:space="0" w:color="auto"/>
                    <w:right w:val="none" w:sz="0" w:space="0" w:color="auto"/>
                  </w:divBdr>
                </w:div>
              </w:divsChild>
            </w:div>
            <w:div w:id="469398424">
              <w:marLeft w:val="0"/>
              <w:marRight w:val="0"/>
              <w:marTop w:val="0"/>
              <w:marBottom w:val="0"/>
              <w:divBdr>
                <w:top w:val="none" w:sz="0" w:space="0" w:color="auto"/>
                <w:left w:val="none" w:sz="0" w:space="0" w:color="auto"/>
                <w:bottom w:val="none" w:sz="0" w:space="0" w:color="auto"/>
                <w:right w:val="none" w:sz="0" w:space="0" w:color="auto"/>
              </w:divBdr>
              <w:divsChild>
                <w:div w:id="1609577089">
                  <w:marLeft w:val="0"/>
                  <w:marRight w:val="0"/>
                  <w:marTop w:val="0"/>
                  <w:marBottom w:val="0"/>
                  <w:divBdr>
                    <w:top w:val="none" w:sz="0" w:space="0" w:color="auto"/>
                    <w:left w:val="none" w:sz="0" w:space="0" w:color="auto"/>
                    <w:bottom w:val="none" w:sz="0" w:space="0" w:color="auto"/>
                    <w:right w:val="none" w:sz="0" w:space="0" w:color="auto"/>
                  </w:divBdr>
                </w:div>
              </w:divsChild>
            </w:div>
            <w:div w:id="469635022">
              <w:marLeft w:val="0"/>
              <w:marRight w:val="0"/>
              <w:marTop w:val="0"/>
              <w:marBottom w:val="0"/>
              <w:divBdr>
                <w:top w:val="none" w:sz="0" w:space="0" w:color="auto"/>
                <w:left w:val="none" w:sz="0" w:space="0" w:color="auto"/>
                <w:bottom w:val="none" w:sz="0" w:space="0" w:color="auto"/>
                <w:right w:val="none" w:sz="0" w:space="0" w:color="auto"/>
              </w:divBdr>
              <w:divsChild>
                <w:div w:id="561210666">
                  <w:marLeft w:val="0"/>
                  <w:marRight w:val="0"/>
                  <w:marTop w:val="0"/>
                  <w:marBottom w:val="0"/>
                  <w:divBdr>
                    <w:top w:val="none" w:sz="0" w:space="0" w:color="auto"/>
                    <w:left w:val="none" w:sz="0" w:space="0" w:color="auto"/>
                    <w:bottom w:val="none" w:sz="0" w:space="0" w:color="auto"/>
                    <w:right w:val="none" w:sz="0" w:space="0" w:color="auto"/>
                  </w:divBdr>
                </w:div>
              </w:divsChild>
            </w:div>
            <w:div w:id="470097331">
              <w:marLeft w:val="0"/>
              <w:marRight w:val="0"/>
              <w:marTop w:val="0"/>
              <w:marBottom w:val="0"/>
              <w:divBdr>
                <w:top w:val="none" w:sz="0" w:space="0" w:color="auto"/>
                <w:left w:val="none" w:sz="0" w:space="0" w:color="auto"/>
                <w:bottom w:val="none" w:sz="0" w:space="0" w:color="auto"/>
                <w:right w:val="none" w:sz="0" w:space="0" w:color="auto"/>
              </w:divBdr>
              <w:divsChild>
                <w:div w:id="56127994">
                  <w:marLeft w:val="0"/>
                  <w:marRight w:val="0"/>
                  <w:marTop w:val="0"/>
                  <w:marBottom w:val="0"/>
                  <w:divBdr>
                    <w:top w:val="none" w:sz="0" w:space="0" w:color="auto"/>
                    <w:left w:val="none" w:sz="0" w:space="0" w:color="auto"/>
                    <w:bottom w:val="none" w:sz="0" w:space="0" w:color="auto"/>
                    <w:right w:val="none" w:sz="0" w:space="0" w:color="auto"/>
                  </w:divBdr>
                </w:div>
              </w:divsChild>
            </w:div>
            <w:div w:id="471214911">
              <w:marLeft w:val="0"/>
              <w:marRight w:val="0"/>
              <w:marTop w:val="0"/>
              <w:marBottom w:val="0"/>
              <w:divBdr>
                <w:top w:val="none" w:sz="0" w:space="0" w:color="auto"/>
                <w:left w:val="none" w:sz="0" w:space="0" w:color="auto"/>
                <w:bottom w:val="none" w:sz="0" w:space="0" w:color="auto"/>
                <w:right w:val="none" w:sz="0" w:space="0" w:color="auto"/>
              </w:divBdr>
              <w:divsChild>
                <w:div w:id="817960765">
                  <w:marLeft w:val="0"/>
                  <w:marRight w:val="0"/>
                  <w:marTop w:val="0"/>
                  <w:marBottom w:val="0"/>
                  <w:divBdr>
                    <w:top w:val="none" w:sz="0" w:space="0" w:color="auto"/>
                    <w:left w:val="none" w:sz="0" w:space="0" w:color="auto"/>
                    <w:bottom w:val="none" w:sz="0" w:space="0" w:color="auto"/>
                    <w:right w:val="none" w:sz="0" w:space="0" w:color="auto"/>
                  </w:divBdr>
                </w:div>
              </w:divsChild>
            </w:div>
            <w:div w:id="471873802">
              <w:marLeft w:val="0"/>
              <w:marRight w:val="0"/>
              <w:marTop w:val="0"/>
              <w:marBottom w:val="0"/>
              <w:divBdr>
                <w:top w:val="none" w:sz="0" w:space="0" w:color="auto"/>
                <w:left w:val="none" w:sz="0" w:space="0" w:color="auto"/>
                <w:bottom w:val="none" w:sz="0" w:space="0" w:color="auto"/>
                <w:right w:val="none" w:sz="0" w:space="0" w:color="auto"/>
              </w:divBdr>
              <w:divsChild>
                <w:div w:id="539902207">
                  <w:marLeft w:val="0"/>
                  <w:marRight w:val="0"/>
                  <w:marTop w:val="0"/>
                  <w:marBottom w:val="0"/>
                  <w:divBdr>
                    <w:top w:val="none" w:sz="0" w:space="0" w:color="auto"/>
                    <w:left w:val="none" w:sz="0" w:space="0" w:color="auto"/>
                    <w:bottom w:val="none" w:sz="0" w:space="0" w:color="auto"/>
                    <w:right w:val="none" w:sz="0" w:space="0" w:color="auto"/>
                  </w:divBdr>
                </w:div>
              </w:divsChild>
            </w:div>
            <w:div w:id="472605186">
              <w:marLeft w:val="0"/>
              <w:marRight w:val="0"/>
              <w:marTop w:val="0"/>
              <w:marBottom w:val="0"/>
              <w:divBdr>
                <w:top w:val="none" w:sz="0" w:space="0" w:color="auto"/>
                <w:left w:val="none" w:sz="0" w:space="0" w:color="auto"/>
                <w:bottom w:val="none" w:sz="0" w:space="0" w:color="auto"/>
                <w:right w:val="none" w:sz="0" w:space="0" w:color="auto"/>
              </w:divBdr>
              <w:divsChild>
                <w:div w:id="371461161">
                  <w:marLeft w:val="0"/>
                  <w:marRight w:val="0"/>
                  <w:marTop w:val="0"/>
                  <w:marBottom w:val="0"/>
                  <w:divBdr>
                    <w:top w:val="none" w:sz="0" w:space="0" w:color="auto"/>
                    <w:left w:val="none" w:sz="0" w:space="0" w:color="auto"/>
                    <w:bottom w:val="none" w:sz="0" w:space="0" w:color="auto"/>
                    <w:right w:val="none" w:sz="0" w:space="0" w:color="auto"/>
                  </w:divBdr>
                </w:div>
              </w:divsChild>
            </w:div>
            <w:div w:id="473765759">
              <w:marLeft w:val="0"/>
              <w:marRight w:val="0"/>
              <w:marTop w:val="300"/>
              <w:marBottom w:val="300"/>
              <w:divBdr>
                <w:top w:val="none" w:sz="0" w:space="0" w:color="auto"/>
                <w:left w:val="none" w:sz="0" w:space="0" w:color="auto"/>
                <w:bottom w:val="none" w:sz="0" w:space="0" w:color="auto"/>
                <w:right w:val="none" w:sz="0" w:space="0" w:color="auto"/>
              </w:divBdr>
            </w:div>
            <w:div w:id="474371744">
              <w:marLeft w:val="0"/>
              <w:marRight w:val="0"/>
              <w:marTop w:val="0"/>
              <w:marBottom w:val="0"/>
              <w:divBdr>
                <w:top w:val="none" w:sz="0" w:space="0" w:color="auto"/>
                <w:left w:val="none" w:sz="0" w:space="0" w:color="auto"/>
                <w:bottom w:val="none" w:sz="0" w:space="0" w:color="auto"/>
                <w:right w:val="none" w:sz="0" w:space="0" w:color="auto"/>
              </w:divBdr>
              <w:divsChild>
                <w:div w:id="1719085270">
                  <w:marLeft w:val="0"/>
                  <w:marRight w:val="0"/>
                  <w:marTop w:val="0"/>
                  <w:marBottom w:val="0"/>
                  <w:divBdr>
                    <w:top w:val="none" w:sz="0" w:space="0" w:color="auto"/>
                    <w:left w:val="none" w:sz="0" w:space="0" w:color="auto"/>
                    <w:bottom w:val="none" w:sz="0" w:space="0" w:color="auto"/>
                    <w:right w:val="none" w:sz="0" w:space="0" w:color="auto"/>
                  </w:divBdr>
                </w:div>
              </w:divsChild>
            </w:div>
            <w:div w:id="474377787">
              <w:marLeft w:val="0"/>
              <w:marRight w:val="0"/>
              <w:marTop w:val="0"/>
              <w:marBottom w:val="0"/>
              <w:divBdr>
                <w:top w:val="none" w:sz="0" w:space="0" w:color="auto"/>
                <w:left w:val="none" w:sz="0" w:space="0" w:color="auto"/>
                <w:bottom w:val="none" w:sz="0" w:space="0" w:color="auto"/>
                <w:right w:val="none" w:sz="0" w:space="0" w:color="auto"/>
              </w:divBdr>
              <w:divsChild>
                <w:div w:id="557863245">
                  <w:marLeft w:val="0"/>
                  <w:marRight w:val="0"/>
                  <w:marTop w:val="0"/>
                  <w:marBottom w:val="0"/>
                  <w:divBdr>
                    <w:top w:val="none" w:sz="0" w:space="0" w:color="auto"/>
                    <w:left w:val="none" w:sz="0" w:space="0" w:color="auto"/>
                    <w:bottom w:val="none" w:sz="0" w:space="0" w:color="auto"/>
                    <w:right w:val="none" w:sz="0" w:space="0" w:color="auto"/>
                  </w:divBdr>
                </w:div>
              </w:divsChild>
            </w:div>
            <w:div w:id="475488565">
              <w:marLeft w:val="0"/>
              <w:marRight w:val="0"/>
              <w:marTop w:val="0"/>
              <w:marBottom w:val="0"/>
              <w:divBdr>
                <w:top w:val="none" w:sz="0" w:space="0" w:color="auto"/>
                <w:left w:val="none" w:sz="0" w:space="0" w:color="auto"/>
                <w:bottom w:val="none" w:sz="0" w:space="0" w:color="auto"/>
                <w:right w:val="none" w:sz="0" w:space="0" w:color="auto"/>
              </w:divBdr>
              <w:divsChild>
                <w:div w:id="2085251257">
                  <w:marLeft w:val="0"/>
                  <w:marRight w:val="0"/>
                  <w:marTop w:val="0"/>
                  <w:marBottom w:val="0"/>
                  <w:divBdr>
                    <w:top w:val="none" w:sz="0" w:space="0" w:color="auto"/>
                    <w:left w:val="none" w:sz="0" w:space="0" w:color="auto"/>
                    <w:bottom w:val="none" w:sz="0" w:space="0" w:color="auto"/>
                    <w:right w:val="none" w:sz="0" w:space="0" w:color="auto"/>
                  </w:divBdr>
                </w:div>
              </w:divsChild>
            </w:div>
            <w:div w:id="476997095">
              <w:marLeft w:val="0"/>
              <w:marRight w:val="0"/>
              <w:marTop w:val="0"/>
              <w:marBottom w:val="0"/>
              <w:divBdr>
                <w:top w:val="none" w:sz="0" w:space="0" w:color="auto"/>
                <w:left w:val="none" w:sz="0" w:space="0" w:color="auto"/>
                <w:bottom w:val="none" w:sz="0" w:space="0" w:color="auto"/>
                <w:right w:val="none" w:sz="0" w:space="0" w:color="auto"/>
              </w:divBdr>
              <w:divsChild>
                <w:div w:id="1244801294">
                  <w:marLeft w:val="0"/>
                  <w:marRight w:val="0"/>
                  <w:marTop w:val="0"/>
                  <w:marBottom w:val="0"/>
                  <w:divBdr>
                    <w:top w:val="none" w:sz="0" w:space="0" w:color="auto"/>
                    <w:left w:val="none" w:sz="0" w:space="0" w:color="auto"/>
                    <w:bottom w:val="none" w:sz="0" w:space="0" w:color="auto"/>
                    <w:right w:val="none" w:sz="0" w:space="0" w:color="auto"/>
                  </w:divBdr>
                </w:div>
              </w:divsChild>
            </w:div>
            <w:div w:id="478496034">
              <w:marLeft w:val="0"/>
              <w:marRight w:val="0"/>
              <w:marTop w:val="0"/>
              <w:marBottom w:val="0"/>
              <w:divBdr>
                <w:top w:val="none" w:sz="0" w:space="0" w:color="auto"/>
                <w:left w:val="none" w:sz="0" w:space="0" w:color="auto"/>
                <w:bottom w:val="none" w:sz="0" w:space="0" w:color="auto"/>
                <w:right w:val="none" w:sz="0" w:space="0" w:color="auto"/>
              </w:divBdr>
              <w:divsChild>
                <w:div w:id="1611619839">
                  <w:marLeft w:val="0"/>
                  <w:marRight w:val="0"/>
                  <w:marTop w:val="0"/>
                  <w:marBottom w:val="0"/>
                  <w:divBdr>
                    <w:top w:val="none" w:sz="0" w:space="0" w:color="auto"/>
                    <w:left w:val="none" w:sz="0" w:space="0" w:color="auto"/>
                    <w:bottom w:val="none" w:sz="0" w:space="0" w:color="auto"/>
                    <w:right w:val="none" w:sz="0" w:space="0" w:color="auto"/>
                  </w:divBdr>
                </w:div>
              </w:divsChild>
            </w:div>
            <w:div w:id="480317330">
              <w:marLeft w:val="0"/>
              <w:marRight w:val="0"/>
              <w:marTop w:val="0"/>
              <w:marBottom w:val="0"/>
              <w:divBdr>
                <w:top w:val="none" w:sz="0" w:space="0" w:color="auto"/>
                <w:left w:val="none" w:sz="0" w:space="0" w:color="auto"/>
                <w:bottom w:val="none" w:sz="0" w:space="0" w:color="auto"/>
                <w:right w:val="none" w:sz="0" w:space="0" w:color="auto"/>
              </w:divBdr>
              <w:divsChild>
                <w:div w:id="223878036">
                  <w:marLeft w:val="0"/>
                  <w:marRight w:val="0"/>
                  <w:marTop w:val="0"/>
                  <w:marBottom w:val="0"/>
                  <w:divBdr>
                    <w:top w:val="none" w:sz="0" w:space="0" w:color="auto"/>
                    <w:left w:val="none" w:sz="0" w:space="0" w:color="auto"/>
                    <w:bottom w:val="none" w:sz="0" w:space="0" w:color="auto"/>
                    <w:right w:val="none" w:sz="0" w:space="0" w:color="auto"/>
                  </w:divBdr>
                </w:div>
              </w:divsChild>
            </w:div>
            <w:div w:id="480580976">
              <w:marLeft w:val="0"/>
              <w:marRight w:val="0"/>
              <w:marTop w:val="300"/>
              <w:marBottom w:val="300"/>
              <w:divBdr>
                <w:top w:val="none" w:sz="0" w:space="0" w:color="auto"/>
                <w:left w:val="none" w:sz="0" w:space="0" w:color="auto"/>
                <w:bottom w:val="none" w:sz="0" w:space="0" w:color="auto"/>
                <w:right w:val="none" w:sz="0" w:space="0" w:color="auto"/>
              </w:divBdr>
            </w:div>
            <w:div w:id="481698867">
              <w:marLeft w:val="0"/>
              <w:marRight w:val="0"/>
              <w:marTop w:val="0"/>
              <w:marBottom w:val="0"/>
              <w:divBdr>
                <w:top w:val="none" w:sz="0" w:space="0" w:color="auto"/>
                <w:left w:val="none" w:sz="0" w:space="0" w:color="auto"/>
                <w:bottom w:val="none" w:sz="0" w:space="0" w:color="auto"/>
                <w:right w:val="none" w:sz="0" w:space="0" w:color="auto"/>
              </w:divBdr>
              <w:divsChild>
                <w:div w:id="92017249">
                  <w:marLeft w:val="0"/>
                  <w:marRight w:val="0"/>
                  <w:marTop w:val="0"/>
                  <w:marBottom w:val="0"/>
                  <w:divBdr>
                    <w:top w:val="none" w:sz="0" w:space="0" w:color="auto"/>
                    <w:left w:val="none" w:sz="0" w:space="0" w:color="auto"/>
                    <w:bottom w:val="none" w:sz="0" w:space="0" w:color="auto"/>
                    <w:right w:val="none" w:sz="0" w:space="0" w:color="auto"/>
                  </w:divBdr>
                </w:div>
              </w:divsChild>
            </w:div>
            <w:div w:id="483159536">
              <w:marLeft w:val="0"/>
              <w:marRight w:val="0"/>
              <w:marTop w:val="0"/>
              <w:marBottom w:val="0"/>
              <w:divBdr>
                <w:top w:val="none" w:sz="0" w:space="0" w:color="auto"/>
                <w:left w:val="none" w:sz="0" w:space="0" w:color="auto"/>
                <w:bottom w:val="none" w:sz="0" w:space="0" w:color="auto"/>
                <w:right w:val="none" w:sz="0" w:space="0" w:color="auto"/>
              </w:divBdr>
              <w:divsChild>
                <w:div w:id="199318185">
                  <w:marLeft w:val="0"/>
                  <w:marRight w:val="0"/>
                  <w:marTop w:val="0"/>
                  <w:marBottom w:val="0"/>
                  <w:divBdr>
                    <w:top w:val="none" w:sz="0" w:space="0" w:color="auto"/>
                    <w:left w:val="none" w:sz="0" w:space="0" w:color="auto"/>
                    <w:bottom w:val="none" w:sz="0" w:space="0" w:color="auto"/>
                    <w:right w:val="none" w:sz="0" w:space="0" w:color="auto"/>
                  </w:divBdr>
                </w:div>
              </w:divsChild>
            </w:div>
            <w:div w:id="483742132">
              <w:marLeft w:val="0"/>
              <w:marRight w:val="0"/>
              <w:marTop w:val="0"/>
              <w:marBottom w:val="0"/>
              <w:divBdr>
                <w:top w:val="none" w:sz="0" w:space="0" w:color="auto"/>
                <w:left w:val="none" w:sz="0" w:space="0" w:color="auto"/>
                <w:bottom w:val="none" w:sz="0" w:space="0" w:color="auto"/>
                <w:right w:val="none" w:sz="0" w:space="0" w:color="auto"/>
              </w:divBdr>
              <w:divsChild>
                <w:div w:id="871113317">
                  <w:marLeft w:val="0"/>
                  <w:marRight w:val="0"/>
                  <w:marTop w:val="0"/>
                  <w:marBottom w:val="0"/>
                  <w:divBdr>
                    <w:top w:val="none" w:sz="0" w:space="0" w:color="auto"/>
                    <w:left w:val="none" w:sz="0" w:space="0" w:color="auto"/>
                    <w:bottom w:val="none" w:sz="0" w:space="0" w:color="auto"/>
                    <w:right w:val="none" w:sz="0" w:space="0" w:color="auto"/>
                  </w:divBdr>
                </w:div>
              </w:divsChild>
            </w:div>
            <w:div w:id="484662416">
              <w:marLeft w:val="0"/>
              <w:marRight w:val="0"/>
              <w:marTop w:val="0"/>
              <w:marBottom w:val="0"/>
              <w:divBdr>
                <w:top w:val="none" w:sz="0" w:space="0" w:color="auto"/>
                <w:left w:val="none" w:sz="0" w:space="0" w:color="auto"/>
                <w:bottom w:val="none" w:sz="0" w:space="0" w:color="auto"/>
                <w:right w:val="none" w:sz="0" w:space="0" w:color="auto"/>
              </w:divBdr>
              <w:divsChild>
                <w:div w:id="578447561">
                  <w:marLeft w:val="0"/>
                  <w:marRight w:val="0"/>
                  <w:marTop w:val="0"/>
                  <w:marBottom w:val="0"/>
                  <w:divBdr>
                    <w:top w:val="none" w:sz="0" w:space="0" w:color="auto"/>
                    <w:left w:val="none" w:sz="0" w:space="0" w:color="auto"/>
                    <w:bottom w:val="none" w:sz="0" w:space="0" w:color="auto"/>
                    <w:right w:val="none" w:sz="0" w:space="0" w:color="auto"/>
                  </w:divBdr>
                </w:div>
              </w:divsChild>
            </w:div>
            <w:div w:id="485556829">
              <w:marLeft w:val="0"/>
              <w:marRight w:val="0"/>
              <w:marTop w:val="0"/>
              <w:marBottom w:val="0"/>
              <w:divBdr>
                <w:top w:val="none" w:sz="0" w:space="0" w:color="auto"/>
                <w:left w:val="none" w:sz="0" w:space="0" w:color="auto"/>
                <w:bottom w:val="none" w:sz="0" w:space="0" w:color="auto"/>
                <w:right w:val="none" w:sz="0" w:space="0" w:color="auto"/>
              </w:divBdr>
              <w:divsChild>
                <w:div w:id="1998221144">
                  <w:marLeft w:val="0"/>
                  <w:marRight w:val="0"/>
                  <w:marTop w:val="0"/>
                  <w:marBottom w:val="0"/>
                  <w:divBdr>
                    <w:top w:val="none" w:sz="0" w:space="0" w:color="auto"/>
                    <w:left w:val="none" w:sz="0" w:space="0" w:color="auto"/>
                    <w:bottom w:val="none" w:sz="0" w:space="0" w:color="auto"/>
                    <w:right w:val="none" w:sz="0" w:space="0" w:color="auto"/>
                  </w:divBdr>
                </w:div>
              </w:divsChild>
            </w:div>
            <w:div w:id="489368591">
              <w:marLeft w:val="0"/>
              <w:marRight w:val="0"/>
              <w:marTop w:val="300"/>
              <w:marBottom w:val="300"/>
              <w:divBdr>
                <w:top w:val="none" w:sz="0" w:space="0" w:color="auto"/>
                <w:left w:val="none" w:sz="0" w:space="0" w:color="auto"/>
                <w:bottom w:val="none" w:sz="0" w:space="0" w:color="auto"/>
                <w:right w:val="none" w:sz="0" w:space="0" w:color="auto"/>
              </w:divBdr>
            </w:div>
            <w:div w:id="492837206">
              <w:marLeft w:val="0"/>
              <w:marRight w:val="0"/>
              <w:marTop w:val="0"/>
              <w:marBottom w:val="0"/>
              <w:divBdr>
                <w:top w:val="none" w:sz="0" w:space="0" w:color="auto"/>
                <w:left w:val="none" w:sz="0" w:space="0" w:color="auto"/>
                <w:bottom w:val="none" w:sz="0" w:space="0" w:color="auto"/>
                <w:right w:val="none" w:sz="0" w:space="0" w:color="auto"/>
              </w:divBdr>
              <w:divsChild>
                <w:div w:id="1447238942">
                  <w:marLeft w:val="0"/>
                  <w:marRight w:val="0"/>
                  <w:marTop w:val="0"/>
                  <w:marBottom w:val="0"/>
                  <w:divBdr>
                    <w:top w:val="none" w:sz="0" w:space="0" w:color="auto"/>
                    <w:left w:val="none" w:sz="0" w:space="0" w:color="auto"/>
                    <w:bottom w:val="none" w:sz="0" w:space="0" w:color="auto"/>
                    <w:right w:val="none" w:sz="0" w:space="0" w:color="auto"/>
                  </w:divBdr>
                </w:div>
              </w:divsChild>
            </w:div>
            <w:div w:id="493109650">
              <w:marLeft w:val="0"/>
              <w:marRight w:val="0"/>
              <w:marTop w:val="0"/>
              <w:marBottom w:val="0"/>
              <w:divBdr>
                <w:top w:val="none" w:sz="0" w:space="0" w:color="auto"/>
                <w:left w:val="none" w:sz="0" w:space="0" w:color="auto"/>
                <w:bottom w:val="none" w:sz="0" w:space="0" w:color="auto"/>
                <w:right w:val="none" w:sz="0" w:space="0" w:color="auto"/>
              </w:divBdr>
              <w:divsChild>
                <w:div w:id="845873203">
                  <w:marLeft w:val="0"/>
                  <w:marRight w:val="0"/>
                  <w:marTop w:val="0"/>
                  <w:marBottom w:val="0"/>
                  <w:divBdr>
                    <w:top w:val="none" w:sz="0" w:space="0" w:color="auto"/>
                    <w:left w:val="none" w:sz="0" w:space="0" w:color="auto"/>
                    <w:bottom w:val="none" w:sz="0" w:space="0" w:color="auto"/>
                    <w:right w:val="none" w:sz="0" w:space="0" w:color="auto"/>
                  </w:divBdr>
                </w:div>
              </w:divsChild>
            </w:div>
            <w:div w:id="493758851">
              <w:marLeft w:val="0"/>
              <w:marRight w:val="0"/>
              <w:marTop w:val="0"/>
              <w:marBottom w:val="0"/>
              <w:divBdr>
                <w:top w:val="none" w:sz="0" w:space="0" w:color="auto"/>
                <w:left w:val="none" w:sz="0" w:space="0" w:color="auto"/>
                <w:bottom w:val="none" w:sz="0" w:space="0" w:color="auto"/>
                <w:right w:val="none" w:sz="0" w:space="0" w:color="auto"/>
              </w:divBdr>
              <w:divsChild>
                <w:div w:id="2056738663">
                  <w:marLeft w:val="0"/>
                  <w:marRight w:val="0"/>
                  <w:marTop w:val="0"/>
                  <w:marBottom w:val="0"/>
                  <w:divBdr>
                    <w:top w:val="none" w:sz="0" w:space="0" w:color="auto"/>
                    <w:left w:val="none" w:sz="0" w:space="0" w:color="auto"/>
                    <w:bottom w:val="none" w:sz="0" w:space="0" w:color="auto"/>
                    <w:right w:val="none" w:sz="0" w:space="0" w:color="auto"/>
                  </w:divBdr>
                </w:div>
              </w:divsChild>
            </w:div>
            <w:div w:id="494078147">
              <w:marLeft w:val="0"/>
              <w:marRight w:val="0"/>
              <w:marTop w:val="300"/>
              <w:marBottom w:val="300"/>
              <w:divBdr>
                <w:top w:val="none" w:sz="0" w:space="0" w:color="auto"/>
                <w:left w:val="none" w:sz="0" w:space="0" w:color="auto"/>
                <w:bottom w:val="none" w:sz="0" w:space="0" w:color="auto"/>
                <w:right w:val="none" w:sz="0" w:space="0" w:color="auto"/>
              </w:divBdr>
            </w:div>
            <w:div w:id="495462333">
              <w:marLeft w:val="0"/>
              <w:marRight w:val="0"/>
              <w:marTop w:val="0"/>
              <w:marBottom w:val="0"/>
              <w:divBdr>
                <w:top w:val="none" w:sz="0" w:space="0" w:color="auto"/>
                <w:left w:val="none" w:sz="0" w:space="0" w:color="auto"/>
                <w:bottom w:val="none" w:sz="0" w:space="0" w:color="auto"/>
                <w:right w:val="none" w:sz="0" w:space="0" w:color="auto"/>
              </w:divBdr>
              <w:divsChild>
                <w:div w:id="846751532">
                  <w:marLeft w:val="0"/>
                  <w:marRight w:val="0"/>
                  <w:marTop w:val="0"/>
                  <w:marBottom w:val="0"/>
                  <w:divBdr>
                    <w:top w:val="none" w:sz="0" w:space="0" w:color="auto"/>
                    <w:left w:val="none" w:sz="0" w:space="0" w:color="auto"/>
                    <w:bottom w:val="none" w:sz="0" w:space="0" w:color="auto"/>
                    <w:right w:val="none" w:sz="0" w:space="0" w:color="auto"/>
                  </w:divBdr>
                </w:div>
              </w:divsChild>
            </w:div>
            <w:div w:id="495846598">
              <w:marLeft w:val="0"/>
              <w:marRight w:val="0"/>
              <w:marTop w:val="300"/>
              <w:marBottom w:val="300"/>
              <w:divBdr>
                <w:top w:val="none" w:sz="0" w:space="0" w:color="auto"/>
                <w:left w:val="none" w:sz="0" w:space="0" w:color="auto"/>
                <w:bottom w:val="none" w:sz="0" w:space="0" w:color="auto"/>
                <w:right w:val="none" w:sz="0" w:space="0" w:color="auto"/>
              </w:divBdr>
            </w:div>
            <w:div w:id="496111522">
              <w:marLeft w:val="0"/>
              <w:marRight w:val="0"/>
              <w:marTop w:val="0"/>
              <w:marBottom w:val="0"/>
              <w:divBdr>
                <w:top w:val="none" w:sz="0" w:space="0" w:color="auto"/>
                <w:left w:val="none" w:sz="0" w:space="0" w:color="auto"/>
                <w:bottom w:val="none" w:sz="0" w:space="0" w:color="auto"/>
                <w:right w:val="none" w:sz="0" w:space="0" w:color="auto"/>
              </w:divBdr>
              <w:divsChild>
                <w:div w:id="848064664">
                  <w:marLeft w:val="0"/>
                  <w:marRight w:val="0"/>
                  <w:marTop w:val="0"/>
                  <w:marBottom w:val="0"/>
                  <w:divBdr>
                    <w:top w:val="none" w:sz="0" w:space="0" w:color="auto"/>
                    <w:left w:val="none" w:sz="0" w:space="0" w:color="auto"/>
                    <w:bottom w:val="none" w:sz="0" w:space="0" w:color="auto"/>
                    <w:right w:val="none" w:sz="0" w:space="0" w:color="auto"/>
                  </w:divBdr>
                </w:div>
              </w:divsChild>
            </w:div>
            <w:div w:id="497431041">
              <w:marLeft w:val="0"/>
              <w:marRight w:val="0"/>
              <w:marTop w:val="0"/>
              <w:marBottom w:val="0"/>
              <w:divBdr>
                <w:top w:val="none" w:sz="0" w:space="0" w:color="auto"/>
                <w:left w:val="none" w:sz="0" w:space="0" w:color="auto"/>
                <w:bottom w:val="none" w:sz="0" w:space="0" w:color="auto"/>
                <w:right w:val="none" w:sz="0" w:space="0" w:color="auto"/>
              </w:divBdr>
              <w:divsChild>
                <w:div w:id="1466238293">
                  <w:marLeft w:val="0"/>
                  <w:marRight w:val="0"/>
                  <w:marTop w:val="0"/>
                  <w:marBottom w:val="0"/>
                  <w:divBdr>
                    <w:top w:val="none" w:sz="0" w:space="0" w:color="auto"/>
                    <w:left w:val="none" w:sz="0" w:space="0" w:color="auto"/>
                    <w:bottom w:val="none" w:sz="0" w:space="0" w:color="auto"/>
                    <w:right w:val="none" w:sz="0" w:space="0" w:color="auto"/>
                  </w:divBdr>
                </w:div>
              </w:divsChild>
            </w:div>
            <w:div w:id="497815226">
              <w:marLeft w:val="0"/>
              <w:marRight w:val="0"/>
              <w:marTop w:val="300"/>
              <w:marBottom w:val="300"/>
              <w:divBdr>
                <w:top w:val="none" w:sz="0" w:space="0" w:color="auto"/>
                <w:left w:val="none" w:sz="0" w:space="0" w:color="auto"/>
                <w:bottom w:val="none" w:sz="0" w:space="0" w:color="auto"/>
                <w:right w:val="none" w:sz="0" w:space="0" w:color="auto"/>
              </w:divBdr>
            </w:div>
            <w:div w:id="502745041">
              <w:marLeft w:val="0"/>
              <w:marRight w:val="0"/>
              <w:marTop w:val="0"/>
              <w:marBottom w:val="0"/>
              <w:divBdr>
                <w:top w:val="none" w:sz="0" w:space="0" w:color="auto"/>
                <w:left w:val="none" w:sz="0" w:space="0" w:color="auto"/>
                <w:bottom w:val="none" w:sz="0" w:space="0" w:color="auto"/>
                <w:right w:val="none" w:sz="0" w:space="0" w:color="auto"/>
              </w:divBdr>
              <w:divsChild>
                <w:div w:id="340352995">
                  <w:marLeft w:val="0"/>
                  <w:marRight w:val="0"/>
                  <w:marTop w:val="0"/>
                  <w:marBottom w:val="0"/>
                  <w:divBdr>
                    <w:top w:val="none" w:sz="0" w:space="0" w:color="auto"/>
                    <w:left w:val="none" w:sz="0" w:space="0" w:color="auto"/>
                    <w:bottom w:val="none" w:sz="0" w:space="0" w:color="auto"/>
                    <w:right w:val="none" w:sz="0" w:space="0" w:color="auto"/>
                  </w:divBdr>
                </w:div>
              </w:divsChild>
            </w:div>
            <w:div w:id="503209444">
              <w:marLeft w:val="0"/>
              <w:marRight w:val="0"/>
              <w:marTop w:val="0"/>
              <w:marBottom w:val="0"/>
              <w:divBdr>
                <w:top w:val="none" w:sz="0" w:space="0" w:color="auto"/>
                <w:left w:val="none" w:sz="0" w:space="0" w:color="auto"/>
                <w:bottom w:val="none" w:sz="0" w:space="0" w:color="auto"/>
                <w:right w:val="none" w:sz="0" w:space="0" w:color="auto"/>
              </w:divBdr>
              <w:divsChild>
                <w:div w:id="1368026227">
                  <w:marLeft w:val="0"/>
                  <w:marRight w:val="0"/>
                  <w:marTop w:val="0"/>
                  <w:marBottom w:val="0"/>
                  <w:divBdr>
                    <w:top w:val="none" w:sz="0" w:space="0" w:color="auto"/>
                    <w:left w:val="none" w:sz="0" w:space="0" w:color="auto"/>
                    <w:bottom w:val="none" w:sz="0" w:space="0" w:color="auto"/>
                    <w:right w:val="none" w:sz="0" w:space="0" w:color="auto"/>
                  </w:divBdr>
                </w:div>
              </w:divsChild>
            </w:div>
            <w:div w:id="503664861">
              <w:marLeft w:val="0"/>
              <w:marRight w:val="0"/>
              <w:marTop w:val="0"/>
              <w:marBottom w:val="0"/>
              <w:divBdr>
                <w:top w:val="none" w:sz="0" w:space="0" w:color="auto"/>
                <w:left w:val="none" w:sz="0" w:space="0" w:color="auto"/>
                <w:bottom w:val="none" w:sz="0" w:space="0" w:color="auto"/>
                <w:right w:val="none" w:sz="0" w:space="0" w:color="auto"/>
              </w:divBdr>
              <w:divsChild>
                <w:div w:id="2004818666">
                  <w:marLeft w:val="0"/>
                  <w:marRight w:val="0"/>
                  <w:marTop w:val="0"/>
                  <w:marBottom w:val="0"/>
                  <w:divBdr>
                    <w:top w:val="none" w:sz="0" w:space="0" w:color="auto"/>
                    <w:left w:val="none" w:sz="0" w:space="0" w:color="auto"/>
                    <w:bottom w:val="none" w:sz="0" w:space="0" w:color="auto"/>
                    <w:right w:val="none" w:sz="0" w:space="0" w:color="auto"/>
                  </w:divBdr>
                </w:div>
              </w:divsChild>
            </w:div>
            <w:div w:id="504173643">
              <w:marLeft w:val="0"/>
              <w:marRight w:val="0"/>
              <w:marTop w:val="0"/>
              <w:marBottom w:val="0"/>
              <w:divBdr>
                <w:top w:val="none" w:sz="0" w:space="0" w:color="auto"/>
                <w:left w:val="none" w:sz="0" w:space="0" w:color="auto"/>
                <w:bottom w:val="none" w:sz="0" w:space="0" w:color="auto"/>
                <w:right w:val="none" w:sz="0" w:space="0" w:color="auto"/>
              </w:divBdr>
              <w:divsChild>
                <w:div w:id="564992673">
                  <w:marLeft w:val="0"/>
                  <w:marRight w:val="0"/>
                  <w:marTop w:val="0"/>
                  <w:marBottom w:val="0"/>
                  <w:divBdr>
                    <w:top w:val="none" w:sz="0" w:space="0" w:color="auto"/>
                    <w:left w:val="none" w:sz="0" w:space="0" w:color="auto"/>
                    <w:bottom w:val="none" w:sz="0" w:space="0" w:color="auto"/>
                    <w:right w:val="none" w:sz="0" w:space="0" w:color="auto"/>
                  </w:divBdr>
                </w:div>
              </w:divsChild>
            </w:div>
            <w:div w:id="505174597">
              <w:marLeft w:val="0"/>
              <w:marRight w:val="0"/>
              <w:marTop w:val="0"/>
              <w:marBottom w:val="0"/>
              <w:divBdr>
                <w:top w:val="none" w:sz="0" w:space="0" w:color="auto"/>
                <w:left w:val="none" w:sz="0" w:space="0" w:color="auto"/>
                <w:bottom w:val="none" w:sz="0" w:space="0" w:color="auto"/>
                <w:right w:val="none" w:sz="0" w:space="0" w:color="auto"/>
              </w:divBdr>
              <w:divsChild>
                <w:div w:id="1579173487">
                  <w:marLeft w:val="0"/>
                  <w:marRight w:val="0"/>
                  <w:marTop w:val="0"/>
                  <w:marBottom w:val="0"/>
                  <w:divBdr>
                    <w:top w:val="none" w:sz="0" w:space="0" w:color="auto"/>
                    <w:left w:val="none" w:sz="0" w:space="0" w:color="auto"/>
                    <w:bottom w:val="none" w:sz="0" w:space="0" w:color="auto"/>
                    <w:right w:val="none" w:sz="0" w:space="0" w:color="auto"/>
                  </w:divBdr>
                </w:div>
              </w:divsChild>
            </w:div>
            <w:div w:id="505940424">
              <w:marLeft w:val="0"/>
              <w:marRight w:val="0"/>
              <w:marTop w:val="0"/>
              <w:marBottom w:val="0"/>
              <w:divBdr>
                <w:top w:val="none" w:sz="0" w:space="0" w:color="auto"/>
                <w:left w:val="none" w:sz="0" w:space="0" w:color="auto"/>
                <w:bottom w:val="none" w:sz="0" w:space="0" w:color="auto"/>
                <w:right w:val="none" w:sz="0" w:space="0" w:color="auto"/>
              </w:divBdr>
              <w:divsChild>
                <w:div w:id="44836974">
                  <w:marLeft w:val="0"/>
                  <w:marRight w:val="0"/>
                  <w:marTop w:val="0"/>
                  <w:marBottom w:val="0"/>
                  <w:divBdr>
                    <w:top w:val="none" w:sz="0" w:space="0" w:color="auto"/>
                    <w:left w:val="none" w:sz="0" w:space="0" w:color="auto"/>
                    <w:bottom w:val="none" w:sz="0" w:space="0" w:color="auto"/>
                    <w:right w:val="none" w:sz="0" w:space="0" w:color="auto"/>
                  </w:divBdr>
                </w:div>
              </w:divsChild>
            </w:div>
            <w:div w:id="506679619">
              <w:marLeft w:val="0"/>
              <w:marRight w:val="0"/>
              <w:marTop w:val="0"/>
              <w:marBottom w:val="0"/>
              <w:divBdr>
                <w:top w:val="none" w:sz="0" w:space="0" w:color="auto"/>
                <w:left w:val="none" w:sz="0" w:space="0" w:color="auto"/>
                <w:bottom w:val="none" w:sz="0" w:space="0" w:color="auto"/>
                <w:right w:val="none" w:sz="0" w:space="0" w:color="auto"/>
              </w:divBdr>
              <w:divsChild>
                <w:div w:id="1595741049">
                  <w:marLeft w:val="0"/>
                  <w:marRight w:val="0"/>
                  <w:marTop w:val="0"/>
                  <w:marBottom w:val="0"/>
                  <w:divBdr>
                    <w:top w:val="none" w:sz="0" w:space="0" w:color="auto"/>
                    <w:left w:val="none" w:sz="0" w:space="0" w:color="auto"/>
                    <w:bottom w:val="none" w:sz="0" w:space="0" w:color="auto"/>
                    <w:right w:val="none" w:sz="0" w:space="0" w:color="auto"/>
                  </w:divBdr>
                </w:div>
              </w:divsChild>
            </w:div>
            <w:div w:id="508107152">
              <w:marLeft w:val="0"/>
              <w:marRight w:val="0"/>
              <w:marTop w:val="0"/>
              <w:marBottom w:val="0"/>
              <w:divBdr>
                <w:top w:val="none" w:sz="0" w:space="0" w:color="auto"/>
                <w:left w:val="none" w:sz="0" w:space="0" w:color="auto"/>
                <w:bottom w:val="none" w:sz="0" w:space="0" w:color="auto"/>
                <w:right w:val="none" w:sz="0" w:space="0" w:color="auto"/>
              </w:divBdr>
              <w:divsChild>
                <w:div w:id="1392389778">
                  <w:marLeft w:val="0"/>
                  <w:marRight w:val="0"/>
                  <w:marTop w:val="0"/>
                  <w:marBottom w:val="0"/>
                  <w:divBdr>
                    <w:top w:val="none" w:sz="0" w:space="0" w:color="auto"/>
                    <w:left w:val="none" w:sz="0" w:space="0" w:color="auto"/>
                    <w:bottom w:val="none" w:sz="0" w:space="0" w:color="auto"/>
                    <w:right w:val="none" w:sz="0" w:space="0" w:color="auto"/>
                  </w:divBdr>
                </w:div>
              </w:divsChild>
            </w:div>
            <w:div w:id="509638991">
              <w:marLeft w:val="0"/>
              <w:marRight w:val="0"/>
              <w:marTop w:val="300"/>
              <w:marBottom w:val="300"/>
              <w:divBdr>
                <w:top w:val="none" w:sz="0" w:space="0" w:color="auto"/>
                <w:left w:val="none" w:sz="0" w:space="0" w:color="auto"/>
                <w:bottom w:val="none" w:sz="0" w:space="0" w:color="auto"/>
                <w:right w:val="none" w:sz="0" w:space="0" w:color="auto"/>
              </w:divBdr>
            </w:div>
            <w:div w:id="511915397">
              <w:marLeft w:val="0"/>
              <w:marRight w:val="0"/>
              <w:marTop w:val="0"/>
              <w:marBottom w:val="0"/>
              <w:divBdr>
                <w:top w:val="none" w:sz="0" w:space="0" w:color="auto"/>
                <w:left w:val="none" w:sz="0" w:space="0" w:color="auto"/>
                <w:bottom w:val="none" w:sz="0" w:space="0" w:color="auto"/>
                <w:right w:val="none" w:sz="0" w:space="0" w:color="auto"/>
              </w:divBdr>
              <w:divsChild>
                <w:div w:id="357438446">
                  <w:marLeft w:val="0"/>
                  <w:marRight w:val="0"/>
                  <w:marTop w:val="0"/>
                  <w:marBottom w:val="0"/>
                  <w:divBdr>
                    <w:top w:val="none" w:sz="0" w:space="0" w:color="auto"/>
                    <w:left w:val="none" w:sz="0" w:space="0" w:color="auto"/>
                    <w:bottom w:val="none" w:sz="0" w:space="0" w:color="auto"/>
                    <w:right w:val="none" w:sz="0" w:space="0" w:color="auto"/>
                  </w:divBdr>
                </w:div>
              </w:divsChild>
            </w:div>
            <w:div w:id="512306349">
              <w:marLeft w:val="0"/>
              <w:marRight w:val="0"/>
              <w:marTop w:val="0"/>
              <w:marBottom w:val="0"/>
              <w:divBdr>
                <w:top w:val="none" w:sz="0" w:space="0" w:color="auto"/>
                <w:left w:val="none" w:sz="0" w:space="0" w:color="auto"/>
                <w:bottom w:val="none" w:sz="0" w:space="0" w:color="auto"/>
                <w:right w:val="none" w:sz="0" w:space="0" w:color="auto"/>
              </w:divBdr>
              <w:divsChild>
                <w:div w:id="744182474">
                  <w:marLeft w:val="0"/>
                  <w:marRight w:val="0"/>
                  <w:marTop w:val="0"/>
                  <w:marBottom w:val="0"/>
                  <w:divBdr>
                    <w:top w:val="none" w:sz="0" w:space="0" w:color="auto"/>
                    <w:left w:val="none" w:sz="0" w:space="0" w:color="auto"/>
                    <w:bottom w:val="none" w:sz="0" w:space="0" w:color="auto"/>
                    <w:right w:val="none" w:sz="0" w:space="0" w:color="auto"/>
                  </w:divBdr>
                </w:div>
              </w:divsChild>
            </w:div>
            <w:div w:id="512647968">
              <w:marLeft w:val="0"/>
              <w:marRight w:val="0"/>
              <w:marTop w:val="0"/>
              <w:marBottom w:val="0"/>
              <w:divBdr>
                <w:top w:val="none" w:sz="0" w:space="0" w:color="auto"/>
                <w:left w:val="none" w:sz="0" w:space="0" w:color="auto"/>
                <w:bottom w:val="none" w:sz="0" w:space="0" w:color="auto"/>
                <w:right w:val="none" w:sz="0" w:space="0" w:color="auto"/>
              </w:divBdr>
              <w:divsChild>
                <w:div w:id="428544139">
                  <w:marLeft w:val="0"/>
                  <w:marRight w:val="0"/>
                  <w:marTop w:val="0"/>
                  <w:marBottom w:val="0"/>
                  <w:divBdr>
                    <w:top w:val="none" w:sz="0" w:space="0" w:color="auto"/>
                    <w:left w:val="none" w:sz="0" w:space="0" w:color="auto"/>
                    <w:bottom w:val="none" w:sz="0" w:space="0" w:color="auto"/>
                    <w:right w:val="none" w:sz="0" w:space="0" w:color="auto"/>
                  </w:divBdr>
                </w:div>
              </w:divsChild>
            </w:div>
            <w:div w:id="512688327">
              <w:marLeft w:val="0"/>
              <w:marRight w:val="0"/>
              <w:marTop w:val="0"/>
              <w:marBottom w:val="0"/>
              <w:divBdr>
                <w:top w:val="none" w:sz="0" w:space="0" w:color="auto"/>
                <w:left w:val="none" w:sz="0" w:space="0" w:color="auto"/>
                <w:bottom w:val="none" w:sz="0" w:space="0" w:color="auto"/>
                <w:right w:val="none" w:sz="0" w:space="0" w:color="auto"/>
              </w:divBdr>
              <w:divsChild>
                <w:div w:id="14158542">
                  <w:marLeft w:val="0"/>
                  <w:marRight w:val="0"/>
                  <w:marTop w:val="0"/>
                  <w:marBottom w:val="0"/>
                  <w:divBdr>
                    <w:top w:val="none" w:sz="0" w:space="0" w:color="auto"/>
                    <w:left w:val="none" w:sz="0" w:space="0" w:color="auto"/>
                    <w:bottom w:val="none" w:sz="0" w:space="0" w:color="auto"/>
                    <w:right w:val="none" w:sz="0" w:space="0" w:color="auto"/>
                  </w:divBdr>
                </w:div>
              </w:divsChild>
            </w:div>
            <w:div w:id="514416362">
              <w:marLeft w:val="0"/>
              <w:marRight w:val="0"/>
              <w:marTop w:val="0"/>
              <w:marBottom w:val="0"/>
              <w:divBdr>
                <w:top w:val="none" w:sz="0" w:space="0" w:color="auto"/>
                <w:left w:val="none" w:sz="0" w:space="0" w:color="auto"/>
                <w:bottom w:val="none" w:sz="0" w:space="0" w:color="auto"/>
                <w:right w:val="none" w:sz="0" w:space="0" w:color="auto"/>
              </w:divBdr>
              <w:divsChild>
                <w:div w:id="688340030">
                  <w:marLeft w:val="0"/>
                  <w:marRight w:val="0"/>
                  <w:marTop w:val="0"/>
                  <w:marBottom w:val="0"/>
                  <w:divBdr>
                    <w:top w:val="none" w:sz="0" w:space="0" w:color="auto"/>
                    <w:left w:val="none" w:sz="0" w:space="0" w:color="auto"/>
                    <w:bottom w:val="none" w:sz="0" w:space="0" w:color="auto"/>
                    <w:right w:val="none" w:sz="0" w:space="0" w:color="auto"/>
                  </w:divBdr>
                </w:div>
              </w:divsChild>
            </w:div>
            <w:div w:id="515506542">
              <w:marLeft w:val="0"/>
              <w:marRight w:val="0"/>
              <w:marTop w:val="0"/>
              <w:marBottom w:val="0"/>
              <w:divBdr>
                <w:top w:val="none" w:sz="0" w:space="0" w:color="auto"/>
                <w:left w:val="none" w:sz="0" w:space="0" w:color="auto"/>
                <w:bottom w:val="none" w:sz="0" w:space="0" w:color="auto"/>
                <w:right w:val="none" w:sz="0" w:space="0" w:color="auto"/>
              </w:divBdr>
              <w:divsChild>
                <w:div w:id="984235427">
                  <w:marLeft w:val="0"/>
                  <w:marRight w:val="0"/>
                  <w:marTop w:val="0"/>
                  <w:marBottom w:val="0"/>
                  <w:divBdr>
                    <w:top w:val="none" w:sz="0" w:space="0" w:color="auto"/>
                    <w:left w:val="none" w:sz="0" w:space="0" w:color="auto"/>
                    <w:bottom w:val="none" w:sz="0" w:space="0" w:color="auto"/>
                    <w:right w:val="none" w:sz="0" w:space="0" w:color="auto"/>
                  </w:divBdr>
                </w:div>
              </w:divsChild>
            </w:div>
            <w:div w:id="515507908">
              <w:marLeft w:val="0"/>
              <w:marRight w:val="0"/>
              <w:marTop w:val="0"/>
              <w:marBottom w:val="0"/>
              <w:divBdr>
                <w:top w:val="none" w:sz="0" w:space="0" w:color="auto"/>
                <w:left w:val="none" w:sz="0" w:space="0" w:color="auto"/>
                <w:bottom w:val="none" w:sz="0" w:space="0" w:color="auto"/>
                <w:right w:val="none" w:sz="0" w:space="0" w:color="auto"/>
              </w:divBdr>
              <w:divsChild>
                <w:div w:id="220603428">
                  <w:marLeft w:val="0"/>
                  <w:marRight w:val="0"/>
                  <w:marTop w:val="0"/>
                  <w:marBottom w:val="0"/>
                  <w:divBdr>
                    <w:top w:val="none" w:sz="0" w:space="0" w:color="auto"/>
                    <w:left w:val="none" w:sz="0" w:space="0" w:color="auto"/>
                    <w:bottom w:val="none" w:sz="0" w:space="0" w:color="auto"/>
                    <w:right w:val="none" w:sz="0" w:space="0" w:color="auto"/>
                  </w:divBdr>
                </w:div>
              </w:divsChild>
            </w:div>
            <w:div w:id="515853532">
              <w:marLeft w:val="0"/>
              <w:marRight w:val="0"/>
              <w:marTop w:val="0"/>
              <w:marBottom w:val="0"/>
              <w:divBdr>
                <w:top w:val="none" w:sz="0" w:space="0" w:color="auto"/>
                <w:left w:val="none" w:sz="0" w:space="0" w:color="auto"/>
                <w:bottom w:val="none" w:sz="0" w:space="0" w:color="auto"/>
                <w:right w:val="none" w:sz="0" w:space="0" w:color="auto"/>
              </w:divBdr>
              <w:divsChild>
                <w:div w:id="1327628512">
                  <w:marLeft w:val="0"/>
                  <w:marRight w:val="0"/>
                  <w:marTop w:val="0"/>
                  <w:marBottom w:val="0"/>
                  <w:divBdr>
                    <w:top w:val="none" w:sz="0" w:space="0" w:color="auto"/>
                    <w:left w:val="none" w:sz="0" w:space="0" w:color="auto"/>
                    <w:bottom w:val="none" w:sz="0" w:space="0" w:color="auto"/>
                    <w:right w:val="none" w:sz="0" w:space="0" w:color="auto"/>
                  </w:divBdr>
                </w:div>
              </w:divsChild>
            </w:div>
            <w:div w:id="516432206">
              <w:marLeft w:val="0"/>
              <w:marRight w:val="0"/>
              <w:marTop w:val="0"/>
              <w:marBottom w:val="0"/>
              <w:divBdr>
                <w:top w:val="none" w:sz="0" w:space="0" w:color="auto"/>
                <w:left w:val="none" w:sz="0" w:space="0" w:color="auto"/>
                <w:bottom w:val="none" w:sz="0" w:space="0" w:color="auto"/>
                <w:right w:val="none" w:sz="0" w:space="0" w:color="auto"/>
              </w:divBdr>
              <w:divsChild>
                <w:div w:id="1274482967">
                  <w:marLeft w:val="0"/>
                  <w:marRight w:val="0"/>
                  <w:marTop w:val="0"/>
                  <w:marBottom w:val="0"/>
                  <w:divBdr>
                    <w:top w:val="none" w:sz="0" w:space="0" w:color="auto"/>
                    <w:left w:val="none" w:sz="0" w:space="0" w:color="auto"/>
                    <w:bottom w:val="none" w:sz="0" w:space="0" w:color="auto"/>
                    <w:right w:val="none" w:sz="0" w:space="0" w:color="auto"/>
                  </w:divBdr>
                </w:div>
              </w:divsChild>
            </w:div>
            <w:div w:id="517044144">
              <w:marLeft w:val="0"/>
              <w:marRight w:val="0"/>
              <w:marTop w:val="0"/>
              <w:marBottom w:val="0"/>
              <w:divBdr>
                <w:top w:val="none" w:sz="0" w:space="0" w:color="auto"/>
                <w:left w:val="none" w:sz="0" w:space="0" w:color="auto"/>
                <w:bottom w:val="none" w:sz="0" w:space="0" w:color="auto"/>
                <w:right w:val="none" w:sz="0" w:space="0" w:color="auto"/>
              </w:divBdr>
              <w:divsChild>
                <w:div w:id="1997954802">
                  <w:marLeft w:val="0"/>
                  <w:marRight w:val="0"/>
                  <w:marTop w:val="0"/>
                  <w:marBottom w:val="0"/>
                  <w:divBdr>
                    <w:top w:val="none" w:sz="0" w:space="0" w:color="auto"/>
                    <w:left w:val="none" w:sz="0" w:space="0" w:color="auto"/>
                    <w:bottom w:val="none" w:sz="0" w:space="0" w:color="auto"/>
                    <w:right w:val="none" w:sz="0" w:space="0" w:color="auto"/>
                  </w:divBdr>
                </w:div>
              </w:divsChild>
            </w:div>
            <w:div w:id="517819137">
              <w:marLeft w:val="0"/>
              <w:marRight w:val="0"/>
              <w:marTop w:val="0"/>
              <w:marBottom w:val="0"/>
              <w:divBdr>
                <w:top w:val="none" w:sz="0" w:space="0" w:color="auto"/>
                <w:left w:val="none" w:sz="0" w:space="0" w:color="auto"/>
                <w:bottom w:val="none" w:sz="0" w:space="0" w:color="auto"/>
                <w:right w:val="none" w:sz="0" w:space="0" w:color="auto"/>
              </w:divBdr>
              <w:divsChild>
                <w:div w:id="570769773">
                  <w:marLeft w:val="0"/>
                  <w:marRight w:val="0"/>
                  <w:marTop w:val="0"/>
                  <w:marBottom w:val="0"/>
                  <w:divBdr>
                    <w:top w:val="none" w:sz="0" w:space="0" w:color="auto"/>
                    <w:left w:val="none" w:sz="0" w:space="0" w:color="auto"/>
                    <w:bottom w:val="none" w:sz="0" w:space="0" w:color="auto"/>
                    <w:right w:val="none" w:sz="0" w:space="0" w:color="auto"/>
                  </w:divBdr>
                </w:div>
              </w:divsChild>
            </w:div>
            <w:div w:id="518588141">
              <w:marLeft w:val="0"/>
              <w:marRight w:val="0"/>
              <w:marTop w:val="0"/>
              <w:marBottom w:val="0"/>
              <w:divBdr>
                <w:top w:val="none" w:sz="0" w:space="0" w:color="auto"/>
                <w:left w:val="none" w:sz="0" w:space="0" w:color="auto"/>
                <w:bottom w:val="none" w:sz="0" w:space="0" w:color="auto"/>
                <w:right w:val="none" w:sz="0" w:space="0" w:color="auto"/>
              </w:divBdr>
              <w:divsChild>
                <w:div w:id="805469227">
                  <w:marLeft w:val="0"/>
                  <w:marRight w:val="0"/>
                  <w:marTop w:val="0"/>
                  <w:marBottom w:val="0"/>
                  <w:divBdr>
                    <w:top w:val="none" w:sz="0" w:space="0" w:color="auto"/>
                    <w:left w:val="none" w:sz="0" w:space="0" w:color="auto"/>
                    <w:bottom w:val="none" w:sz="0" w:space="0" w:color="auto"/>
                    <w:right w:val="none" w:sz="0" w:space="0" w:color="auto"/>
                  </w:divBdr>
                </w:div>
              </w:divsChild>
            </w:div>
            <w:div w:id="518815532">
              <w:marLeft w:val="0"/>
              <w:marRight w:val="0"/>
              <w:marTop w:val="0"/>
              <w:marBottom w:val="0"/>
              <w:divBdr>
                <w:top w:val="none" w:sz="0" w:space="0" w:color="auto"/>
                <w:left w:val="none" w:sz="0" w:space="0" w:color="auto"/>
                <w:bottom w:val="none" w:sz="0" w:space="0" w:color="auto"/>
                <w:right w:val="none" w:sz="0" w:space="0" w:color="auto"/>
              </w:divBdr>
              <w:divsChild>
                <w:div w:id="1572227248">
                  <w:marLeft w:val="0"/>
                  <w:marRight w:val="0"/>
                  <w:marTop w:val="0"/>
                  <w:marBottom w:val="0"/>
                  <w:divBdr>
                    <w:top w:val="none" w:sz="0" w:space="0" w:color="auto"/>
                    <w:left w:val="none" w:sz="0" w:space="0" w:color="auto"/>
                    <w:bottom w:val="none" w:sz="0" w:space="0" w:color="auto"/>
                    <w:right w:val="none" w:sz="0" w:space="0" w:color="auto"/>
                  </w:divBdr>
                </w:div>
              </w:divsChild>
            </w:div>
            <w:div w:id="519507833">
              <w:marLeft w:val="0"/>
              <w:marRight w:val="0"/>
              <w:marTop w:val="0"/>
              <w:marBottom w:val="0"/>
              <w:divBdr>
                <w:top w:val="none" w:sz="0" w:space="0" w:color="auto"/>
                <w:left w:val="none" w:sz="0" w:space="0" w:color="auto"/>
                <w:bottom w:val="none" w:sz="0" w:space="0" w:color="auto"/>
                <w:right w:val="none" w:sz="0" w:space="0" w:color="auto"/>
              </w:divBdr>
              <w:divsChild>
                <w:div w:id="2076200873">
                  <w:marLeft w:val="0"/>
                  <w:marRight w:val="0"/>
                  <w:marTop w:val="0"/>
                  <w:marBottom w:val="0"/>
                  <w:divBdr>
                    <w:top w:val="none" w:sz="0" w:space="0" w:color="auto"/>
                    <w:left w:val="none" w:sz="0" w:space="0" w:color="auto"/>
                    <w:bottom w:val="none" w:sz="0" w:space="0" w:color="auto"/>
                    <w:right w:val="none" w:sz="0" w:space="0" w:color="auto"/>
                  </w:divBdr>
                </w:div>
              </w:divsChild>
            </w:div>
            <w:div w:id="520780558">
              <w:marLeft w:val="0"/>
              <w:marRight w:val="0"/>
              <w:marTop w:val="0"/>
              <w:marBottom w:val="0"/>
              <w:divBdr>
                <w:top w:val="none" w:sz="0" w:space="0" w:color="auto"/>
                <w:left w:val="none" w:sz="0" w:space="0" w:color="auto"/>
                <w:bottom w:val="none" w:sz="0" w:space="0" w:color="auto"/>
                <w:right w:val="none" w:sz="0" w:space="0" w:color="auto"/>
              </w:divBdr>
              <w:divsChild>
                <w:div w:id="1274895310">
                  <w:marLeft w:val="0"/>
                  <w:marRight w:val="0"/>
                  <w:marTop w:val="0"/>
                  <w:marBottom w:val="0"/>
                  <w:divBdr>
                    <w:top w:val="none" w:sz="0" w:space="0" w:color="auto"/>
                    <w:left w:val="none" w:sz="0" w:space="0" w:color="auto"/>
                    <w:bottom w:val="none" w:sz="0" w:space="0" w:color="auto"/>
                    <w:right w:val="none" w:sz="0" w:space="0" w:color="auto"/>
                  </w:divBdr>
                </w:div>
              </w:divsChild>
            </w:div>
            <w:div w:id="521937231">
              <w:marLeft w:val="0"/>
              <w:marRight w:val="0"/>
              <w:marTop w:val="0"/>
              <w:marBottom w:val="0"/>
              <w:divBdr>
                <w:top w:val="none" w:sz="0" w:space="0" w:color="auto"/>
                <w:left w:val="none" w:sz="0" w:space="0" w:color="auto"/>
                <w:bottom w:val="none" w:sz="0" w:space="0" w:color="auto"/>
                <w:right w:val="none" w:sz="0" w:space="0" w:color="auto"/>
              </w:divBdr>
              <w:divsChild>
                <w:div w:id="715470055">
                  <w:marLeft w:val="0"/>
                  <w:marRight w:val="0"/>
                  <w:marTop w:val="0"/>
                  <w:marBottom w:val="0"/>
                  <w:divBdr>
                    <w:top w:val="none" w:sz="0" w:space="0" w:color="auto"/>
                    <w:left w:val="none" w:sz="0" w:space="0" w:color="auto"/>
                    <w:bottom w:val="none" w:sz="0" w:space="0" w:color="auto"/>
                    <w:right w:val="none" w:sz="0" w:space="0" w:color="auto"/>
                  </w:divBdr>
                </w:div>
              </w:divsChild>
            </w:div>
            <w:div w:id="522288952">
              <w:marLeft w:val="0"/>
              <w:marRight w:val="0"/>
              <w:marTop w:val="0"/>
              <w:marBottom w:val="0"/>
              <w:divBdr>
                <w:top w:val="none" w:sz="0" w:space="0" w:color="auto"/>
                <w:left w:val="none" w:sz="0" w:space="0" w:color="auto"/>
                <w:bottom w:val="none" w:sz="0" w:space="0" w:color="auto"/>
                <w:right w:val="none" w:sz="0" w:space="0" w:color="auto"/>
              </w:divBdr>
              <w:divsChild>
                <w:div w:id="1890337093">
                  <w:marLeft w:val="0"/>
                  <w:marRight w:val="0"/>
                  <w:marTop w:val="0"/>
                  <w:marBottom w:val="0"/>
                  <w:divBdr>
                    <w:top w:val="none" w:sz="0" w:space="0" w:color="auto"/>
                    <w:left w:val="none" w:sz="0" w:space="0" w:color="auto"/>
                    <w:bottom w:val="none" w:sz="0" w:space="0" w:color="auto"/>
                    <w:right w:val="none" w:sz="0" w:space="0" w:color="auto"/>
                  </w:divBdr>
                </w:div>
              </w:divsChild>
            </w:div>
            <w:div w:id="523204587">
              <w:marLeft w:val="0"/>
              <w:marRight w:val="0"/>
              <w:marTop w:val="0"/>
              <w:marBottom w:val="0"/>
              <w:divBdr>
                <w:top w:val="none" w:sz="0" w:space="0" w:color="auto"/>
                <w:left w:val="none" w:sz="0" w:space="0" w:color="auto"/>
                <w:bottom w:val="none" w:sz="0" w:space="0" w:color="auto"/>
                <w:right w:val="none" w:sz="0" w:space="0" w:color="auto"/>
              </w:divBdr>
              <w:divsChild>
                <w:div w:id="2003973461">
                  <w:marLeft w:val="0"/>
                  <w:marRight w:val="0"/>
                  <w:marTop w:val="0"/>
                  <w:marBottom w:val="0"/>
                  <w:divBdr>
                    <w:top w:val="none" w:sz="0" w:space="0" w:color="auto"/>
                    <w:left w:val="none" w:sz="0" w:space="0" w:color="auto"/>
                    <w:bottom w:val="none" w:sz="0" w:space="0" w:color="auto"/>
                    <w:right w:val="none" w:sz="0" w:space="0" w:color="auto"/>
                  </w:divBdr>
                </w:div>
              </w:divsChild>
            </w:div>
            <w:div w:id="523632700">
              <w:marLeft w:val="0"/>
              <w:marRight w:val="0"/>
              <w:marTop w:val="0"/>
              <w:marBottom w:val="0"/>
              <w:divBdr>
                <w:top w:val="none" w:sz="0" w:space="0" w:color="auto"/>
                <w:left w:val="none" w:sz="0" w:space="0" w:color="auto"/>
                <w:bottom w:val="none" w:sz="0" w:space="0" w:color="auto"/>
                <w:right w:val="none" w:sz="0" w:space="0" w:color="auto"/>
              </w:divBdr>
              <w:divsChild>
                <w:div w:id="1097947573">
                  <w:marLeft w:val="0"/>
                  <w:marRight w:val="0"/>
                  <w:marTop w:val="0"/>
                  <w:marBottom w:val="0"/>
                  <w:divBdr>
                    <w:top w:val="none" w:sz="0" w:space="0" w:color="auto"/>
                    <w:left w:val="none" w:sz="0" w:space="0" w:color="auto"/>
                    <w:bottom w:val="none" w:sz="0" w:space="0" w:color="auto"/>
                    <w:right w:val="none" w:sz="0" w:space="0" w:color="auto"/>
                  </w:divBdr>
                </w:div>
              </w:divsChild>
            </w:div>
            <w:div w:id="525485782">
              <w:marLeft w:val="0"/>
              <w:marRight w:val="0"/>
              <w:marTop w:val="300"/>
              <w:marBottom w:val="300"/>
              <w:divBdr>
                <w:top w:val="none" w:sz="0" w:space="0" w:color="auto"/>
                <w:left w:val="none" w:sz="0" w:space="0" w:color="auto"/>
                <w:bottom w:val="none" w:sz="0" w:space="0" w:color="auto"/>
                <w:right w:val="none" w:sz="0" w:space="0" w:color="auto"/>
              </w:divBdr>
            </w:div>
            <w:div w:id="525681420">
              <w:marLeft w:val="0"/>
              <w:marRight w:val="0"/>
              <w:marTop w:val="0"/>
              <w:marBottom w:val="0"/>
              <w:divBdr>
                <w:top w:val="none" w:sz="0" w:space="0" w:color="auto"/>
                <w:left w:val="none" w:sz="0" w:space="0" w:color="auto"/>
                <w:bottom w:val="none" w:sz="0" w:space="0" w:color="auto"/>
                <w:right w:val="none" w:sz="0" w:space="0" w:color="auto"/>
              </w:divBdr>
              <w:divsChild>
                <w:div w:id="516890644">
                  <w:marLeft w:val="0"/>
                  <w:marRight w:val="0"/>
                  <w:marTop w:val="0"/>
                  <w:marBottom w:val="0"/>
                  <w:divBdr>
                    <w:top w:val="none" w:sz="0" w:space="0" w:color="auto"/>
                    <w:left w:val="none" w:sz="0" w:space="0" w:color="auto"/>
                    <w:bottom w:val="none" w:sz="0" w:space="0" w:color="auto"/>
                    <w:right w:val="none" w:sz="0" w:space="0" w:color="auto"/>
                  </w:divBdr>
                </w:div>
              </w:divsChild>
            </w:div>
            <w:div w:id="526143780">
              <w:marLeft w:val="0"/>
              <w:marRight w:val="0"/>
              <w:marTop w:val="0"/>
              <w:marBottom w:val="0"/>
              <w:divBdr>
                <w:top w:val="none" w:sz="0" w:space="0" w:color="auto"/>
                <w:left w:val="none" w:sz="0" w:space="0" w:color="auto"/>
                <w:bottom w:val="none" w:sz="0" w:space="0" w:color="auto"/>
                <w:right w:val="none" w:sz="0" w:space="0" w:color="auto"/>
              </w:divBdr>
              <w:divsChild>
                <w:div w:id="1628504999">
                  <w:marLeft w:val="0"/>
                  <w:marRight w:val="0"/>
                  <w:marTop w:val="0"/>
                  <w:marBottom w:val="0"/>
                  <w:divBdr>
                    <w:top w:val="none" w:sz="0" w:space="0" w:color="auto"/>
                    <w:left w:val="none" w:sz="0" w:space="0" w:color="auto"/>
                    <w:bottom w:val="none" w:sz="0" w:space="0" w:color="auto"/>
                    <w:right w:val="none" w:sz="0" w:space="0" w:color="auto"/>
                  </w:divBdr>
                </w:div>
              </w:divsChild>
            </w:div>
            <w:div w:id="526480586">
              <w:marLeft w:val="0"/>
              <w:marRight w:val="0"/>
              <w:marTop w:val="0"/>
              <w:marBottom w:val="0"/>
              <w:divBdr>
                <w:top w:val="none" w:sz="0" w:space="0" w:color="auto"/>
                <w:left w:val="none" w:sz="0" w:space="0" w:color="auto"/>
                <w:bottom w:val="none" w:sz="0" w:space="0" w:color="auto"/>
                <w:right w:val="none" w:sz="0" w:space="0" w:color="auto"/>
              </w:divBdr>
              <w:divsChild>
                <w:div w:id="77599182">
                  <w:marLeft w:val="0"/>
                  <w:marRight w:val="0"/>
                  <w:marTop w:val="0"/>
                  <w:marBottom w:val="0"/>
                  <w:divBdr>
                    <w:top w:val="none" w:sz="0" w:space="0" w:color="auto"/>
                    <w:left w:val="none" w:sz="0" w:space="0" w:color="auto"/>
                    <w:bottom w:val="none" w:sz="0" w:space="0" w:color="auto"/>
                    <w:right w:val="none" w:sz="0" w:space="0" w:color="auto"/>
                  </w:divBdr>
                </w:div>
              </w:divsChild>
            </w:div>
            <w:div w:id="527916915">
              <w:marLeft w:val="0"/>
              <w:marRight w:val="0"/>
              <w:marTop w:val="300"/>
              <w:marBottom w:val="300"/>
              <w:divBdr>
                <w:top w:val="none" w:sz="0" w:space="0" w:color="auto"/>
                <w:left w:val="none" w:sz="0" w:space="0" w:color="auto"/>
                <w:bottom w:val="none" w:sz="0" w:space="0" w:color="auto"/>
                <w:right w:val="none" w:sz="0" w:space="0" w:color="auto"/>
              </w:divBdr>
            </w:div>
            <w:div w:id="528838793">
              <w:marLeft w:val="0"/>
              <w:marRight w:val="0"/>
              <w:marTop w:val="300"/>
              <w:marBottom w:val="300"/>
              <w:divBdr>
                <w:top w:val="none" w:sz="0" w:space="0" w:color="auto"/>
                <w:left w:val="none" w:sz="0" w:space="0" w:color="auto"/>
                <w:bottom w:val="none" w:sz="0" w:space="0" w:color="auto"/>
                <w:right w:val="none" w:sz="0" w:space="0" w:color="auto"/>
              </w:divBdr>
            </w:div>
            <w:div w:id="529151096">
              <w:marLeft w:val="0"/>
              <w:marRight w:val="0"/>
              <w:marTop w:val="300"/>
              <w:marBottom w:val="300"/>
              <w:divBdr>
                <w:top w:val="none" w:sz="0" w:space="0" w:color="auto"/>
                <w:left w:val="none" w:sz="0" w:space="0" w:color="auto"/>
                <w:bottom w:val="none" w:sz="0" w:space="0" w:color="auto"/>
                <w:right w:val="none" w:sz="0" w:space="0" w:color="auto"/>
              </w:divBdr>
            </w:div>
            <w:div w:id="529533819">
              <w:marLeft w:val="0"/>
              <w:marRight w:val="0"/>
              <w:marTop w:val="300"/>
              <w:marBottom w:val="300"/>
              <w:divBdr>
                <w:top w:val="none" w:sz="0" w:space="0" w:color="auto"/>
                <w:left w:val="none" w:sz="0" w:space="0" w:color="auto"/>
                <w:bottom w:val="none" w:sz="0" w:space="0" w:color="auto"/>
                <w:right w:val="none" w:sz="0" w:space="0" w:color="auto"/>
              </w:divBdr>
            </w:div>
            <w:div w:id="531307524">
              <w:marLeft w:val="0"/>
              <w:marRight w:val="0"/>
              <w:marTop w:val="0"/>
              <w:marBottom w:val="0"/>
              <w:divBdr>
                <w:top w:val="none" w:sz="0" w:space="0" w:color="auto"/>
                <w:left w:val="none" w:sz="0" w:space="0" w:color="auto"/>
                <w:bottom w:val="none" w:sz="0" w:space="0" w:color="auto"/>
                <w:right w:val="none" w:sz="0" w:space="0" w:color="auto"/>
              </w:divBdr>
              <w:divsChild>
                <w:div w:id="2070304348">
                  <w:marLeft w:val="0"/>
                  <w:marRight w:val="0"/>
                  <w:marTop w:val="0"/>
                  <w:marBottom w:val="0"/>
                  <w:divBdr>
                    <w:top w:val="none" w:sz="0" w:space="0" w:color="auto"/>
                    <w:left w:val="none" w:sz="0" w:space="0" w:color="auto"/>
                    <w:bottom w:val="none" w:sz="0" w:space="0" w:color="auto"/>
                    <w:right w:val="none" w:sz="0" w:space="0" w:color="auto"/>
                  </w:divBdr>
                </w:div>
              </w:divsChild>
            </w:div>
            <w:div w:id="533423775">
              <w:marLeft w:val="0"/>
              <w:marRight w:val="0"/>
              <w:marTop w:val="0"/>
              <w:marBottom w:val="0"/>
              <w:divBdr>
                <w:top w:val="none" w:sz="0" w:space="0" w:color="auto"/>
                <w:left w:val="none" w:sz="0" w:space="0" w:color="auto"/>
                <w:bottom w:val="none" w:sz="0" w:space="0" w:color="auto"/>
                <w:right w:val="none" w:sz="0" w:space="0" w:color="auto"/>
              </w:divBdr>
              <w:divsChild>
                <w:div w:id="1284651129">
                  <w:marLeft w:val="0"/>
                  <w:marRight w:val="0"/>
                  <w:marTop w:val="0"/>
                  <w:marBottom w:val="0"/>
                  <w:divBdr>
                    <w:top w:val="none" w:sz="0" w:space="0" w:color="auto"/>
                    <w:left w:val="none" w:sz="0" w:space="0" w:color="auto"/>
                    <w:bottom w:val="none" w:sz="0" w:space="0" w:color="auto"/>
                    <w:right w:val="none" w:sz="0" w:space="0" w:color="auto"/>
                  </w:divBdr>
                </w:div>
              </w:divsChild>
            </w:div>
            <w:div w:id="533612520">
              <w:marLeft w:val="0"/>
              <w:marRight w:val="0"/>
              <w:marTop w:val="0"/>
              <w:marBottom w:val="0"/>
              <w:divBdr>
                <w:top w:val="none" w:sz="0" w:space="0" w:color="auto"/>
                <w:left w:val="none" w:sz="0" w:space="0" w:color="auto"/>
                <w:bottom w:val="none" w:sz="0" w:space="0" w:color="auto"/>
                <w:right w:val="none" w:sz="0" w:space="0" w:color="auto"/>
              </w:divBdr>
              <w:divsChild>
                <w:div w:id="1620986345">
                  <w:marLeft w:val="0"/>
                  <w:marRight w:val="0"/>
                  <w:marTop w:val="0"/>
                  <w:marBottom w:val="0"/>
                  <w:divBdr>
                    <w:top w:val="none" w:sz="0" w:space="0" w:color="auto"/>
                    <w:left w:val="none" w:sz="0" w:space="0" w:color="auto"/>
                    <w:bottom w:val="none" w:sz="0" w:space="0" w:color="auto"/>
                    <w:right w:val="none" w:sz="0" w:space="0" w:color="auto"/>
                  </w:divBdr>
                </w:div>
              </w:divsChild>
            </w:div>
            <w:div w:id="535704477">
              <w:marLeft w:val="0"/>
              <w:marRight w:val="0"/>
              <w:marTop w:val="300"/>
              <w:marBottom w:val="300"/>
              <w:divBdr>
                <w:top w:val="none" w:sz="0" w:space="0" w:color="auto"/>
                <w:left w:val="none" w:sz="0" w:space="0" w:color="auto"/>
                <w:bottom w:val="none" w:sz="0" w:space="0" w:color="auto"/>
                <w:right w:val="none" w:sz="0" w:space="0" w:color="auto"/>
              </w:divBdr>
            </w:div>
            <w:div w:id="536048022">
              <w:marLeft w:val="0"/>
              <w:marRight w:val="0"/>
              <w:marTop w:val="0"/>
              <w:marBottom w:val="0"/>
              <w:divBdr>
                <w:top w:val="none" w:sz="0" w:space="0" w:color="auto"/>
                <w:left w:val="none" w:sz="0" w:space="0" w:color="auto"/>
                <w:bottom w:val="none" w:sz="0" w:space="0" w:color="auto"/>
                <w:right w:val="none" w:sz="0" w:space="0" w:color="auto"/>
              </w:divBdr>
              <w:divsChild>
                <w:div w:id="2098940891">
                  <w:marLeft w:val="0"/>
                  <w:marRight w:val="0"/>
                  <w:marTop w:val="0"/>
                  <w:marBottom w:val="0"/>
                  <w:divBdr>
                    <w:top w:val="none" w:sz="0" w:space="0" w:color="auto"/>
                    <w:left w:val="none" w:sz="0" w:space="0" w:color="auto"/>
                    <w:bottom w:val="none" w:sz="0" w:space="0" w:color="auto"/>
                    <w:right w:val="none" w:sz="0" w:space="0" w:color="auto"/>
                  </w:divBdr>
                </w:div>
              </w:divsChild>
            </w:div>
            <w:div w:id="536550555">
              <w:marLeft w:val="0"/>
              <w:marRight w:val="0"/>
              <w:marTop w:val="0"/>
              <w:marBottom w:val="0"/>
              <w:divBdr>
                <w:top w:val="none" w:sz="0" w:space="0" w:color="auto"/>
                <w:left w:val="none" w:sz="0" w:space="0" w:color="auto"/>
                <w:bottom w:val="none" w:sz="0" w:space="0" w:color="auto"/>
                <w:right w:val="none" w:sz="0" w:space="0" w:color="auto"/>
              </w:divBdr>
              <w:divsChild>
                <w:div w:id="1837647934">
                  <w:marLeft w:val="0"/>
                  <w:marRight w:val="0"/>
                  <w:marTop w:val="0"/>
                  <w:marBottom w:val="0"/>
                  <w:divBdr>
                    <w:top w:val="none" w:sz="0" w:space="0" w:color="auto"/>
                    <w:left w:val="none" w:sz="0" w:space="0" w:color="auto"/>
                    <w:bottom w:val="none" w:sz="0" w:space="0" w:color="auto"/>
                    <w:right w:val="none" w:sz="0" w:space="0" w:color="auto"/>
                  </w:divBdr>
                </w:div>
              </w:divsChild>
            </w:div>
            <w:div w:id="537133059">
              <w:marLeft w:val="0"/>
              <w:marRight w:val="0"/>
              <w:marTop w:val="0"/>
              <w:marBottom w:val="0"/>
              <w:divBdr>
                <w:top w:val="none" w:sz="0" w:space="0" w:color="auto"/>
                <w:left w:val="none" w:sz="0" w:space="0" w:color="auto"/>
                <w:bottom w:val="none" w:sz="0" w:space="0" w:color="auto"/>
                <w:right w:val="none" w:sz="0" w:space="0" w:color="auto"/>
              </w:divBdr>
              <w:divsChild>
                <w:div w:id="403844470">
                  <w:marLeft w:val="0"/>
                  <w:marRight w:val="0"/>
                  <w:marTop w:val="0"/>
                  <w:marBottom w:val="0"/>
                  <w:divBdr>
                    <w:top w:val="none" w:sz="0" w:space="0" w:color="auto"/>
                    <w:left w:val="none" w:sz="0" w:space="0" w:color="auto"/>
                    <w:bottom w:val="none" w:sz="0" w:space="0" w:color="auto"/>
                    <w:right w:val="none" w:sz="0" w:space="0" w:color="auto"/>
                  </w:divBdr>
                </w:div>
              </w:divsChild>
            </w:div>
            <w:div w:id="538132283">
              <w:marLeft w:val="0"/>
              <w:marRight w:val="0"/>
              <w:marTop w:val="0"/>
              <w:marBottom w:val="0"/>
              <w:divBdr>
                <w:top w:val="none" w:sz="0" w:space="0" w:color="auto"/>
                <w:left w:val="none" w:sz="0" w:space="0" w:color="auto"/>
                <w:bottom w:val="none" w:sz="0" w:space="0" w:color="auto"/>
                <w:right w:val="none" w:sz="0" w:space="0" w:color="auto"/>
              </w:divBdr>
              <w:divsChild>
                <w:div w:id="2117406241">
                  <w:marLeft w:val="0"/>
                  <w:marRight w:val="0"/>
                  <w:marTop w:val="0"/>
                  <w:marBottom w:val="0"/>
                  <w:divBdr>
                    <w:top w:val="none" w:sz="0" w:space="0" w:color="auto"/>
                    <w:left w:val="none" w:sz="0" w:space="0" w:color="auto"/>
                    <w:bottom w:val="none" w:sz="0" w:space="0" w:color="auto"/>
                    <w:right w:val="none" w:sz="0" w:space="0" w:color="auto"/>
                  </w:divBdr>
                </w:div>
              </w:divsChild>
            </w:div>
            <w:div w:id="538594154">
              <w:marLeft w:val="0"/>
              <w:marRight w:val="0"/>
              <w:marTop w:val="0"/>
              <w:marBottom w:val="0"/>
              <w:divBdr>
                <w:top w:val="none" w:sz="0" w:space="0" w:color="auto"/>
                <w:left w:val="none" w:sz="0" w:space="0" w:color="auto"/>
                <w:bottom w:val="none" w:sz="0" w:space="0" w:color="auto"/>
                <w:right w:val="none" w:sz="0" w:space="0" w:color="auto"/>
              </w:divBdr>
              <w:divsChild>
                <w:div w:id="1333606575">
                  <w:marLeft w:val="0"/>
                  <w:marRight w:val="0"/>
                  <w:marTop w:val="0"/>
                  <w:marBottom w:val="0"/>
                  <w:divBdr>
                    <w:top w:val="none" w:sz="0" w:space="0" w:color="auto"/>
                    <w:left w:val="none" w:sz="0" w:space="0" w:color="auto"/>
                    <w:bottom w:val="none" w:sz="0" w:space="0" w:color="auto"/>
                    <w:right w:val="none" w:sz="0" w:space="0" w:color="auto"/>
                  </w:divBdr>
                </w:div>
              </w:divsChild>
            </w:div>
            <w:div w:id="538935110">
              <w:marLeft w:val="0"/>
              <w:marRight w:val="0"/>
              <w:marTop w:val="300"/>
              <w:marBottom w:val="300"/>
              <w:divBdr>
                <w:top w:val="none" w:sz="0" w:space="0" w:color="auto"/>
                <w:left w:val="none" w:sz="0" w:space="0" w:color="auto"/>
                <w:bottom w:val="none" w:sz="0" w:space="0" w:color="auto"/>
                <w:right w:val="none" w:sz="0" w:space="0" w:color="auto"/>
              </w:divBdr>
            </w:div>
            <w:div w:id="538976107">
              <w:marLeft w:val="0"/>
              <w:marRight w:val="0"/>
              <w:marTop w:val="0"/>
              <w:marBottom w:val="0"/>
              <w:divBdr>
                <w:top w:val="none" w:sz="0" w:space="0" w:color="auto"/>
                <w:left w:val="none" w:sz="0" w:space="0" w:color="auto"/>
                <w:bottom w:val="none" w:sz="0" w:space="0" w:color="auto"/>
                <w:right w:val="none" w:sz="0" w:space="0" w:color="auto"/>
              </w:divBdr>
              <w:divsChild>
                <w:div w:id="2135443241">
                  <w:marLeft w:val="0"/>
                  <w:marRight w:val="0"/>
                  <w:marTop w:val="0"/>
                  <w:marBottom w:val="0"/>
                  <w:divBdr>
                    <w:top w:val="none" w:sz="0" w:space="0" w:color="auto"/>
                    <w:left w:val="none" w:sz="0" w:space="0" w:color="auto"/>
                    <w:bottom w:val="none" w:sz="0" w:space="0" w:color="auto"/>
                    <w:right w:val="none" w:sz="0" w:space="0" w:color="auto"/>
                  </w:divBdr>
                </w:div>
              </w:divsChild>
            </w:div>
            <w:div w:id="539633248">
              <w:marLeft w:val="0"/>
              <w:marRight w:val="0"/>
              <w:marTop w:val="0"/>
              <w:marBottom w:val="0"/>
              <w:divBdr>
                <w:top w:val="none" w:sz="0" w:space="0" w:color="auto"/>
                <w:left w:val="none" w:sz="0" w:space="0" w:color="auto"/>
                <w:bottom w:val="none" w:sz="0" w:space="0" w:color="auto"/>
                <w:right w:val="none" w:sz="0" w:space="0" w:color="auto"/>
              </w:divBdr>
              <w:divsChild>
                <w:div w:id="1581912132">
                  <w:marLeft w:val="0"/>
                  <w:marRight w:val="0"/>
                  <w:marTop w:val="0"/>
                  <w:marBottom w:val="0"/>
                  <w:divBdr>
                    <w:top w:val="none" w:sz="0" w:space="0" w:color="auto"/>
                    <w:left w:val="none" w:sz="0" w:space="0" w:color="auto"/>
                    <w:bottom w:val="none" w:sz="0" w:space="0" w:color="auto"/>
                    <w:right w:val="none" w:sz="0" w:space="0" w:color="auto"/>
                  </w:divBdr>
                </w:div>
              </w:divsChild>
            </w:div>
            <w:div w:id="539821730">
              <w:marLeft w:val="0"/>
              <w:marRight w:val="0"/>
              <w:marTop w:val="0"/>
              <w:marBottom w:val="0"/>
              <w:divBdr>
                <w:top w:val="none" w:sz="0" w:space="0" w:color="auto"/>
                <w:left w:val="none" w:sz="0" w:space="0" w:color="auto"/>
                <w:bottom w:val="none" w:sz="0" w:space="0" w:color="auto"/>
                <w:right w:val="none" w:sz="0" w:space="0" w:color="auto"/>
              </w:divBdr>
              <w:divsChild>
                <w:div w:id="1921787671">
                  <w:marLeft w:val="0"/>
                  <w:marRight w:val="0"/>
                  <w:marTop w:val="0"/>
                  <w:marBottom w:val="0"/>
                  <w:divBdr>
                    <w:top w:val="none" w:sz="0" w:space="0" w:color="auto"/>
                    <w:left w:val="none" w:sz="0" w:space="0" w:color="auto"/>
                    <w:bottom w:val="none" w:sz="0" w:space="0" w:color="auto"/>
                    <w:right w:val="none" w:sz="0" w:space="0" w:color="auto"/>
                  </w:divBdr>
                </w:div>
              </w:divsChild>
            </w:div>
            <w:div w:id="541751679">
              <w:marLeft w:val="0"/>
              <w:marRight w:val="0"/>
              <w:marTop w:val="0"/>
              <w:marBottom w:val="0"/>
              <w:divBdr>
                <w:top w:val="none" w:sz="0" w:space="0" w:color="auto"/>
                <w:left w:val="none" w:sz="0" w:space="0" w:color="auto"/>
                <w:bottom w:val="none" w:sz="0" w:space="0" w:color="auto"/>
                <w:right w:val="none" w:sz="0" w:space="0" w:color="auto"/>
              </w:divBdr>
              <w:divsChild>
                <w:div w:id="1858887314">
                  <w:marLeft w:val="0"/>
                  <w:marRight w:val="0"/>
                  <w:marTop w:val="0"/>
                  <w:marBottom w:val="0"/>
                  <w:divBdr>
                    <w:top w:val="none" w:sz="0" w:space="0" w:color="auto"/>
                    <w:left w:val="none" w:sz="0" w:space="0" w:color="auto"/>
                    <w:bottom w:val="none" w:sz="0" w:space="0" w:color="auto"/>
                    <w:right w:val="none" w:sz="0" w:space="0" w:color="auto"/>
                  </w:divBdr>
                </w:div>
              </w:divsChild>
            </w:div>
            <w:div w:id="542600373">
              <w:marLeft w:val="0"/>
              <w:marRight w:val="0"/>
              <w:marTop w:val="0"/>
              <w:marBottom w:val="0"/>
              <w:divBdr>
                <w:top w:val="none" w:sz="0" w:space="0" w:color="auto"/>
                <w:left w:val="none" w:sz="0" w:space="0" w:color="auto"/>
                <w:bottom w:val="none" w:sz="0" w:space="0" w:color="auto"/>
                <w:right w:val="none" w:sz="0" w:space="0" w:color="auto"/>
              </w:divBdr>
              <w:divsChild>
                <w:div w:id="165679032">
                  <w:marLeft w:val="0"/>
                  <w:marRight w:val="0"/>
                  <w:marTop w:val="0"/>
                  <w:marBottom w:val="0"/>
                  <w:divBdr>
                    <w:top w:val="none" w:sz="0" w:space="0" w:color="auto"/>
                    <w:left w:val="none" w:sz="0" w:space="0" w:color="auto"/>
                    <w:bottom w:val="none" w:sz="0" w:space="0" w:color="auto"/>
                    <w:right w:val="none" w:sz="0" w:space="0" w:color="auto"/>
                  </w:divBdr>
                </w:div>
              </w:divsChild>
            </w:div>
            <w:div w:id="542787415">
              <w:marLeft w:val="0"/>
              <w:marRight w:val="0"/>
              <w:marTop w:val="0"/>
              <w:marBottom w:val="0"/>
              <w:divBdr>
                <w:top w:val="none" w:sz="0" w:space="0" w:color="auto"/>
                <w:left w:val="none" w:sz="0" w:space="0" w:color="auto"/>
                <w:bottom w:val="none" w:sz="0" w:space="0" w:color="auto"/>
                <w:right w:val="none" w:sz="0" w:space="0" w:color="auto"/>
              </w:divBdr>
              <w:divsChild>
                <w:div w:id="258488124">
                  <w:marLeft w:val="0"/>
                  <w:marRight w:val="0"/>
                  <w:marTop w:val="0"/>
                  <w:marBottom w:val="0"/>
                  <w:divBdr>
                    <w:top w:val="none" w:sz="0" w:space="0" w:color="auto"/>
                    <w:left w:val="none" w:sz="0" w:space="0" w:color="auto"/>
                    <w:bottom w:val="none" w:sz="0" w:space="0" w:color="auto"/>
                    <w:right w:val="none" w:sz="0" w:space="0" w:color="auto"/>
                  </w:divBdr>
                </w:div>
              </w:divsChild>
            </w:div>
            <w:div w:id="547961282">
              <w:marLeft w:val="0"/>
              <w:marRight w:val="0"/>
              <w:marTop w:val="0"/>
              <w:marBottom w:val="0"/>
              <w:divBdr>
                <w:top w:val="none" w:sz="0" w:space="0" w:color="auto"/>
                <w:left w:val="none" w:sz="0" w:space="0" w:color="auto"/>
                <w:bottom w:val="none" w:sz="0" w:space="0" w:color="auto"/>
                <w:right w:val="none" w:sz="0" w:space="0" w:color="auto"/>
              </w:divBdr>
              <w:divsChild>
                <w:div w:id="1918785112">
                  <w:marLeft w:val="0"/>
                  <w:marRight w:val="0"/>
                  <w:marTop w:val="0"/>
                  <w:marBottom w:val="0"/>
                  <w:divBdr>
                    <w:top w:val="none" w:sz="0" w:space="0" w:color="auto"/>
                    <w:left w:val="none" w:sz="0" w:space="0" w:color="auto"/>
                    <w:bottom w:val="none" w:sz="0" w:space="0" w:color="auto"/>
                    <w:right w:val="none" w:sz="0" w:space="0" w:color="auto"/>
                  </w:divBdr>
                </w:div>
              </w:divsChild>
            </w:div>
            <w:div w:id="549460671">
              <w:marLeft w:val="0"/>
              <w:marRight w:val="0"/>
              <w:marTop w:val="0"/>
              <w:marBottom w:val="0"/>
              <w:divBdr>
                <w:top w:val="none" w:sz="0" w:space="0" w:color="auto"/>
                <w:left w:val="none" w:sz="0" w:space="0" w:color="auto"/>
                <w:bottom w:val="none" w:sz="0" w:space="0" w:color="auto"/>
                <w:right w:val="none" w:sz="0" w:space="0" w:color="auto"/>
              </w:divBdr>
              <w:divsChild>
                <w:div w:id="964434630">
                  <w:marLeft w:val="0"/>
                  <w:marRight w:val="0"/>
                  <w:marTop w:val="0"/>
                  <w:marBottom w:val="0"/>
                  <w:divBdr>
                    <w:top w:val="none" w:sz="0" w:space="0" w:color="auto"/>
                    <w:left w:val="none" w:sz="0" w:space="0" w:color="auto"/>
                    <w:bottom w:val="none" w:sz="0" w:space="0" w:color="auto"/>
                    <w:right w:val="none" w:sz="0" w:space="0" w:color="auto"/>
                  </w:divBdr>
                </w:div>
              </w:divsChild>
            </w:div>
            <w:div w:id="550389971">
              <w:marLeft w:val="0"/>
              <w:marRight w:val="0"/>
              <w:marTop w:val="0"/>
              <w:marBottom w:val="0"/>
              <w:divBdr>
                <w:top w:val="none" w:sz="0" w:space="0" w:color="auto"/>
                <w:left w:val="none" w:sz="0" w:space="0" w:color="auto"/>
                <w:bottom w:val="none" w:sz="0" w:space="0" w:color="auto"/>
                <w:right w:val="none" w:sz="0" w:space="0" w:color="auto"/>
              </w:divBdr>
              <w:divsChild>
                <w:div w:id="1709798769">
                  <w:marLeft w:val="0"/>
                  <w:marRight w:val="0"/>
                  <w:marTop w:val="0"/>
                  <w:marBottom w:val="0"/>
                  <w:divBdr>
                    <w:top w:val="none" w:sz="0" w:space="0" w:color="auto"/>
                    <w:left w:val="none" w:sz="0" w:space="0" w:color="auto"/>
                    <w:bottom w:val="none" w:sz="0" w:space="0" w:color="auto"/>
                    <w:right w:val="none" w:sz="0" w:space="0" w:color="auto"/>
                  </w:divBdr>
                </w:div>
              </w:divsChild>
            </w:div>
            <w:div w:id="550504205">
              <w:marLeft w:val="0"/>
              <w:marRight w:val="0"/>
              <w:marTop w:val="0"/>
              <w:marBottom w:val="0"/>
              <w:divBdr>
                <w:top w:val="none" w:sz="0" w:space="0" w:color="auto"/>
                <w:left w:val="none" w:sz="0" w:space="0" w:color="auto"/>
                <w:bottom w:val="none" w:sz="0" w:space="0" w:color="auto"/>
                <w:right w:val="none" w:sz="0" w:space="0" w:color="auto"/>
              </w:divBdr>
              <w:divsChild>
                <w:div w:id="939988994">
                  <w:marLeft w:val="0"/>
                  <w:marRight w:val="0"/>
                  <w:marTop w:val="0"/>
                  <w:marBottom w:val="0"/>
                  <w:divBdr>
                    <w:top w:val="none" w:sz="0" w:space="0" w:color="auto"/>
                    <w:left w:val="none" w:sz="0" w:space="0" w:color="auto"/>
                    <w:bottom w:val="none" w:sz="0" w:space="0" w:color="auto"/>
                    <w:right w:val="none" w:sz="0" w:space="0" w:color="auto"/>
                  </w:divBdr>
                </w:div>
              </w:divsChild>
            </w:div>
            <w:div w:id="551306447">
              <w:marLeft w:val="0"/>
              <w:marRight w:val="0"/>
              <w:marTop w:val="0"/>
              <w:marBottom w:val="0"/>
              <w:divBdr>
                <w:top w:val="none" w:sz="0" w:space="0" w:color="auto"/>
                <w:left w:val="none" w:sz="0" w:space="0" w:color="auto"/>
                <w:bottom w:val="none" w:sz="0" w:space="0" w:color="auto"/>
                <w:right w:val="none" w:sz="0" w:space="0" w:color="auto"/>
              </w:divBdr>
              <w:divsChild>
                <w:div w:id="159542497">
                  <w:marLeft w:val="0"/>
                  <w:marRight w:val="0"/>
                  <w:marTop w:val="0"/>
                  <w:marBottom w:val="0"/>
                  <w:divBdr>
                    <w:top w:val="none" w:sz="0" w:space="0" w:color="auto"/>
                    <w:left w:val="none" w:sz="0" w:space="0" w:color="auto"/>
                    <w:bottom w:val="none" w:sz="0" w:space="0" w:color="auto"/>
                    <w:right w:val="none" w:sz="0" w:space="0" w:color="auto"/>
                  </w:divBdr>
                </w:div>
              </w:divsChild>
            </w:div>
            <w:div w:id="553005929">
              <w:marLeft w:val="0"/>
              <w:marRight w:val="0"/>
              <w:marTop w:val="0"/>
              <w:marBottom w:val="0"/>
              <w:divBdr>
                <w:top w:val="none" w:sz="0" w:space="0" w:color="auto"/>
                <w:left w:val="none" w:sz="0" w:space="0" w:color="auto"/>
                <w:bottom w:val="none" w:sz="0" w:space="0" w:color="auto"/>
                <w:right w:val="none" w:sz="0" w:space="0" w:color="auto"/>
              </w:divBdr>
              <w:divsChild>
                <w:div w:id="670987500">
                  <w:marLeft w:val="0"/>
                  <w:marRight w:val="0"/>
                  <w:marTop w:val="0"/>
                  <w:marBottom w:val="0"/>
                  <w:divBdr>
                    <w:top w:val="none" w:sz="0" w:space="0" w:color="auto"/>
                    <w:left w:val="none" w:sz="0" w:space="0" w:color="auto"/>
                    <w:bottom w:val="none" w:sz="0" w:space="0" w:color="auto"/>
                    <w:right w:val="none" w:sz="0" w:space="0" w:color="auto"/>
                  </w:divBdr>
                </w:div>
              </w:divsChild>
            </w:div>
            <w:div w:id="553545641">
              <w:marLeft w:val="0"/>
              <w:marRight w:val="0"/>
              <w:marTop w:val="300"/>
              <w:marBottom w:val="300"/>
              <w:divBdr>
                <w:top w:val="none" w:sz="0" w:space="0" w:color="auto"/>
                <w:left w:val="none" w:sz="0" w:space="0" w:color="auto"/>
                <w:bottom w:val="none" w:sz="0" w:space="0" w:color="auto"/>
                <w:right w:val="none" w:sz="0" w:space="0" w:color="auto"/>
              </w:divBdr>
            </w:div>
            <w:div w:id="553932880">
              <w:marLeft w:val="0"/>
              <w:marRight w:val="0"/>
              <w:marTop w:val="0"/>
              <w:marBottom w:val="0"/>
              <w:divBdr>
                <w:top w:val="none" w:sz="0" w:space="0" w:color="auto"/>
                <w:left w:val="none" w:sz="0" w:space="0" w:color="auto"/>
                <w:bottom w:val="none" w:sz="0" w:space="0" w:color="auto"/>
                <w:right w:val="none" w:sz="0" w:space="0" w:color="auto"/>
              </w:divBdr>
              <w:divsChild>
                <w:div w:id="442965635">
                  <w:marLeft w:val="0"/>
                  <w:marRight w:val="0"/>
                  <w:marTop w:val="0"/>
                  <w:marBottom w:val="0"/>
                  <w:divBdr>
                    <w:top w:val="none" w:sz="0" w:space="0" w:color="auto"/>
                    <w:left w:val="none" w:sz="0" w:space="0" w:color="auto"/>
                    <w:bottom w:val="none" w:sz="0" w:space="0" w:color="auto"/>
                    <w:right w:val="none" w:sz="0" w:space="0" w:color="auto"/>
                  </w:divBdr>
                </w:div>
              </w:divsChild>
            </w:div>
            <w:div w:id="554926052">
              <w:marLeft w:val="0"/>
              <w:marRight w:val="0"/>
              <w:marTop w:val="0"/>
              <w:marBottom w:val="0"/>
              <w:divBdr>
                <w:top w:val="none" w:sz="0" w:space="0" w:color="auto"/>
                <w:left w:val="none" w:sz="0" w:space="0" w:color="auto"/>
                <w:bottom w:val="none" w:sz="0" w:space="0" w:color="auto"/>
                <w:right w:val="none" w:sz="0" w:space="0" w:color="auto"/>
              </w:divBdr>
              <w:divsChild>
                <w:div w:id="669673867">
                  <w:marLeft w:val="0"/>
                  <w:marRight w:val="0"/>
                  <w:marTop w:val="0"/>
                  <w:marBottom w:val="0"/>
                  <w:divBdr>
                    <w:top w:val="none" w:sz="0" w:space="0" w:color="auto"/>
                    <w:left w:val="none" w:sz="0" w:space="0" w:color="auto"/>
                    <w:bottom w:val="none" w:sz="0" w:space="0" w:color="auto"/>
                    <w:right w:val="none" w:sz="0" w:space="0" w:color="auto"/>
                  </w:divBdr>
                </w:div>
              </w:divsChild>
            </w:div>
            <w:div w:id="554967699">
              <w:marLeft w:val="0"/>
              <w:marRight w:val="0"/>
              <w:marTop w:val="0"/>
              <w:marBottom w:val="0"/>
              <w:divBdr>
                <w:top w:val="none" w:sz="0" w:space="0" w:color="auto"/>
                <w:left w:val="none" w:sz="0" w:space="0" w:color="auto"/>
                <w:bottom w:val="none" w:sz="0" w:space="0" w:color="auto"/>
                <w:right w:val="none" w:sz="0" w:space="0" w:color="auto"/>
              </w:divBdr>
              <w:divsChild>
                <w:div w:id="659237982">
                  <w:marLeft w:val="0"/>
                  <w:marRight w:val="0"/>
                  <w:marTop w:val="0"/>
                  <w:marBottom w:val="0"/>
                  <w:divBdr>
                    <w:top w:val="none" w:sz="0" w:space="0" w:color="auto"/>
                    <w:left w:val="none" w:sz="0" w:space="0" w:color="auto"/>
                    <w:bottom w:val="none" w:sz="0" w:space="0" w:color="auto"/>
                    <w:right w:val="none" w:sz="0" w:space="0" w:color="auto"/>
                  </w:divBdr>
                </w:div>
              </w:divsChild>
            </w:div>
            <w:div w:id="555120892">
              <w:marLeft w:val="0"/>
              <w:marRight w:val="0"/>
              <w:marTop w:val="0"/>
              <w:marBottom w:val="0"/>
              <w:divBdr>
                <w:top w:val="none" w:sz="0" w:space="0" w:color="auto"/>
                <w:left w:val="none" w:sz="0" w:space="0" w:color="auto"/>
                <w:bottom w:val="none" w:sz="0" w:space="0" w:color="auto"/>
                <w:right w:val="none" w:sz="0" w:space="0" w:color="auto"/>
              </w:divBdr>
              <w:divsChild>
                <w:div w:id="351229011">
                  <w:marLeft w:val="0"/>
                  <w:marRight w:val="0"/>
                  <w:marTop w:val="0"/>
                  <w:marBottom w:val="0"/>
                  <w:divBdr>
                    <w:top w:val="none" w:sz="0" w:space="0" w:color="auto"/>
                    <w:left w:val="none" w:sz="0" w:space="0" w:color="auto"/>
                    <w:bottom w:val="none" w:sz="0" w:space="0" w:color="auto"/>
                    <w:right w:val="none" w:sz="0" w:space="0" w:color="auto"/>
                  </w:divBdr>
                </w:div>
              </w:divsChild>
            </w:div>
            <w:div w:id="555167309">
              <w:marLeft w:val="0"/>
              <w:marRight w:val="0"/>
              <w:marTop w:val="0"/>
              <w:marBottom w:val="0"/>
              <w:divBdr>
                <w:top w:val="none" w:sz="0" w:space="0" w:color="auto"/>
                <w:left w:val="none" w:sz="0" w:space="0" w:color="auto"/>
                <w:bottom w:val="none" w:sz="0" w:space="0" w:color="auto"/>
                <w:right w:val="none" w:sz="0" w:space="0" w:color="auto"/>
              </w:divBdr>
              <w:divsChild>
                <w:div w:id="1923753047">
                  <w:marLeft w:val="0"/>
                  <w:marRight w:val="0"/>
                  <w:marTop w:val="0"/>
                  <w:marBottom w:val="0"/>
                  <w:divBdr>
                    <w:top w:val="none" w:sz="0" w:space="0" w:color="auto"/>
                    <w:left w:val="none" w:sz="0" w:space="0" w:color="auto"/>
                    <w:bottom w:val="none" w:sz="0" w:space="0" w:color="auto"/>
                    <w:right w:val="none" w:sz="0" w:space="0" w:color="auto"/>
                  </w:divBdr>
                </w:div>
              </w:divsChild>
            </w:div>
            <w:div w:id="555237735">
              <w:marLeft w:val="0"/>
              <w:marRight w:val="0"/>
              <w:marTop w:val="0"/>
              <w:marBottom w:val="0"/>
              <w:divBdr>
                <w:top w:val="none" w:sz="0" w:space="0" w:color="auto"/>
                <w:left w:val="none" w:sz="0" w:space="0" w:color="auto"/>
                <w:bottom w:val="none" w:sz="0" w:space="0" w:color="auto"/>
                <w:right w:val="none" w:sz="0" w:space="0" w:color="auto"/>
              </w:divBdr>
              <w:divsChild>
                <w:div w:id="133300628">
                  <w:marLeft w:val="0"/>
                  <w:marRight w:val="0"/>
                  <w:marTop w:val="0"/>
                  <w:marBottom w:val="0"/>
                  <w:divBdr>
                    <w:top w:val="none" w:sz="0" w:space="0" w:color="auto"/>
                    <w:left w:val="none" w:sz="0" w:space="0" w:color="auto"/>
                    <w:bottom w:val="none" w:sz="0" w:space="0" w:color="auto"/>
                    <w:right w:val="none" w:sz="0" w:space="0" w:color="auto"/>
                  </w:divBdr>
                </w:div>
              </w:divsChild>
            </w:div>
            <w:div w:id="555816480">
              <w:marLeft w:val="0"/>
              <w:marRight w:val="0"/>
              <w:marTop w:val="300"/>
              <w:marBottom w:val="300"/>
              <w:divBdr>
                <w:top w:val="none" w:sz="0" w:space="0" w:color="auto"/>
                <w:left w:val="none" w:sz="0" w:space="0" w:color="auto"/>
                <w:bottom w:val="none" w:sz="0" w:space="0" w:color="auto"/>
                <w:right w:val="none" w:sz="0" w:space="0" w:color="auto"/>
              </w:divBdr>
            </w:div>
            <w:div w:id="555820541">
              <w:marLeft w:val="0"/>
              <w:marRight w:val="0"/>
              <w:marTop w:val="0"/>
              <w:marBottom w:val="0"/>
              <w:divBdr>
                <w:top w:val="none" w:sz="0" w:space="0" w:color="auto"/>
                <w:left w:val="none" w:sz="0" w:space="0" w:color="auto"/>
                <w:bottom w:val="none" w:sz="0" w:space="0" w:color="auto"/>
                <w:right w:val="none" w:sz="0" w:space="0" w:color="auto"/>
              </w:divBdr>
              <w:divsChild>
                <w:div w:id="491917691">
                  <w:marLeft w:val="0"/>
                  <w:marRight w:val="0"/>
                  <w:marTop w:val="0"/>
                  <w:marBottom w:val="0"/>
                  <w:divBdr>
                    <w:top w:val="none" w:sz="0" w:space="0" w:color="auto"/>
                    <w:left w:val="none" w:sz="0" w:space="0" w:color="auto"/>
                    <w:bottom w:val="none" w:sz="0" w:space="0" w:color="auto"/>
                    <w:right w:val="none" w:sz="0" w:space="0" w:color="auto"/>
                  </w:divBdr>
                </w:div>
              </w:divsChild>
            </w:div>
            <w:div w:id="556010619">
              <w:marLeft w:val="0"/>
              <w:marRight w:val="0"/>
              <w:marTop w:val="0"/>
              <w:marBottom w:val="0"/>
              <w:divBdr>
                <w:top w:val="none" w:sz="0" w:space="0" w:color="auto"/>
                <w:left w:val="none" w:sz="0" w:space="0" w:color="auto"/>
                <w:bottom w:val="none" w:sz="0" w:space="0" w:color="auto"/>
                <w:right w:val="none" w:sz="0" w:space="0" w:color="auto"/>
              </w:divBdr>
              <w:divsChild>
                <w:div w:id="1123226776">
                  <w:marLeft w:val="0"/>
                  <w:marRight w:val="0"/>
                  <w:marTop w:val="0"/>
                  <w:marBottom w:val="0"/>
                  <w:divBdr>
                    <w:top w:val="none" w:sz="0" w:space="0" w:color="auto"/>
                    <w:left w:val="none" w:sz="0" w:space="0" w:color="auto"/>
                    <w:bottom w:val="none" w:sz="0" w:space="0" w:color="auto"/>
                    <w:right w:val="none" w:sz="0" w:space="0" w:color="auto"/>
                  </w:divBdr>
                </w:div>
              </w:divsChild>
            </w:div>
            <w:div w:id="556206454">
              <w:marLeft w:val="0"/>
              <w:marRight w:val="0"/>
              <w:marTop w:val="0"/>
              <w:marBottom w:val="0"/>
              <w:divBdr>
                <w:top w:val="none" w:sz="0" w:space="0" w:color="auto"/>
                <w:left w:val="none" w:sz="0" w:space="0" w:color="auto"/>
                <w:bottom w:val="none" w:sz="0" w:space="0" w:color="auto"/>
                <w:right w:val="none" w:sz="0" w:space="0" w:color="auto"/>
              </w:divBdr>
              <w:divsChild>
                <w:div w:id="826094189">
                  <w:marLeft w:val="0"/>
                  <w:marRight w:val="0"/>
                  <w:marTop w:val="0"/>
                  <w:marBottom w:val="0"/>
                  <w:divBdr>
                    <w:top w:val="none" w:sz="0" w:space="0" w:color="auto"/>
                    <w:left w:val="none" w:sz="0" w:space="0" w:color="auto"/>
                    <w:bottom w:val="none" w:sz="0" w:space="0" w:color="auto"/>
                    <w:right w:val="none" w:sz="0" w:space="0" w:color="auto"/>
                  </w:divBdr>
                </w:div>
              </w:divsChild>
            </w:div>
            <w:div w:id="557667679">
              <w:marLeft w:val="0"/>
              <w:marRight w:val="0"/>
              <w:marTop w:val="0"/>
              <w:marBottom w:val="0"/>
              <w:divBdr>
                <w:top w:val="none" w:sz="0" w:space="0" w:color="auto"/>
                <w:left w:val="none" w:sz="0" w:space="0" w:color="auto"/>
                <w:bottom w:val="none" w:sz="0" w:space="0" w:color="auto"/>
                <w:right w:val="none" w:sz="0" w:space="0" w:color="auto"/>
              </w:divBdr>
              <w:divsChild>
                <w:div w:id="965239779">
                  <w:marLeft w:val="0"/>
                  <w:marRight w:val="0"/>
                  <w:marTop w:val="0"/>
                  <w:marBottom w:val="0"/>
                  <w:divBdr>
                    <w:top w:val="none" w:sz="0" w:space="0" w:color="auto"/>
                    <w:left w:val="none" w:sz="0" w:space="0" w:color="auto"/>
                    <w:bottom w:val="none" w:sz="0" w:space="0" w:color="auto"/>
                    <w:right w:val="none" w:sz="0" w:space="0" w:color="auto"/>
                  </w:divBdr>
                </w:div>
              </w:divsChild>
            </w:div>
            <w:div w:id="558128008">
              <w:marLeft w:val="0"/>
              <w:marRight w:val="0"/>
              <w:marTop w:val="0"/>
              <w:marBottom w:val="0"/>
              <w:divBdr>
                <w:top w:val="none" w:sz="0" w:space="0" w:color="auto"/>
                <w:left w:val="none" w:sz="0" w:space="0" w:color="auto"/>
                <w:bottom w:val="none" w:sz="0" w:space="0" w:color="auto"/>
                <w:right w:val="none" w:sz="0" w:space="0" w:color="auto"/>
              </w:divBdr>
              <w:divsChild>
                <w:div w:id="693648906">
                  <w:marLeft w:val="0"/>
                  <w:marRight w:val="0"/>
                  <w:marTop w:val="0"/>
                  <w:marBottom w:val="0"/>
                  <w:divBdr>
                    <w:top w:val="none" w:sz="0" w:space="0" w:color="auto"/>
                    <w:left w:val="none" w:sz="0" w:space="0" w:color="auto"/>
                    <w:bottom w:val="none" w:sz="0" w:space="0" w:color="auto"/>
                    <w:right w:val="none" w:sz="0" w:space="0" w:color="auto"/>
                  </w:divBdr>
                </w:div>
              </w:divsChild>
            </w:div>
            <w:div w:id="560098728">
              <w:marLeft w:val="0"/>
              <w:marRight w:val="0"/>
              <w:marTop w:val="0"/>
              <w:marBottom w:val="0"/>
              <w:divBdr>
                <w:top w:val="none" w:sz="0" w:space="0" w:color="auto"/>
                <w:left w:val="none" w:sz="0" w:space="0" w:color="auto"/>
                <w:bottom w:val="none" w:sz="0" w:space="0" w:color="auto"/>
                <w:right w:val="none" w:sz="0" w:space="0" w:color="auto"/>
              </w:divBdr>
              <w:divsChild>
                <w:div w:id="1057822402">
                  <w:marLeft w:val="0"/>
                  <w:marRight w:val="0"/>
                  <w:marTop w:val="0"/>
                  <w:marBottom w:val="0"/>
                  <w:divBdr>
                    <w:top w:val="none" w:sz="0" w:space="0" w:color="auto"/>
                    <w:left w:val="none" w:sz="0" w:space="0" w:color="auto"/>
                    <w:bottom w:val="none" w:sz="0" w:space="0" w:color="auto"/>
                    <w:right w:val="none" w:sz="0" w:space="0" w:color="auto"/>
                  </w:divBdr>
                </w:div>
              </w:divsChild>
            </w:div>
            <w:div w:id="569773198">
              <w:marLeft w:val="0"/>
              <w:marRight w:val="0"/>
              <w:marTop w:val="300"/>
              <w:marBottom w:val="300"/>
              <w:divBdr>
                <w:top w:val="none" w:sz="0" w:space="0" w:color="auto"/>
                <w:left w:val="none" w:sz="0" w:space="0" w:color="auto"/>
                <w:bottom w:val="none" w:sz="0" w:space="0" w:color="auto"/>
                <w:right w:val="none" w:sz="0" w:space="0" w:color="auto"/>
              </w:divBdr>
            </w:div>
            <w:div w:id="573320284">
              <w:marLeft w:val="0"/>
              <w:marRight w:val="0"/>
              <w:marTop w:val="300"/>
              <w:marBottom w:val="300"/>
              <w:divBdr>
                <w:top w:val="none" w:sz="0" w:space="0" w:color="auto"/>
                <w:left w:val="none" w:sz="0" w:space="0" w:color="auto"/>
                <w:bottom w:val="none" w:sz="0" w:space="0" w:color="auto"/>
                <w:right w:val="none" w:sz="0" w:space="0" w:color="auto"/>
              </w:divBdr>
            </w:div>
            <w:div w:id="574365355">
              <w:marLeft w:val="0"/>
              <w:marRight w:val="0"/>
              <w:marTop w:val="0"/>
              <w:marBottom w:val="0"/>
              <w:divBdr>
                <w:top w:val="none" w:sz="0" w:space="0" w:color="auto"/>
                <w:left w:val="none" w:sz="0" w:space="0" w:color="auto"/>
                <w:bottom w:val="none" w:sz="0" w:space="0" w:color="auto"/>
                <w:right w:val="none" w:sz="0" w:space="0" w:color="auto"/>
              </w:divBdr>
              <w:divsChild>
                <w:div w:id="2031568655">
                  <w:marLeft w:val="0"/>
                  <w:marRight w:val="0"/>
                  <w:marTop w:val="0"/>
                  <w:marBottom w:val="0"/>
                  <w:divBdr>
                    <w:top w:val="none" w:sz="0" w:space="0" w:color="auto"/>
                    <w:left w:val="none" w:sz="0" w:space="0" w:color="auto"/>
                    <w:bottom w:val="none" w:sz="0" w:space="0" w:color="auto"/>
                    <w:right w:val="none" w:sz="0" w:space="0" w:color="auto"/>
                  </w:divBdr>
                </w:div>
              </w:divsChild>
            </w:div>
            <w:div w:id="574583568">
              <w:marLeft w:val="0"/>
              <w:marRight w:val="0"/>
              <w:marTop w:val="0"/>
              <w:marBottom w:val="0"/>
              <w:divBdr>
                <w:top w:val="none" w:sz="0" w:space="0" w:color="auto"/>
                <w:left w:val="none" w:sz="0" w:space="0" w:color="auto"/>
                <w:bottom w:val="none" w:sz="0" w:space="0" w:color="auto"/>
                <w:right w:val="none" w:sz="0" w:space="0" w:color="auto"/>
              </w:divBdr>
              <w:divsChild>
                <w:div w:id="1101337312">
                  <w:marLeft w:val="0"/>
                  <w:marRight w:val="0"/>
                  <w:marTop w:val="0"/>
                  <w:marBottom w:val="0"/>
                  <w:divBdr>
                    <w:top w:val="none" w:sz="0" w:space="0" w:color="auto"/>
                    <w:left w:val="none" w:sz="0" w:space="0" w:color="auto"/>
                    <w:bottom w:val="none" w:sz="0" w:space="0" w:color="auto"/>
                    <w:right w:val="none" w:sz="0" w:space="0" w:color="auto"/>
                  </w:divBdr>
                </w:div>
              </w:divsChild>
            </w:div>
            <w:div w:id="575554526">
              <w:marLeft w:val="0"/>
              <w:marRight w:val="0"/>
              <w:marTop w:val="0"/>
              <w:marBottom w:val="0"/>
              <w:divBdr>
                <w:top w:val="none" w:sz="0" w:space="0" w:color="auto"/>
                <w:left w:val="none" w:sz="0" w:space="0" w:color="auto"/>
                <w:bottom w:val="none" w:sz="0" w:space="0" w:color="auto"/>
                <w:right w:val="none" w:sz="0" w:space="0" w:color="auto"/>
              </w:divBdr>
              <w:divsChild>
                <w:div w:id="670302999">
                  <w:marLeft w:val="0"/>
                  <w:marRight w:val="0"/>
                  <w:marTop w:val="0"/>
                  <w:marBottom w:val="0"/>
                  <w:divBdr>
                    <w:top w:val="none" w:sz="0" w:space="0" w:color="auto"/>
                    <w:left w:val="none" w:sz="0" w:space="0" w:color="auto"/>
                    <w:bottom w:val="none" w:sz="0" w:space="0" w:color="auto"/>
                    <w:right w:val="none" w:sz="0" w:space="0" w:color="auto"/>
                  </w:divBdr>
                </w:div>
              </w:divsChild>
            </w:div>
            <w:div w:id="575748997">
              <w:marLeft w:val="0"/>
              <w:marRight w:val="0"/>
              <w:marTop w:val="0"/>
              <w:marBottom w:val="0"/>
              <w:divBdr>
                <w:top w:val="none" w:sz="0" w:space="0" w:color="auto"/>
                <w:left w:val="none" w:sz="0" w:space="0" w:color="auto"/>
                <w:bottom w:val="none" w:sz="0" w:space="0" w:color="auto"/>
                <w:right w:val="none" w:sz="0" w:space="0" w:color="auto"/>
              </w:divBdr>
              <w:divsChild>
                <w:div w:id="1468402443">
                  <w:marLeft w:val="0"/>
                  <w:marRight w:val="0"/>
                  <w:marTop w:val="0"/>
                  <w:marBottom w:val="0"/>
                  <w:divBdr>
                    <w:top w:val="none" w:sz="0" w:space="0" w:color="auto"/>
                    <w:left w:val="none" w:sz="0" w:space="0" w:color="auto"/>
                    <w:bottom w:val="none" w:sz="0" w:space="0" w:color="auto"/>
                    <w:right w:val="none" w:sz="0" w:space="0" w:color="auto"/>
                  </w:divBdr>
                </w:div>
              </w:divsChild>
            </w:div>
            <w:div w:id="576016091">
              <w:marLeft w:val="0"/>
              <w:marRight w:val="0"/>
              <w:marTop w:val="300"/>
              <w:marBottom w:val="300"/>
              <w:divBdr>
                <w:top w:val="none" w:sz="0" w:space="0" w:color="auto"/>
                <w:left w:val="none" w:sz="0" w:space="0" w:color="auto"/>
                <w:bottom w:val="none" w:sz="0" w:space="0" w:color="auto"/>
                <w:right w:val="none" w:sz="0" w:space="0" w:color="auto"/>
              </w:divBdr>
            </w:div>
            <w:div w:id="578440249">
              <w:marLeft w:val="0"/>
              <w:marRight w:val="0"/>
              <w:marTop w:val="300"/>
              <w:marBottom w:val="300"/>
              <w:divBdr>
                <w:top w:val="none" w:sz="0" w:space="0" w:color="auto"/>
                <w:left w:val="none" w:sz="0" w:space="0" w:color="auto"/>
                <w:bottom w:val="none" w:sz="0" w:space="0" w:color="auto"/>
                <w:right w:val="none" w:sz="0" w:space="0" w:color="auto"/>
              </w:divBdr>
            </w:div>
            <w:div w:id="579757050">
              <w:marLeft w:val="0"/>
              <w:marRight w:val="0"/>
              <w:marTop w:val="0"/>
              <w:marBottom w:val="0"/>
              <w:divBdr>
                <w:top w:val="none" w:sz="0" w:space="0" w:color="auto"/>
                <w:left w:val="none" w:sz="0" w:space="0" w:color="auto"/>
                <w:bottom w:val="none" w:sz="0" w:space="0" w:color="auto"/>
                <w:right w:val="none" w:sz="0" w:space="0" w:color="auto"/>
              </w:divBdr>
              <w:divsChild>
                <w:div w:id="1526215855">
                  <w:marLeft w:val="0"/>
                  <w:marRight w:val="0"/>
                  <w:marTop w:val="0"/>
                  <w:marBottom w:val="0"/>
                  <w:divBdr>
                    <w:top w:val="none" w:sz="0" w:space="0" w:color="auto"/>
                    <w:left w:val="none" w:sz="0" w:space="0" w:color="auto"/>
                    <w:bottom w:val="none" w:sz="0" w:space="0" w:color="auto"/>
                    <w:right w:val="none" w:sz="0" w:space="0" w:color="auto"/>
                  </w:divBdr>
                </w:div>
              </w:divsChild>
            </w:div>
            <w:div w:id="579797745">
              <w:marLeft w:val="0"/>
              <w:marRight w:val="0"/>
              <w:marTop w:val="0"/>
              <w:marBottom w:val="0"/>
              <w:divBdr>
                <w:top w:val="none" w:sz="0" w:space="0" w:color="auto"/>
                <w:left w:val="none" w:sz="0" w:space="0" w:color="auto"/>
                <w:bottom w:val="none" w:sz="0" w:space="0" w:color="auto"/>
                <w:right w:val="none" w:sz="0" w:space="0" w:color="auto"/>
              </w:divBdr>
              <w:divsChild>
                <w:div w:id="2125877138">
                  <w:marLeft w:val="0"/>
                  <w:marRight w:val="0"/>
                  <w:marTop w:val="0"/>
                  <w:marBottom w:val="0"/>
                  <w:divBdr>
                    <w:top w:val="none" w:sz="0" w:space="0" w:color="auto"/>
                    <w:left w:val="none" w:sz="0" w:space="0" w:color="auto"/>
                    <w:bottom w:val="none" w:sz="0" w:space="0" w:color="auto"/>
                    <w:right w:val="none" w:sz="0" w:space="0" w:color="auto"/>
                  </w:divBdr>
                </w:div>
              </w:divsChild>
            </w:div>
            <w:div w:id="582766144">
              <w:marLeft w:val="0"/>
              <w:marRight w:val="0"/>
              <w:marTop w:val="0"/>
              <w:marBottom w:val="0"/>
              <w:divBdr>
                <w:top w:val="none" w:sz="0" w:space="0" w:color="auto"/>
                <w:left w:val="none" w:sz="0" w:space="0" w:color="auto"/>
                <w:bottom w:val="none" w:sz="0" w:space="0" w:color="auto"/>
                <w:right w:val="none" w:sz="0" w:space="0" w:color="auto"/>
              </w:divBdr>
              <w:divsChild>
                <w:div w:id="1761756009">
                  <w:marLeft w:val="0"/>
                  <w:marRight w:val="0"/>
                  <w:marTop w:val="0"/>
                  <w:marBottom w:val="0"/>
                  <w:divBdr>
                    <w:top w:val="none" w:sz="0" w:space="0" w:color="auto"/>
                    <w:left w:val="none" w:sz="0" w:space="0" w:color="auto"/>
                    <w:bottom w:val="none" w:sz="0" w:space="0" w:color="auto"/>
                    <w:right w:val="none" w:sz="0" w:space="0" w:color="auto"/>
                  </w:divBdr>
                </w:div>
              </w:divsChild>
            </w:div>
            <w:div w:id="585042587">
              <w:marLeft w:val="0"/>
              <w:marRight w:val="0"/>
              <w:marTop w:val="0"/>
              <w:marBottom w:val="0"/>
              <w:divBdr>
                <w:top w:val="none" w:sz="0" w:space="0" w:color="auto"/>
                <w:left w:val="none" w:sz="0" w:space="0" w:color="auto"/>
                <w:bottom w:val="none" w:sz="0" w:space="0" w:color="auto"/>
                <w:right w:val="none" w:sz="0" w:space="0" w:color="auto"/>
              </w:divBdr>
              <w:divsChild>
                <w:div w:id="517502992">
                  <w:marLeft w:val="0"/>
                  <w:marRight w:val="0"/>
                  <w:marTop w:val="0"/>
                  <w:marBottom w:val="0"/>
                  <w:divBdr>
                    <w:top w:val="none" w:sz="0" w:space="0" w:color="auto"/>
                    <w:left w:val="none" w:sz="0" w:space="0" w:color="auto"/>
                    <w:bottom w:val="none" w:sz="0" w:space="0" w:color="auto"/>
                    <w:right w:val="none" w:sz="0" w:space="0" w:color="auto"/>
                  </w:divBdr>
                </w:div>
              </w:divsChild>
            </w:div>
            <w:div w:id="585773798">
              <w:marLeft w:val="0"/>
              <w:marRight w:val="0"/>
              <w:marTop w:val="300"/>
              <w:marBottom w:val="300"/>
              <w:divBdr>
                <w:top w:val="none" w:sz="0" w:space="0" w:color="auto"/>
                <w:left w:val="none" w:sz="0" w:space="0" w:color="auto"/>
                <w:bottom w:val="none" w:sz="0" w:space="0" w:color="auto"/>
                <w:right w:val="none" w:sz="0" w:space="0" w:color="auto"/>
              </w:divBdr>
            </w:div>
            <w:div w:id="587277427">
              <w:marLeft w:val="0"/>
              <w:marRight w:val="0"/>
              <w:marTop w:val="0"/>
              <w:marBottom w:val="0"/>
              <w:divBdr>
                <w:top w:val="none" w:sz="0" w:space="0" w:color="auto"/>
                <w:left w:val="none" w:sz="0" w:space="0" w:color="auto"/>
                <w:bottom w:val="none" w:sz="0" w:space="0" w:color="auto"/>
                <w:right w:val="none" w:sz="0" w:space="0" w:color="auto"/>
              </w:divBdr>
              <w:divsChild>
                <w:div w:id="828056563">
                  <w:marLeft w:val="0"/>
                  <w:marRight w:val="0"/>
                  <w:marTop w:val="0"/>
                  <w:marBottom w:val="0"/>
                  <w:divBdr>
                    <w:top w:val="none" w:sz="0" w:space="0" w:color="auto"/>
                    <w:left w:val="none" w:sz="0" w:space="0" w:color="auto"/>
                    <w:bottom w:val="none" w:sz="0" w:space="0" w:color="auto"/>
                    <w:right w:val="none" w:sz="0" w:space="0" w:color="auto"/>
                  </w:divBdr>
                </w:div>
              </w:divsChild>
            </w:div>
            <w:div w:id="588582353">
              <w:marLeft w:val="0"/>
              <w:marRight w:val="0"/>
              <w:marTop w:val="0"/>
              <w:marBottom w:val="0"/>
              <w:divBdr>
                <w:top w:val="none" w:sz="0" w:space="0" w:color="auto"/>
                <w:left w:val="none" w:sz="0" w:space="0" w:color="auto"/>
                <w:bottom w:val="none" w:sz="0" w:space="0" w:color="auto"/>
                <w:right w:val="none" w:sz="0" w:space="0" w:color="auto"/>
              </w:divBdr>
              <w:divsChild>
                <w:div w:id="796685144">
                  <w:marLeft w:val="0"/>
                  <w:marRight w:val="0"/>
                  <w:marTop w:val="0"/>
                  <w:marBottom w:val="0"/>
                  <w:divBdr>
                    <w:top w:val="none" w:sz="0" w:space="0" w:color="auto"/>
                    <w:left w:val="none" w:sz="0" w:space="0" w:color="auto"/>
                    <w:bottom w:val="none" w:sz="0" w:space="0" w:color="auto"/>
                    <w:right w:val="none" w:sz="0" w:space="0" w:color="auto"/>
                  </w:divBdr>
                </w:div>
              </w:divsChild>
            </w:div>
            <w:div w:id="589050805">
              <w:marLeft w:val="0"/>
              <w:marRight w:val="0"/>
              <w:marTop w:val="0"/>
              <w:marBottom w:val="0"/>
              <w:divBdr>
                <w:top w:val="none" w:sz="0" w:space="0" w:color="auto"/>
                <w:left w:val="none" w:sz="0" w:space="0" w:color="auto"/>
                <w:bottom w:val="none" w:sz="0" w:space="0" w:color="auto"/>
                <w:right w:val="none" w:sz="0" w:space="0" w:color="auto"/>
              </w:divBdr>
              <w:divsChild>
                <w:div w:id="1729186599">
                  <w:marLeft w:val="0"/>
                  <w:marRight w:val="0"/>
                  <w:marTop w:val="0"/>
                  <w:marBottom w:val="0"/>
                  <w:divBdr>
                    <w:top w:val="none" w:sz="0" w:space="0" w:color="auto"/>
                    <w:left w:val="none" w:sz="0" w:space="0" w:color="auto"/>
                    <w:bottom w:val="none" w:sz="0" w:space="0" w:color="auto"/>
                    <w:right w:val="none" w:sz="0" w:space="0" w:color="auto"/>
                  </w:divBdr>
                </w:div>
              </w:divsChild>
            </w:div>
            <w:div w:id="589585452">
              <w:marLeft w:val="0"/>
              <w:marRight w:val="0"/>
              <w:marTop w:val="300"/>
              <w:marBottom w:val="300"/>
              <w:divBdr>
                <w:top w:val="none" w:sz="0" w:space="0" w:color="auto"/>
                <w:left w:val="none" w:sz="0" w:space="0" w:color="auto"/>
                <w:bottom w:val="none" w:sz="0" w:space="0" w:color="auto"/>
                <w:right w:val="none" w:sz="0" w:space="0" w:color="auto"/>
              </w:divBdr>
            </w:div>
            <w:div w:id="591859877">
              <w:marLeft w:val="0"/>
              <w:marRight w:val="0"/>
              <w:marTop w:val="0"/>
              <w:marBottom w:val="0"/>
              <w:divBdr>
                <w:top w:val="none" w:sz="0" w:space="0" w:color="auto"/>
                <w:left w:val="none" w:sz="0" w:space="0" w:color="auto"/>
                <w:bottom w:val="none" w:sz="0" w:space="0" w:color="auto"/>
                <w:right w:val="none" w:sz="0" w:space="0" w:color="auto"/>
              </w:divBdr>
              <w:divsChild>
                <w:div w:id="1830972761">
                  <w:marLeft w:val="0"/>
                  <w:marRight w:val="0"/>
                  <w:marTop w:val="0"/>
                  <w:marBottom w:val="0"/>
                  <w:divBdr>
                    <w:top w:val="none" w:sz="0" w:space="0" w:color="auto"/>
                    <w:left w:val="none" w:sz="0" w:space="0" w:color="auto"/>
                    <w:bottom w:val="none" w:sz="0" w:space="0" w:color="auto"/>
                    <w:right w:val="none" w:sz="0" w:space="0" w:color="auto"/>
                  </w:divBdr>
                </w:div>
              </w:divsChild>
            </w:div>
            <w:div w:id="591860666">
              <w:marLeft w:val="0"/>
              <w:marRight w:val="0"/>
              <w:marTop w:val="0"/>
              <w:marBottom w:val="0"/>
              <w:divBdr>
                <w:top w:val="none" w:sz="0" w:space="0" w:color="auto"/>
                <w:left w:val="none" w:sz="0" w:space="0" w:color="auto"/>
                <w:bottom w:val="none" w:sz="0" w:space="0" w:color="auto"/>
                <w:right w:val="none" w:sz="0" w:space="0" w:color="auto"/>
              </w:divBdr>
              <w:divsChild>
                <w:div w:id="1447891019">
                  <w:marLeft w:val="0"/>
                  <w:marRight w:val="0"/>
                  <w:marTop w:val="0"/>
                  <w:marBottom w:val="0"/>
                  <w:divBdr>
                    <w:top w:val="none" w:sz="0" w:space="0" w:color="auto"/>
                    <w:left w:val="none" w:sz="0" w:space="0" w:color="auto"/>
                    <w:bottom w:val="none" w:sz="0" w:space="0" w:color="auto"/>
                    <w:right w:val="none" w:sz="0" w:space="0" w:color="auto"/>
                  </w:divBdr>
                </w:div>
              </w:divsChild>
            </w:div>
            <w:div w:id="592325196">
              <w:marLeft w:val="0"/>
              <w:marRight w:val="0"/>
              <w:marTop w:val="300"/>
              <w:marBottom w:val="300"/>
              <w:divBdr>
                <w:top w:val="none" w:sz="0" w:space="0" w:color="auto"/>
                <w:left w:val="none" w:sz="0" w:space="0" w:color="auto"/>
                <w:bottom w:val="none" w:sz="0" w:space="0" w:color="auto"/>
                <w:right w:val="none" w:sz="0" w:space="0" w:color="auto"/>
              </w:divBdr>
            </w:div>
            <w:div w:id="593906532">
              <w:marLeft w:val="0"/>
              <w:marRight w:val="0"/>
              <w:marTop w:val="0"/>
              <w:marBottom w:val="0"/>
              <w:divBdr>
                <w:top w:val="none" w:sz="0" w:space="0" w:color="auto"/>
                <w:left w:val="none" w:sz="0" w:space="0" w:color="auto"/>
                <w:bottom w:val="none" w:sz="0" w:space="0" w:color="auto"/>
                <w:right w:val="none" w:sz="0" w:space="0" w:color="auto"/>
              </w:divBdr>
              <w:divsChild>
                <w:div w:id="550993790">
                  <w:marLeft w:val="0"/>
                  <w:marRight w:val="0"/>
                  <w:marTop w:val="0"/>
                  <w:marBottom w:val="0"/>
                  <w:divBdr>
                    <w:top w:val="none" w:sz="0" w:space="0" w:color="auto"/>
                    <w:left w:val="none" w:sz="0" w:space="0" w:color="auto"/>
                    <w:bottom w:val="none" w:sz="0" w:space="0" w:color="auto"/>
                    <w:right w:val="none" w:sz="0" w:space="0" w:color="auto"/>
                  </w:divBdr>
                </w:div>
              </w:divsChild>
            </w:div>
            <w:div w:id="594286374">
              <w:marLeft w:val="0"/>
              <w:marRight w:val="0"/>
              <w:marTop w:val="0"/>
              <w:marBottom w:val="0"/>
              <w:divBdr>
                <w:top w:val="none" w:sz="0" w:space="0" w:color="auto"/>
                <w:left w:val="none" w:sz="0" w:space="0" w:color="auto"/>
                <w:bottom w:val="none" w:sz="0" w:space="0" w:color="auto"/>
                <w:right w:val="none" w:sz="0" w:space="0" w:color="auto"/>
              </w:divBdr>
              <w:divsChild>
                <w:div w:id="1278637839">
                  <w:marLeft w:val="0"/>
                  <w:marRight w:val="0"/>
                  <w:marTop w:val="0"/>
                  <w:marBottom w:val="0"/>
                  <w:divBdr>
                    <w:top w:val="none" w:sz="0" w:space="0" w:color="auto"/>
                    <w:left w:val="none" w:sz="0" w:space="0" w:color="auto"/>
                    <w:bottom w:val="none" w:sz="0" w:space="0" w:color="auto"/>
                    <w:right w:val="none" w:sz="0" w:space="0" w:color="auto"/>
                  </w:divBdr>
                </w:div>
              </w:divsChild>
            </w:div>
            <w:div w:id="595138627">
              <w:marLeft w:val="0"/>
              <w:marRight w:val="0"/>
              <w:marTop w:val="0"/>
              <w:marBottom w:val="0"/>
              <w:divBdr>
                <w:top w:val="none" w:sz="0" w:space="0" w:color="auto"/>
                <w:left w:val="none" w:sz="0" w:space="0" w:color="auto"/>
                <w:bottom w:val="none" w:sz="0" w:space="0" w:color="auto"/>
                <w:right w:val="none" w:sz="0" w:space="0" w:color="auto"/>
              </w:divBdr>
              <w:divsChild>
                <w:div w:id="979188060">
                  <w:marLeft w:val="0"/>
                  <w:marRight w:val="0"/>
                  <w:marTop w:val="0"/>
                  <w:marBottom w:val="0"/>
                  <w:divBdr>
                    <w:top w:val="none" w:sz="0" w:space="0" w:color="auto"/>
                    <w:left w:val="none" w:sz="0" w:space="0" w:color="auto"/>
                    <w:bottom w:val="none" w:sz="0" w:space="0" w:color="auto"/>
                    <w:right w:val="none" w:sz="0" w:space="0" w:color="auto"/>
                  </w:divBdr>
                </w:div>
              </w:divsChild>
            </w:div>
            <w:div w:id="595140473">
              <w:marLeft w:val="0"/>
              <w:marRight w:val="0"/>
              <w:marTop w:val="0"/>
              <w:marBottom w:val="0"/>
              <w:divBdr>
                <w:top w:val="none" w:sz="0" w:space="0" w:color="auto"/>
                <w:left w:val="none" w:sz="0" w:space="0" w:color="auto"/>
                <w:bottom w:val="none" w:sz="0" w:space="0" w:color="auto"/>
                <w:right w:val="none" w:sz="0" w:space="0" w:color="auto"/>
              </w:divBdr>
              <w:divsChild>
                <w:div w:id="144129573">
                  <w:marLeft w:val="0"/>
                  <w:marRight w:val="0"/>
                  <w:marTop w:val="0"/>
                  <w:marBottom w:val="0"/>
                  <w:divBdr>
                    <w:top w:val="none" w:sz="0" w:space="0" w:color="auto"/>
                    <w:left w:val="none" w:sz="0" w:space="0" w:color="auto"/>
                    <w:bottom w:val="none" w:sz="0" w:space="0" w:color="auto"/>
                    <w:right w:val="none" w:sz="0" w:space="0" w:color="auto"/>
                  </w:divBdr>
                </w:div>
              </w:divsChild>
            </w:div>
            <w:div w:id="595283737">
              <w:marLeft w:val="0"/>
              <w:marRight w:val="0"/>
              <w:marTop w:val="0"/>
              <w:marBottom w:val="0"/>
              <w:divBdr>
                <w:top w:val="none" w:sz="0" w:space="0" w:color="auto"/>
                <w:left w:val="none" w:sz="0" w:space="0" w:color="auto"/>
                <w:bottom w:val="none" w:sz="0" w:space="0" w:color="auto"/>
                <w:right w:val="none" w:sz="0" w:space="0" w:color="auto"/>
              </w:divBdr>
              <w:divsChild>
                <w:div w:id="421297362">
                  <w:marLeft w:val="0"/>
                  <w:marRight w:val="0"/>
                  <w:marTop w:val="0"/>
                  <w:marBottom w:val="0"/>
                  <w:divBdr>
                    <w:top w:val="none" w:sz="0" w:space="0" w:color="auto"/>
                    <w:left w:val="none" w:sz="0" w:space="0" w:color="auto"/>
                    <w:bottom w:val="none" w:sz="0" w:space="0" w:color="auto"/>
                    <w:right w:val="none" w:sz="0" w:space="0" w:color="auto"/>
                  </w:divBdr>
                </w:div>
              </w:divsChild>
            </w:div>
            <w:div w:id="595672807">
              <w:marLeft w:val="0"/>
              <w:marRight w:val="0"/>
              <w:marTop w:val="0"/>
              <w:marBottom w:val="0"/>
              <w:divBdr>
                <w:top w:val="none" w:sz="0" w:space="0" w:color="auto"/>
                <w:left w:val="none" w:sz="0" w:space="0" w:color="auto"/>
                <w:bottom w:val="none" w:sz="0" w:space="0" w:color="auto"/>
                <w:right w:val="none" w:sz="0" w:space="0" w:color="auto"/>
              </w:divBdr>
              <w:divsChild>
                <w:div w:id="762801164">
                  <w:marLeft w:val="0"/>
                  <w:marRight w:val="0"/>
                  <w:marTop w:val="0"/>
                  <w:marBottom w:val="0"/>
                  <w:divBdr>
                    <w:top w:val="none" w:sz="0" w:space="0" w:color="auto"/>
                    <w:left w:val="none" w:sz="0" w:space="0" w:color="auto"/>
                    <w:bottom w:val="none" w:sz="0" w:space="0" w:color="auto"/>
                    <w:right w:val="none" w:sz="0" w:space="0" w:color="auto"/>
                  </w:divBdr>
                </w:div>
              </w:divsChild>
            </w:div>
            <w:div w:id="597106056">
              <w:marLeft w:val="0"/>
              <w:marRight w:val="0"/>
              <w:marTop w:val="0"/>
              <w:marBottom w:val="0"/>
              <w:divBdr>
                <w:top w:val="none" w:sz="0" w:space="0" w:color="auto"/>
                <w:left w:val="none" w:sz="0" w:space="0" w:color="auto"/>
                <w:bottom w:val="none" w:sz="0" w:space="0" w:color="auto"/>
                <w:right w:val="none" w:sz="0" w:space="0" w:color="auto"/>
              </w:divBdr>
              <w:divsChild>
                <w:div w:id="520239606">
                  <w:marLeft w:val="0"/>
                  <w:marRight w:val="0"/>
                  <w:marTop w:val="0"/>
                  <w:marBottom w:val="0"/>
                  <w:divBdr>
                    <w:top w:val="none" w:sz="0" w:space="0" w:color="auto"/>
                    <w:left w:val="none" w:sz="0" w:space="0" w:color="auto"/>
                    <w:bottom w:val="none" w:sz="0" w:space="0" w:color="auto"/>
                    <w:right w:val="none" w:sz="0" w:space="0" w:color="auto"/>
                  </w:divBdr>
                </w:div>
              </w:divsChild>
            </w:div>
            <w:div w:id="599992393">
              <w:marLeft w:val="0"/>
              <w:marRight w:val="0"/>
              <w:marTop w:val="0"/>
              <w:marBottom w:val="0"/>
              <w:divBdr>
                <w:top w:val="none" w:sz="0" w:space="0" w:color="auto"/>
                <w:left w:val="none" w:sz="0" w:space="0" w:color="auto"/>
                <w:bottom w:val="none" w:sz="0" w:space="0" w:color="auto"/>
                <w:right w:val="none" w:sz="0" w:space="0" w:color="auto"/>
              </w:divBdr>
            </w:div>
            <w:div w:id="600139901">
              <w:marLeft w:val="0"/>
              <w:marRight w:val="0"/>
              <w:marTop w:val="300"/>
              <w:marBottom w:val="300"/>
              <w:divBdr>
                <w:top w:val="none" w:sz="0" w:space="0" w:color="auto"/>
                <w:left w:val="none" w:sz="0" w:space="0" w:color="auto"/>
                <w:bottom w:val="none" w:sz="0" w:space="0" w:color="auto"/>
                <w:right w:val="none" w:sz="0" w:space="0" w:color="auto"/>
              </w:divBdr>
            </w:div>
            <w:div w:id="600339098">
              <w:marLeft w:val="0"/>
              <w:marRight w:val="0"/>
              <w:marTop w:val="300"/>
              <w:marBottom w:val="300"/>
              <w:divBdr>
                <w:top w:val="none" w:sz="0" w:space="0" w:color="auto"/>
                <w:left w:val="none" w:sz="0" w:space="0" w:color="auto"/>
                <w:bottom w:val="none" w:sz="0" w:space="0" w:color="auto"/>
                <w:right w:val="none" w:sz="0" w:space="0" w:color="auto"/>
              </w:divBdr>
            </w:div>
            <w:div w:id="601062557">
              <w:marLeft w:val="0"/>
              <w:marRight w:val="0"/>
              <w:marTop w:val="0"/>
              <w:marBottom w:val="0"/>
              <w:divBdr>
                <w:top w:val="none" w:sz="0" w:space="0" w:color="auto"/>
                <w:left w:val="none" w:sz="0" w:space="0" w:color="auto"/>
                <w:bottom w:val="none" w:sz="0" w:space="0" w:color="auto"/>
                <w:right w:val="none" w:sz="0" w:space="0" w:color="auto"/>
              </w:divBdr>
              <w:divsChild>
                <w:div w:id="1361206933">
                  <w:marLeft w:val="0"/>
                  <w:marRight w:val="0"/>
                  <w:marTop w:val="0"/>
                  <w:marBottom w:val="0"/>
                  <w:divBdr>
                    <w:top w:val="none" w:sz="0" w:space="0" w:color="auto"/>
                    <w:left w:val="none" w:sz="0" w:space="0" w:color="auto"/>
                    <w:bottom w:val="none" w:sz="0" w:space="0" w:color="auto"/>
                    <w:right w:val="none" w:sz="0" w:space="0" w:color="auto"/>
                  </w:divBdr>
                </w:div>
              </w:divsChild>
            </w:div>
            <w:div w:id="601109985">
              <w:marLeft w:val="0"/>
              <w:marRight w:val="0"/>
              <w:marTop w:val="0"/>
              <w:marBottom w:val="0"/>
              <w:divBdr>
                <w:top w:val="none" w:sz="0" w:space="0" w:color="auto"/>
                <w:left w:val="none" w:sz="0" w:space="0" w:color="auto"/>
                <w:bottom w:val="none" w:sz="0" w:space="0" w:color="auto"/>
                <w:right w:val="none" w:sz="0" w:space="0" w:color="auto"/>
              </w:divBdr>
              <w:divsChild>
                <w:div w:id="1079132659">
                  <w:marLeft w:val="0"/>
                  <w:marRight w:val="0"/>
                  <w:marTop w:val="0"/>
                  <w:marBottom w:val="0"/>
                  <w:divBdr>
                    <w:top w:val="none" w:sz="0" w:space="0" w:color="auto"/>
                    <w:left w:val="none" w:sz="0" w:space="0" w:color="auto"/>
                    <w:bottom w:val="none" w:sz="0" w:space="0" w:color="auto"/>
                    <w:right w:val="none" w:sz="0" w:space="0" w:color="auto"/>
                  </w:divBdr>
                </w:div>
              </w:divsChild>
            </w:div>
            <w:div w:id="601190005">
              <w:marLeft w:val="0"/>
              <w:marRight w:val="0"/>
              <w:marTop w:val="0"/>
              <w:marBottom w:val="0"/>
              <w:divBdr>
                <w:top w:val="none" w:sz="0" w:space="0" w:color="auto"/>
                <w:left w:val="none" w:sz="0" w:space="0" w:color="auto"/>
                <w:bottom w:val="none" w:sz="0" w:space="0" w:color="auto"/>
                <w:right w:val="none" w:sz="0" w:space="0" w:color="auto"/>
              </w:divBdr>
              <w:divsChild>
                <w:div w:id="425810177">
                  <w:marLeft w:val="0"/>
                  <w:marRight w:val="0"/>
                  <w:marTop w:val="0"/>
                  <w:marBottom w:val="0"/>
                  <w:divBdr>
                    <w:top w:val="none" w:sz="0" w:space="0" w:color="auto"/>
                    <w:left w:val="none" w:sz="0" w:space="0" w:color="auto"/>
                    <w:bottom w:val="none" w:sz="0" w:space="0" w:color="auto"/>
                    <w:right w:val="none" w:sz="0" w:space="0" w:color="auto"/>
                  </w:divBdr>
                </w:div>
              </w:divsChild>
            </w:div>
            <w:div w:id="602306690">
              <w:marLeft w:val="0"/>
              <w:marRight w:val="0"/>
              <w:marTop w:val="0"/>
              <w:marBottom w:val="0"/>
              <w:divBdr>
                <w:top w:val="none" w:sz="0" w:space="0" w:color="auto"/>
                <w:left w:val="none" w:sz="0" w:space="0" w:color="auto"/>
                <w:bottom w:val="none" w:sz="0" w:space="0" w:color="auto"/>
                <w:right w:val="none" w:sz="0" w:space="0" w:color="auto"/>
              </w:divBdr>
              <w:divsChild>
                <w:div w:id="1866751624">
                  <w:marLeft w:val="0"/>
                  <w:marRight w:val="0"/>
                  <w:marTop w:val="0"/>
                  <w:marBottom w:val="0"/>
                  <w:divBdr>
                    <w:top w:val="none" w:sz="0" w:space="0" w:color="auto"/>
                    <w:left w:val="none" w:sz="0" w:space="0" w:color="auto"/>
                    <w:bottom w:val="none" w:sz="0" w:space="0" w:color="auto"/>
                    <w:right w:val="none" w:sz="0" w:space="0" w:color="auto"/>
                  </w:divBdr>
                </w:div>
              </w:divsChild>
            </w:div>
            <w:div w:id="603266577">
              <w:marLeft w:val="0"/>
              <w:marRight w:val="0"/>
              <w:marTop w:val="0"/>
              <w:marBottom w:val="0"/>
              <w:divBdr>
                <w:top w:val="none" w:sz="0" w:space="0" w:color="auto"/>
                <w:left w:val="none" w:sz="0" w:space="0" w:color="auto"/>
                <w:bottom w:val="none" w:sz="0" w:space="0" w:color="auto"/>
                <w:right w:val="none" w:sz="0" w:space="0" w:color="auto"/>
              </w:divBdr>
              <w:divsChild>
                <w:div w:id="694114791">
                  <w:marLeft w:val="0"/>
                  <w:marRight w:val="0"/>
                  <w:marTop w:val="0"/>
                  <w:marBottom w:val="0"/>
                  <w:divBdr>
                    <w:top w:val="none" w:sz="0" w:space="0" w:color="auto"/>
                    <w:left w:val="none" w:sz="0" w:space="0" w:color="auto"/>
                    <w:bottom w:val="none" w:sz="0" w:space="0" w:color="auto"/>
                    <w:right w:val="none" w:sz="0" w:space="0" w:color="auto"/>
                  </w:divBdr>
                </w:div>
              </w:divsChild>
            </w:div>
            <w:div w:id="604774030">
              <w:marLeft w:val="0"/>
              <w:marRight w:val="0"/>
              <w:marTop w:val="0"/>
              <w:marBottom w:val="0"/>
              <w:divBdr>
                <w:top w:val="none" w:sz="0" w:space="0" w:color="auto"/>
                <w:left w:val="none" w:sz="0" w:space="0" w:color="auto"/>
                <w:bottom w:val="none" w:sz="0" w:space="0" w:color="auto"/>
                <w:right w:val="none" w:sz="0" w:space="0" w:color="auto"/>
              </w:divBdr>
              <w:divsChild>
                <w:div w:id="628391455">
                  <w:marLeft w:val="0"/>
                  <w:marRight w:val="0"/>
                  <w:marTop w:val="0"/>
                  <w:marBottom w:val="0"/>
                  <w:divBdr>
                    <w:top w:val="none" w:sz="0" w:space="0" w:color="auto"/>
                    <w:left w:val="none" w:sz="0" w:space="0" w:color="auto"/>
                    <w:bottom w:val="none" w:sz="0" w:space="0" w:color="auto"/>
                    <w:right w:val="none" w:sz="0" w:space="0" w:color="auto"/>
                  </w:divBdr>
                </w:div>
              </w:divsChild>
            </w:div>
            <w:div w:id="604970622">
              <w:marLeft w:val="0"/>
              <w:marRight w:val="0"/>
              <w:marTop w:val="0"/>
              <w:marBottom w:val="0"/>
              <w:divBdr>
                <w:top w:val="none" w:sz="0" w:space="0" w:color="auto"/>
                <w:left w:val="none" w:sz="0" w:space="0" w:color="auto"/>
                <w:bottom w:val="none" w:sz="0" w:space="0" w:color="auto"/>
                <w:right w:val="none" w:sz="0" w:space="0" w:color="auto"/>
              </w:divBdr>
              <w:divsChild>
                <w:div w:id="1324506750">
                  <w:marLeft w:val="0"/>
                  <w:marRight w:val="0"/>
                  <w:marTop w:val="0"/>
                  <w:marBottom w:val="0"/>
                  <w:divBdr>
                    <w:top w:val="none" w:sz="0" w:space="0" w:color="auto"/>
                    <w:left w:val="none" w:sz="0" w:space="0" w:color="auto"/>
                    <w:bottom w:val="none" w:sz="0" w:space="0" w:color="auto"/>
                    <w:right w:val="none" w:sz="0" w:space="0" w:color="auto"/>
                  </w:divBdr>
                </w:div>
              </w:divsChild>
            </w:div>
            <w:div w:id="605650060">
              <w:marLeft w:val="0"/>
              <w:marRight w:val="0"/>
              <w:marTop w:val="0"/>
              <w:marBottom w:val="0"/>
              <w:divBdr>
                <w:top w:val="none" w:sz="0" w:space="0" w:color="auto"/>
                <w:left w:val="none" w:sz="0" w:space="0" w:color="auto"/>
                <w:bottom w:val="none" w:sz="0" w:space="0" w:color="auto"/>
                <w:right w:val="none" w:sz="0" w:space="0" w:color="auto"/>
              </w:divBdr>
              <w:divsChild>
                <w:div w:id="1313023650">
                  <w:marLeft w:val="0"/>
                  <w:marRight w:val="0"/>
                  <w:marTop w:val="0"/>
                  <w:marBottom w:val="0"/>
                  <w:divBdr>
                    <w:top w:val="none" w:sz="0" w:space="0" w:color="auto"/>
                    <w:left w:val="none" w:sz="0" w:space="0" w:color="auto"/>
                    <w:bottom w:val="none" w:sz="0" w:space="0" w:color="auto"/>
                    <w:right w:val="none" w:sz="0" w:space="0" w:color="auto"/>
                  </w:divBdr>
                </w:div>
              </w:divsChild>
            </w:div>
            <w:div w:id="607012033">
              <w:marLeft w:val="0"/>
              <w:marRight w:val="0"/>
              <w:marTop w:val="300"/>
              <w:marBottom w:val="300"/>
              <w:divBdr>
                <w:top w:val="none" w:sz="0" w:space="0" w:color="auto"/>
                <w:left w:val="none" w:sz="0" w:space="0" w:color="auto"/>
                <w:bottom w:val="none" w:sz="0" w:space="0" w:color="auto"/>
                <w:right w:val="none" w:sz="0" w:space="0" w:color="auto"/>
              </w:divBdr>
            </w:div>
            <w:div w:id="607548396">
              <w:marLeft w:val="0"/>
              <w:marRight w:val="0"/>
              <w:marTop w:val="0"/>
              <w:marBottom w:val="0"/>
              <w:divBdr>
                <w:top w:val="none" w:sz="0" w:space="0" w:color="auto"/>
                <w:left w:val="none" w:sz="0" w:space="0" w:color="auto"/>
                <w:bottom w:val="none" w:sz="0" w:space="0" w:color="auto"/>
                <w:right w:val="none" w:sz="0" w:space="0" w:color="auto"/>
              </w:divBdr>
              <w:divsChild>
                <w:div w:id="1013193093">
                  <w:marLeft w:val="0"/>
                  <w:marRight w:val="0"/>
                  <w:marTop w:val="0"/>
                  <w:marBottom w:val="0"/>
                  <w:divBdr>
                    <w:top w:val="none" w:sz="0" w:space="0" w:color="auto"/>
                    <w:left w:val="none" w:sz="0" w:space="0" w:color="auto"/>
                    <w:bottom w:val="none" w:sz="0" w:space="0" w:color="auto"/>
                    <w:right w:val="none" w:sz="0" w:space="0" w:color="auto"/>
                  </w:divBdr>
                </w:div>
              </w:divsChild>
            </w:div>
            <w:div w:id="608508198">
              <w:marLeft w:val="0"/>
              <w:marRight w:val="0"/>
              <w:marTop w:val="0"/>
              <w:marBottom w:val="0"/>
              <w:divBdr>
                <w:top w:val="none" w:sz="0" w:space="0" w:color="auto"/>
                <w:left w:val="none" w:sz="0" w:space="0" w:color="auto"/>
                <w:bottom w:val="none" w:sz="0" w:space="0" w:color="auto"/>
                <w:right w:val="none" w:sz="0" w:space="0" w:color="auto"/>
              </w:divBdr>
              <w:divsChild>
                <w:div w:id="1642535989">
                  <w:marLeft w:val="0"/>
                  <w:marRight w:val="0"/>
                  <w:marTop w:val="0"/>
                  <w:marBottom w:val="0"/>
                  <w:divBdr>
                    <w:top w:val="none" w:sz="0" w:space="0" w:color="auto"/>
                    <w:left w:val="none" w:sz="0" w:space="0" w:color="auto"/>
                    <w:bottom w:val="none" w:sz="0" w:space="0" w:color="auto"/>
                    <w:right w:val="none" w:sz="0" w:space="0" w:color="auto"/>
                  </w:divBdr>
                </w:div>
              </w:divsChild>
            </w:div>
            <w:div w:id="609553226">
              <w:marLeft w:val="0"/>
              <w:marRight w:val="0"/>
              <w:marTop w:val="0"/>
              <w:marBottom w:val="0"/>
              <w:divBdr>
                <w:top w:val="none" w:sz="0" w:space="0" w:color="auto"/>
                <w:left w:val="none" w:sz="0" w:space="0" w:color="auto"/>
                <w:bottom w:val="none" w:sz="0" w:space="0" w:color="auto"/>
                <w:right w:val="none" w:sz="0" w:space="0" w:color="auto"/>
              </w:divBdr>
              <w:divsChild>
                <w:div w:id="1483812047">
                  <w:marLeft w:val="0"/>
                  <w:marRight w:val="0"/>
                  <w:marTop w:val="0"/>
                  <w:marBottom w:val="0"/>
                  <w:divBdr>
                    <w:top w:val="none" w:sz="0" w:space="0" w:color="auto"/>
                    <w:left w:val="none" w:sz="0" w:space="0" w:color="auto"/>
                    <w:bottom w:val="none" w:sz="0" w:space="0" w:color="auto"/>
                    <w:right w:val="none" w:sz="0" w:space="0" w:color="auto"/>
                  </w:divBdr>
                </w:div>
              </w:divsChild>
            </w:div>
            <w:div w:id="609700268">
              <w:marLeft w:val="0"/>
              <w:marRight w:val="0"/>
              <w:marTop w:val="0"/>
              <w:marBottom w:val="0"/>
              <w:divBdr>
                <w:top w:val="none" w:sz="0" w:space="0" w:color="auto"/>
                <w:left w:val="none" w:sz="0" w:space="0" w:color="auto"/>
                <w:bottom w:val="none" w:sz="0" w:space="0" w:color="auto"/>
                <w:right w:val="none" w:sz="0" w:space="0" w:color="auto"/>
              </w:divBdr>
              <w:divsChild>
                <w:div w:id="816146854">
                  <w:marLeft w:val="0"/>
                  <w:marRight w:val="0"/>
                  <w:marTop w:val="0"/>
                  <w:marBottom w:val="0"/>
                  <w:divBdr>
                    <w:top w:val="none" w:sz="0" w:space="0" w:color="auto"/>
                    <w:left w:val="none" w:sz="0" w:space="0" w:color="auto"/>
                    <w:bottom w:val="none" w:sz="0" w:space="0" w:color="auto"/>
                    <w:right w:val="none" w:sz="0" w:space="0" w:color="auto"/>
                  </w:divBdr>
                </w:div>
              </w:divsChild>
            </w:div>
            <w:div w:id="610472411">
              <w:marLeft w:val="0"/>
              <w:marRight w:val="0"/>
              <w:marTop w:val="300"/>
              <w:marBottom w:val="300"/>
              <w:divBdr>
                <w:top w:val="none" w:sz="0" w:space="0" w:color="auto"/>
                <w:left w:val="none" w:sz="0" w:space="0" w:color="auto"/>
                <w:bottom w:val="none" w:sz="0" w:space="0" w:color="auto"/>
                <w:right w:val="none" w:sz="0" w:space="0" w:color="auto"/>
              </w:divBdr>
            </w:div>
            <w:div w:id="611864968">
              <w:marLeft w:val="0"/>
              <w:marRight w:val="0"/>
              <w:marTop w:val="0"/>
              <w:marBottom w:val="0"/>
              <w:divBdr>
                <w:top w:val="none" w:sz="0" w:space="0" w:color="auto"/>
                <w:left w:val="none" w:sz="0" w:space="0" w:color="auto"/>
                <w:bottom w:val="none" w:sz="0" w:space="0" w:color="auto"/>
                <w:right w:val="none" w:sz="0" w:space="0" w:color="auto"/>
              </w:divBdr>
              <w:divsChild>
                <w:div w:id="733552570">
                  <w:marLeft w:val="0"/>
                  <w:marRight w:val="0"/>
                  <w:marTop w:val="0"/>
                  <w:marBottom w:val="0"/>
                  <w:divBdr>
                    <w:top w:val="none" w:sz="0" w:space="0" w:color="auto"/>
                    <w:left w:val="none" w:sz="0" w:space="0" w:color="auto"/>
                    <w:bottom w:val="none" w:sz="0" w:space="0" w:color="auto"/>
                    <w:right w:val="none" w:sz="0" w:space="0" w:color="auto"/>
                  </w:divBdr>
                </w:div>
              </w:divsChild>
            </w:div>
            <w:div w:id="612715594">
              <w:marLeft w:val="0"/>
              <w:marRight w:val="0"/>
              <w:marTop w:val="300"/>
              <w:marBottom w:val="300"/>
              <w:divBdr>
                <w:top w:val="none" w:sz="0" w:space="0" w:color="auto"/>
                <w:left w:val="none" w:sz="0" w:space="0" w:color="auto"/>
                <w:bottom w:val="none" w:sz="0" w:space="0" w:color="auto"/>
                <w:right w:val="none" w:sz="0" w:space="0" w:color="auto"/>
              </w:divBdr>
            </w:div>
            <w:div w:id="612782749">
              <w:marLeft w:val="0"/>
              <w:marRight w:val="0"/>
              <w:marTop w:val="0"/>
              <w:marBottom w:val="0"/>
              <w:divBdr>
                <w:top w:val="none" w:sz="0" w:space="0" w:color="auto"/>
                <w:left w:val="none" w:sz="0" w:space="0" w:color="auto"/>
                <w:bottom w:val="none" w:sz="0" w:space="0" w:color="auto"/>
                <w:right w:val="none" w:sz="0" w:space="0" w:color="auto"/>
              </w:divBdr>
              <w:divsChild>
                <w:div w:id="243027257">
                  <w:marLeft w:val="0"/>
                  <w:marRight w:val="0"/>
                  <w:marTop w:val="0"/>
                  <w:marBottom w:val="0"/>
                  <w:divBdr>
                    <w:top w:val="none" w:sz="0" w:space="0" w:color="auto"/>
                    <w:left w:val="none" w:sz="0" w:space="0" w:color="auto"/>
                    <w:bottom w:val="none" w:sz="0" w:space="0" w:color="auto"/>
                    <w:right w:val="none" w:sz="0" w:space="0" w:color="auto"/>
                  </w:divBdr>
                </w:div>
              </w:divsChild>
            </w:div>
            <w:div w:id="613170484">
              <w:marLeft w:val="0"/>
              <w:marRight w:val="0"/>
              <w:marTop w:val="0"/>
              <w:marBottom w:val="0"/>
              <w:divBdr>
                <w:top w:val="none" w:sz="0" w:space="0" w:color="auto"/>
                <w:left w:val="none" w:sz="0" w:space="0" w:color="auto"/>
                <w:bottom w:val="none" w:sz="0" w:space="0" w:color="auto"/>
                <w:right w:val="none" w:sz="0" w:space="0" w:color="auto"/>
              </w:divBdr>
              <w:divsChild>
                <w:div w:id="634794258">
                  <w:marLeft w:val="0"/>
                  <w:marRight w:val="0"/>
                  <w:marTop w:val="0"/>
                  <w:marBottom w:val="0"/>
                  <w:divBdr>
                    <w:top w:val="none" w:sz="0" w:space="0" w:color="auto"/>
                    <w:left w:val="none" w:sz="0" w:space="0" w:color="auto"/>
                    <w:bottom w:val="none" w:sz="0" w:space="0" w:color="auto"/>
                    <w:right w:val="none" w:sz="0" w:space="0" w:color="auto"/>
                  </w:divBdr>
                </w:div>
              </w:divsChild>
            </w:div>
            <w:div w:id="613371248">
              <w:marLeft w:val="0"/>
              <w:marRight w:val="0"/>
              <w:marTop w:val="0"/>
              <w:marBottom w:val="0"/>
              <w:divBdr>
                <w:top w:val="none" w:sz="0" w:space="0" w:color="auto"/>
                <w:left w:val="none" w:sz="0" w:space="0" w:color="auto"/>
                <w:bottom w:val="none" w:sz="0" w:space="0" w:color="auto"/>
                <w:right w:val="none" w:sz="0" w:space="0" w:color="auto"/>
              </w:divBdr>
              <w:divsChild>
                <w:div w:id="59986467">
                  <w:marLeft w:val="0"/>
                  <w:marRight w:val="0"/>
                  <w:marTop w:val="0"/>
                  <w:marBottom w:val="0"/>
                  <w:divBdr>
                    <w:top w:val="none" w:sz="0" w:space="0" w:color="auto"/>
                    <w:left w:val="none" w:sz="0" w:space="0" w:color="auto"/>
                    <w:bottom w:val="none" w:sz="0" w:space="0" w:color="auto"/>
                    <w:right w:val="none" w:sz="0" w:space="0" w:color="auto"/>
                  </w:divBdr>
                </w:div>
              </w:divsChild>
            </w:div>
            <w:div w:id="615520947">
              <w:marLeft w:val="0"/>
              <w:marRight w:val="0"/>
              <w:marTop w:val="0"/>
              <w:marBottom w:val="0"/>
              <w:divBdr>
                <w:top w:val="none" w:sz="0" w:space="0" w:color="auto"/>
                <w:left w:val="none" w:sz="0" w:space="0" w:color="auto"/>
                <w:bottom w:val="none" w:sz="0" w:space="0" w:color="auto"/>
                <w:right w:val="none" w:sz="0" w:space="0" w:color="auto"/>
              </w:divBdr>
              <w:divsChild>
                <w:div w:id="1213081904">
                  <w:marLeft w:val="0"/>
                  <w:marRight w:val="0"/>
                  <w:marTop w:val="0"/>
                  <w:marBottom w:val="0"/>
                  <w:divBdr>
                    <w:top w:val="none" w:sz="0" w:space="0" w:color="auto"/>
                    <w:left w:val="none" w:sz="0" w:space="0" w:color="auto"/>
                    <w:bottom w:val="none" w:sz="0" w:space="0" w:color="auto"/>
                    <w:right w:val="none" w:sz="0" w:space="0" w:color="auto"/>
                  </w:divBdr>
                </w:div>
              </w:divsChild>
            </w:div>
            <w:div w:id="617688518">
              <w:marLeft w:val="0"/>
              <w:marRight w:val="0"/>
              <w:marTop w:val="300"/>
              <w:marBottom w:val="300"/>
              <w:divBdr>
                <w:top w:val="none" w:sz="0" w:space="0" w:color="auto"/>
                <w:left w:val="none" w:sz="0" w:space="0" w:color="auto"/>
                <w:bottom w:val="none" w:sz="0" w:space="0" w:color="auto"/>
                <w:right w:val="none" w:sz="0" w:space="0" w:color="auto"/>
              </w:divBdr>
            </w:div>
            <w:div w:id="619413452">
              <w:marLeft w:val="0"/>
              <w:marRight w:val="0"/>
              <w:marTop w:val="300"/>
              <w:marBottom w:val="300"/>
              <w:divBdr>
                <w:top w:val="none" w:sz="0" w:space="0" w:color="auto"/>
                <w:left w:val="none" w:sz="0" w:space="0" w:color="auto"/>
                <w:bottom w:val="none" w:sz="0" w:space="0" w:color="auto"/>
                <w:right w:val="none" w:sz="0" w:space="0" w:color="auto"/>
              </w:divBdr>
            </w:div>
            <w:div w:id="620889385">
              <w:marLeft w:val="0"/>
              <w:marRight w:val="0"/>
              <w:marTop w:val="0"/>
              <w:marBottom w:val="0"/>
              <w:divBdr>
                <w:top w:val="none" w:sz="0" w:space="0" w:color="auto"/>
                <w:left w:val="none" w:sz="0" w:space="0" w:color="auto"/>
                <w:bottom w:val="none" w:sz="0" w:space="0" w:color="auto"/>
                <w:right w:val="none" w:sz="0" w:space="0" w:color="auto"/>
              </w:divBdr>
              <w:divsChild>
                <w:div w:id="657882185">
                  <w:marLeft w:val="0"/>
                  <w:marRight w:val="0"/>
                  <w:marTop w:val="0"/>
                  <w:marBottom w:val="0"/>
                  <w:divBdr>
                    <w:top w:val="none" w:sz="0" w:space="0" w:color="auto"/>
                    <w:left w:val="none" w:sz="0" w:space="0" w:color="auto"/>
                    <w:bottom w:val="none" w:sz="0" w:space="0" w:color="auto"/>
                    <w:right w:val="none" w:sz="0" w:space="0" w:color="auto"/>
                  </w:divBdr>
                </w:div>
              </w:divsChild>
            </w:div>
            <w:div w:id="621113917">
              <w:marLeft w:val="0"/>
              <w:marRight w:val="0"/>
              <w:marTop w:val="0"/>
              <w:marBottom w:val="0"/>
              <w:divBdr>
                <w:top w:val="none" w:sz="0" w:space="0" w:color="auto"/>
                <w:left w:val="none" w:sz="0" w:space="0" w:color="auto"/>
                <w:bottom w:val="none" w:sz="0" w:space="0" w:color="auto"/>
                <w:right w:val="none" w:sz="0" w:space="0" w:color="auto"/>
              </w:divBdr>
              <w:divsChild>
                <w:div w:id="1433822479">
                  <w:marLeft w:val="0"/>
                  <w:marRight w:val="0"/>
                  <w:marTop w:val="0"/>
                  <w:marBottom w:val="0"/>
                  <w:divBdr>
                    <w:top w:val="none" w:sz="0" w:space="0" w:color="auto"/>
                    <w:left w:val="none" w:sz="0" w:space="0" w:color="auto"/>
                    <w:bottom w:val="none" w:sz="0" w:space="0" w:color="auto"/>
                    <w:right w:val="none" w:sz="0" w:space="0" w:color="auto"/>
                  </w:divBdr>
                </w:div>
              </w:divsChild>
            </w:div>
            <w:div w:id="621425463">
              <w:marLeft w:val="0"/>
              <w:marRight w:val="0"/>
              <w:marTop w:val="0"/>
              <w:marBottom w:val="0"/>
              <w:divBdr>
                <w:top w:val="none" w:sz="0" w:space="0" w:color="auto"/>
                <w:left w:val="none" w:sz="0" w:space="0" w:color="auto"/>
                <w:bottom w:val="none" w:sz="0" w:space="0" w:color="auto"/>
                <w:right w:val="none" w:sz="0" w:space="0" w:color="auto"/>
              </w:divBdr>
              <w:divsChild>
                <w:div w:id="1064183752">
                  <w:marLeft w:val="0"/>
                  <w:marRight w:val="0"/>
                  <w:marTop w:val="0"/>
                  <w:marBottom w:val="0"/>
                  <w:divBdr>
                    <w:top w:val="none" w:sz="0" w:space="0" w:color="auto"/>
                    <w:left w:val="none" w:sz="0" w:space="0" w:color="auto"/>
                    <w:bottom w:val="none" w:sz="0" w:space="0" w:color="auto"/>
                    <w:right w:val="none" w:sz="0" w:space="0" w:color="auto"/>
                  </w:divBdr>
                  <w:divsChild>
                    <w:div w:id="149444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012391">
              <w:marLeft w:val="0"/>
              <w:marRight w:val="0"/>
              <w:marTop w:val="0"/>
              <w:marBottom w:val="0"/>
              <w:divBdr>
                <w:top w:val="none" w:sz="0" w:space="0" w:color="auto"/>
                <w:left w:val="none" w:sz="0" w:space="0" w:color="auto"/>
                <w:bottom w:val="none" w:sz="0" w:space="0" w:color="auto"/>
                <w:right w:val="none" w:sz="0" w:space="0" w:color="auto"/>
              </w:divBdr>
              <w:divsChild>
                <w:div w:id="1182547259">
                  <w:marLeft w:val="0"/>
                  <w:marRight w:val="0"/>
                  <w:marTop w:val="0"/>
                  <w:marBottom w:val="0"/>
                  <w:divBdr>
                    <w:top w:val="none" w:sz="0" w:space="0" w:color="auto"/>
                    <w:left w:val="none" w:sz="0" w:space="0" w:color="auto"/>
                    <w:bottom w:val="none" w:sz="0" w:space="0" w:color="auto"/>
                    <w:right w:val="none" w:sz="0" w:space="0" w:color="auto"/>
                  </w:divBdr>
                </w:div>
              </w:divsChild>
            </w:div>
            <w:div w:id="628127752">
              <w:marLeft w:val="0"/>
              <w:marRight w:val="0"/>
              <w:marTop w:val="0"/>
              <w:marBottom w:val="0"/>
              <w:divBdr>
                <w:top w:val="none" w:sz="0" w:space="0" w:color="auto"/>
                <w:left w:val="none" w:sz="0" w:space="0" w:color="auto"/>
                <w:bottom w:val="none" w:sz="0" w:space="0" w:color="auto"/>
                <w:right w:val="none" w:sz="0" w:space="0" w:color="auto"/>
              </w:divBdr>
              <w:divsChild>
                <w:div w:id="1021471469">
                  <w:marLeft w:val="0"/>
                  <w:marRight w:val="0"/>
                  <w:marTop w:val="0"/>
                  <w:marBottom w:val="0"/>
                  <w:divBdr>
                    <w:top w:val="none" w:sz="0" w:space="0" w:color="auto"/>
                    <w:left w:val="none" w:sz="0" w:space="0" w:color="auto"/>
                    <w:bottom w:val="none" w:sz="0" w:space="0" w:color="auto"/>
                    <w:right w:val="none" w:sz="0" w:space="0" w:color="auto"/>
                  </w:divBdr>
                </w:div>
              </w:divsChild>
            </w:div>
            <w:div w:id="628360657">
              <w:marLeft w:val="0"/>
              <w:marRight w:val="0"/>
              <w:marTop w:val="0"/>
              <w:marBottom w:val="0"/>
              <w:divBdr>
                <w:top w:val="none" w:sz="0" w:space="0" w:color="auto"/>
                <w:left w:val="none" w:sz="0" w:space="0" w:color="auto"/>
                <w:bottom w:val="none" w:sz="0" w:space="0" w:color="auto"/>
                <w:right w:val="none" w:sz="0" w:space="0" w:color="auto"/>
              </w:divBdr>
              <w:divsChild>
                <w:div w:id="1548491855">
                  <w:marLeft w:val="0"/>
                  <w:marRight w:val="0"/>
                  <w:marTop w:val="0"/>
                  <w:marBottom w:val="0"/>
                  <w:divBdr>
                    <w:top w:val="none" w:sz="0" w:space="0" w:color="auto"/>
                    <w:left w:val="none" w:sz="0" w:space="0" w:color="auto"/>
                    <w:bottom w:val="none" w:sz="0" w:space="0" w:color="auto"/>
                    <w:right w:val="none" w:sz="0" w:space="0" w:color="auto"/>
                  </w:divBdr>
                </w:div>
              </w:divsChild>
            </w:div>
            <w:div w:id="629363123">
              <w:marLeft w:val="0"/>
              <w:marRight w:val="0"/>
              <w:marTop w:val="0"/>
              <w:marBottom w:val="0"/>
              <w:divBdr>
                <w:top w:val="none" w:sz="0" w:space="0" w:color="auto"/>
                <w:left w:val="none" w:sz="0" w:space="0" w:color="auto"/>
                <w:bottom w:val="none" w:sz="0" w:space="0" w:color="auto"/>
                <w:right w:val="none" w:sz="0" w:space="0" w:color="auto"/>
              </w:divBdr>
              <w:divsChild>
                <w:div w:id="1154948576">
                  <w:marLeft w:val="0"/>
                  <w:marRight w:val="0"/>
                  <w:marTop w:val="0"/>
                  <w:marBottom w:val="0"/>
                  <w:divBdr>
                    <w:top w:val="none" w:sz="0" w:space="0" w:color="auto"/>
                    <w:left w:val="none" w:sz="0" w:space="0" w:color="auto"/>
                    <w:bottom w:val="none" w:sz="0" w:space="0" w:color="auto"/>
                    <w:right w:val="none" w:sz="0" w:space="0" w:color="auto"/>
                  </w:divBdr>
                </w:div>
              </w:divsChild>
            </w:div>
            <w:div w:id="630522672">
              <w:marLeft w:val="0"/>
              <w:marRight w:val="0"/>
              <w:marTop w:val="0"/>
              <w:marBottom w:val="0"/>
              <w:divBdr>
                <w:top w:val="none" w:sz="0" w:space="0" w:color="auto"/>
                <w:left w:val="none" w:sz="0" w:space="0" w:color="auto"/>
                <w:bottom w:val="none" w:sz="0" w:space="0" w:color="auto"/>
                <w:right w:val="none" w:sz="0" w:space="0" w:color="auto"/>
              </w:divBdr>
              <w:divsChild>
                <w:div w:id="1974169128">
                  <w:marLeft w:val="0"/>
                  <w:marRight w:val="0"/>
                  <w:marTop w:val="0"/>
                  <w:marBottom w:val="0"/>
                  <w:divBdr>
                    <w:top w:val="none" w:sz="0" w:space="0" w:color="auto"/>
                    <w:left w:val="none" w:sz="0" w:space="0" w:color="auto"/>
                    <w:bottom w:val="none" w:sz="0" w:space="0" w:color="auto"/>
                    <w:right w:val="none" w:sz="0" w:space="0" w:color="auto"/>
                  </w:divBdr>
                </w:div>
              </w:divsChild>
            </w:div>
            <w:div w:id="631598261">
              <w:marLeft w:val="0"/>
              <w:marRight w:val="0"/>
              <w:marTop w:val="0"/>
              <w:marBottom w:val="0"/>
              <w:divBdr>
                <w:top w:val="none" w:sz="0" w:space="0" w:color="auto"/>
                <w:left w:val="none" w:sz="0" w:space="0" w:color="auto"/>
                <w:bottom w:val="none" w:sz="0" w:space="0" w:color="auto"/>
                <w:right w:val="none" w:sz="0" w:space="0" w:color="auto"/>
              </w:divBdr>
              <w:divsChild>
                <w:div w:id="907762332">
                  <w:marLeft w:val="0"/>
                  <w:marRight w:val="0"/>
                  <w:marTop w:val="0"/>
                  <w:marBottom w:val="0"/>
                  <w:divBdr>
                    <w:top w:val="none" w:sz="0" w:space="0" w:color="auto"/>
                    <w:left w:val="none" w:sz="0" w:space="0" w:color="auto"/>
                    <w:bottom w:val="none" w:sz="0" w:space="0" w:color="auto"/>
                    <w:right w:val="none" w:sz="0" w:space="0" w:color="auto"/>
                  </w:divBdr>
                </w:div>
              </w:divsChild>
            </w:div>
            <w:div w:id="633410495">
              <w:marLeft w:val="0"/>
              <w:marRight w:val="0"/>
              <w:marTop w:val="0"/>
              <w:marBottom w:val="0"/>
              <w:divBdr>
                <w:top w:val="none" w:sz="0" w:space="0" w:color="auto"/>
                <w:left w:val="none" w:sz="0" w:space="0" w:color="auto"/>
                <w:bottom w:val="none" w:sz="0" w:space="0" w:color="auto"/>
                <w:right w:val="none" w:sz="0" w:space="0" w:color="auto"/>
              </w:divBdr>
              <w:divsChild>
                <w:div w:id="246304821">
                  <w:marLeft w:val="0"/>
                  <w:marRight w:val="0"/>
                  <w:marTop w:val="0"/>
                  <w:marBottom w:val="0"/>
                  <w:divBdr>
                    <w:top w:val="none" w:sz="0" w:space="0" w:color="auto"/>
                    <w:left w:val="none" w:sz="0" w:space="0" w:color="auto"/>
                    <w:bottom w:val="none" w:sz="0" w:space="0" w:color="auto"/>
                    <w:right w:val="none" w:sz="0" w:space="0" w:color="auto"/>
                  </w:divBdr>
                </w:div>
              </w:divsChild>
            </w:div>
            <w:div w:id="634022536">
              <w:marLeft w:val="0"/>
              <w:marRight w:val="0"/>
              <w:marTop w:val="0"/>
              <w:marBottom w:val="0"/>
              <w:divBdr>
                <w:top w:val="none" w:sz="0" w:space="0" w:color="auto"/>
                <w:left w:val="none" w:sz="0" w:space="0" w:color="auto"/>
                <w:bottom w:val="none" w:sz="0" w:space="0" w:color="auto"/>
                <w:right w:val="none" w:sz="0" w:space="0" w:color="auto"/>
              </w:divBdr>
              <w:divsChild>
                <w:div w:id="1640963522">
                  <w:marLeft w:val="0"/>
                  <w:marRight w:val="0"/>
                  <w:marTop w:val="0"/>
                  <w:marBottom w:val="0"/>
                  <w:divBdr>
                    <w:top w:val="none" w:sz="0" w:space="0" w:color="auto"/>
                    <w:left w:val="none" w:sz="0" w:space="0" w:color="auto"/>
                    <w:bottom w:val="none" w:sz="0" w:space="0" w:color="auto"/>
                    <w:right w:val="none" w:sz="0" w:space="0" w:color="auto"/>
                  </w:divBdr>
                </w:div>
              </w:divsChild>
            </w:div>
            <w:div w:id="637688569">
              <w:marLeft w:val="0"/>
              <w:marRight w:val="0"/>
              <w:marTop w:val="0"/>
              <w:marBottom w:val="0"/>
              <w:divBdr>
                <w:top w:val="none" w:sz="0" w:space="0" w:color="auto"/>
                <w:left w:val="none" w:sz="0" w:space="0" w:color="auto"/>
                <w:bottom w:val="none" w:sz="0" w:space="0" w:color="auto"/>
                <w:right w:val="none" w:sz="0" w:space="0" w:color="auto"/>
              </w:divBdr>
              <w:divsChild>
                <w:div w:id="1798715170">
                  <w:marLeft w:val="0"/>
                  <w:marRight w:val="0"/>
                  <w:marTop w:val="0"/>
                  <w:marBottom w:val="0"/>
                  <w:divBdr>
                    <w:top w:val="none" w:sz="0" w:space="0" w:color="auto"/>
                    <w:left w:val="none" w:sz="0" w:space="0" w:color="auto"/>
                    <w:bottom w:val="none" w:sz="0" w:space="0" w:color="auto"/>
                    <w:right w:val="none" w:sz="0" w:space="0" w:color="auto"/>
                  </w:divBdr>
                </w:div>
              </w:divsChild>
            </w:div>
            <w:div w:id="637807221">
              <w:marLeft w:val="0"/>
              <w:marRight w:val="0"/>
              <w:marTop w:val="0"/>
              <w:marBottom w:val="0"/>
              <w:divBdr>
                <w:top w:val="none" w:sz="0" w:space="0" w:color="auto"/>
                <w:left w:val="none" w:sz="0" w:space="0" w:color="auto"/>
                <w:bottom w:val="none" w:sz="0" w:space="0" w:color="auto"/>
                <w:right w:val="none" w:sz="0" w:space="0" w:color="auto"/>
              </w:divBdr>
              <w:divsChild>
                <w:div w:id="1458523199">
                  <w:marLeft w:val="0"/>
                  <w:marRight w:val="0"/>
                  <w:marTop w:val="0"/>
                  <w:marBottom w:val="0"/>
                  <w:divBdr>
                    <w:top w:val="none" w:sz="0" w:space="0" w:color="auto"/>
                    <w:left w:val="none" w:sz="0" w:space="0" w:color="auto"/>
                    <w:bottom w:val="none" w:sz="0" w:space="0" w:color="auto"/>
                    <w:right w:val="none" w:sz="0" w:space="0" w:color="auto"/>
                  </w:divBdr>
                </w:div>
              </w:divsChild>
            </w:div>
            <w:div w:id="638345338">
              <w:marLeft w:val="0"/>
              <w:marRight w:val="0"/>
              <w:marTop w:val="300"/>
              <w:marBottom w:val="300"/>
              <w:divBdr>
                <w:top w:val="none" w:sz="0" w:space="0" w:color="auto"/>
                <w:left w:val="none" w:sz="0" w:space="0" w:color="auto"/>
                <w:bottom w:val="none" w:sz="0" w:space="0" w:color="auto"/>
                <w:right w:val="none" w:sz="0" w:space="0" w:color="auto"/>
              </w:divBdr>
            </w:div>
            <w:div w:id="640498296">
              <w:marLeft w:val="0"/>
              <w:marRight w:val="0"/>
              <w:marTop w:val="300"/>
              <w:marBottom w:val="300"/>
              <w:divBdr>
                <w:top w:val="none" w:sz="0" w:space="0" w:color="auto"/>
                <w:left w:val="none" w:sz="0" w:space="0" w:color="auto"/>
                <w:bottom w:val="none" w:sz="0" w:space="0" w:color="auto"/>
                <w:right w:val="none" w:sz="0" w:space="0" w:color="auto"/>
              </w:divBdr>
            </w:div>
            <w:div w:id="640694411">
              <w:marLeft w:val="0"/>
              <w:marRight w:val="0"/>
              <w:marTop w:val="0"/>
              <w:marBottom w:val="0"/>
              <w:divBdr>
                <w:top w:val="none" w:sz="0" w:space="0" w:color="auto"/>
                <w:left w:val="none" w:sz="0" w:space="0" w:color="auto"/>
                <w:bottom w:val="none" w:sz="0" w:space="0" w:color="auto"/>
                <w:right w:val="none" w:sz="0" w:space="0" w:color="auto"/>
              </w:divBdr>
              <w:divsChild>
                <w:div w:id="1541355702">
                  <w:marLeft w:val="0"/>
                  <w:marRight w:val="0"/>
                  <w:marTop w:val="0"/>
                  <w:marBottom w:val="0"/>
                  <w:divBdr>
                    <w:top w:val="none" w:sz="0" w:space="0" w:color="auto"/>
                    <w:left w:val="none" w:sz="0" w:space="0" w:color="auto"/>
                    <w:bottom w:val="none" w:sz="0" w:space="0" w:color="auto"/>
                    <w:right w:val="none" w:sz="0" w:space="0" w:color="auto"/>
                  </w:divBdr>
                </w:div>
              </w:divsChild>
            </w:div>
            <w:div w:id="642005171">
              <w:marLeft w:val="0"/>
              <w:marRight w:val="0"/>
              <w:marTop w:val="0"/>
              <w:marBottom w:val="0"/>
              <w:divBdr>
                <w:top w:val="none" w:sz="0" w:space="0" w:color="auto"/>
                <w:left w:val="none" w:sz="0" w:space="0" w:color="auto"/>
                <w:bottom w:val="none" w:sz="0" w:space="0" w:color="auto"/>
                <w:right w:val="none" w:sz="0" w:space="0" w:color="auto"/>
              </w:divBdr>
              <w:divsChild>
                <w:div w:id="297495627">
                  <w:marLeft w:val="0"/>
                  <w:marRight w:val="0"/>
                  <w:marTop w:val="0"/>
                  <w:marBottom w:val="0"/>
                  <w:divBdr>
                    <w:top w:val="none" w:sz="0" w:space="0" w:color="auto"/>
                    <w:left w:val="none" w:sz="0" w:space="0" w:color="auto"/>
                    <w:bottom w:val="none" w:sz="0" w:space="0" w:color="auto"/>
                    <w:right w:val="none" w:sz="0" w:space="0" w:color="auto"/>
                  </w:divBdr>
                </w:div>
              </w:divsChild>
            </w:div>
            <w:div w:id="642152170">
              <w:marLeft w:val="0"/>
              <w:marRight w:val="0"/>
              <w:marTop w:val="0"/>
              <w:marBottom w:val="0"/>
              <w:divBdr>
                <w:top w:val="none" w:sz="0" w:space="0" w:color="auto"/>
                <w:left w:val="none" w:sz="0" w:space="0" w:color="auto"/>
                <w:bottom w:val="none" w:sz="0" w:space="0" w:color="auto"/>
                <w:right w:val="none" w:sz="0" w:space="0" w:color="auto"/>
              </w:divBdr>
              <w:divsChild>
                <w:div w:id="1668481449">
                  <w:marLeft w:val="0"/>
                  <w:marRight w:val="0"/>
                  <w:marTop w:val="0"/>
                  <w:marBottom w:val="0"/>
                  <w:divBdr>
                    <w:top w:val="none" w:sz="0" w:space="0" w:color="auto"/>
                    <w:left w:val="none" w:sz="0" w:space="0" w:color="auto"/>
                    <w:bottom w:val="none" w:sz="0" w:space="0" w:color="auto"/>
                    <w:right w:val="none" w:sz="0" w:space="0" w:color="auto"/>
                  </w:divBdr>
                </w:div>
              </w:divsChild>
            </w:div>
            <w:div w:id="642852860">
              <w:marLeft w:val="0"/>
              <w:marRight w:val="0"/>
              <w:marTop w:val="300"/>
              <w:marBottom w:val="300"/>
              <w:divBdr>
                <w:top w:val="none" w:sz="0" w:space="0" w:color="auto"/>
                <w:left w:val="none" w:sz="0" w:space="0" w:color="auto"/>
                <w:bottom w:val="none" w:sz="0" w:space="0" w:color="auto"/>
                <w:right w:val="none" w:sz="0" w:space="0" w:color="auto"/>
              </w:divBdr>
            </w:div>
            <w:div w:id="643923912">
              <w:marLeft w:val="0"/>
              <w:marRight w:val="0"/>
              <w:marTop w:val="0"/>
              <w:marBottom w:val="0"/>
              <w:divBdr>
                <w:top w:val="none" w:sz="0" w:space="0" w:color="auto"/>
                <w:left w:val="none" w:sz="0" w:space="0" w:color="auto"/>
                <w:bottom w:val="none" w:sz="0" w:space="0" w:color="auto"/>
                <w:right w:val="none" w:sz="0" w:space="0" w:color="auto"/>
              </w:divBdr>
              <w:divsChild>
                <w:div w:id="1059787748">
                  <w:marLeft w:val="0"/>
                  <w:marRight w:val="0"/>
                  <w:marTop w:val="0"/>
                  <w:marBottom w:val="0"/>
                  <w:divBdr>
                    <w:top w:val="none" w:sz="0" w:space="0" w:color="auto"/>
                    <w:left w:val="none" w:sz="0" w:space="0" w:color="auto"/>
                    <w:bottom w:val="none" w:sz="0" w:space="0" w:color="auto"/>
                    <w:right w:val="none" w:sz="0" w:space="0" w:color="auto"/>
                  </w:divBdr>
                </w:div>
              </w:divsChild>
            </w:div>
            <w:div w:id="645009478">
              <w:marLeft w:val="0"/>
              <w:marRight w:val="0"/>
              <w:marTop w:val="0"/>
              <w:marBottom w:val="0"/>
              <w:divBdr>
                <w:top w:val="none" w:sz="0" w:space="0" w:color="auto"/>
                <w:left w:val="none" w:sz="0" w:space="0" w:color="auto"/>
                <w:bottom w:val="none" w:sz="0" w:space="0" w:color="auto"/>
                <w:right w:val="none" w:sz="0" w:space="0" w:color="auto"/>
              </w:divBdr>
              <w:divsChild>
                <w:div w:id="364797616">
                  <w:marLeft w:val="0"/>
                  <w:marRight w:val="0"/>
                  <w:marTop w:val="0"/>
                  <w:marBottom w:val="0"/>
                  <w:divBdr>
                    <w:top w:val="none" w:sz="0" w:space="0" w:color="auto"/>
                    <w:left w:val="none" w:sz="0" w:space="0" w:color="auto"/>
                    <w:bottom w:val="none" w:sz="0" w:space="0" w:color="auto"/>
                    <w:right w:val="none" w:sz="0" w:space="0" w:color="auto"/>
                  </w:divBdr>
                </w:div>
              </w:divsChild>
            </w:div>
            <w:div w:id="645402429">
              <w:marLeft w:val="0"/>
              <w:marRight w:val="0"/>
              <w:marTop w:val="0"/>
              <w:marBottom w:val="0"/>
              <w:divBdr>
                <w:top w:val="none" w:sz="0" w:space="0" w:color="auto"/>
                <w:left w:val="none" w:sz="0" w:space="0" w:color="auto"/>
                <w:bottom w:val="none" w:sz="0" w:space="0" w:color="auto"/>
                <w:right w:val="none" w:sz="0" w:space="0" w:color="auto"/>
              </w:divBdr>
              <w:divsChild>
                <w:div w:id="17777363">
                  <w:marLeft w:val="0"/>
                  <w:marRight w:val="0"/>
                  <w:marTop w:val="0"/>
                  <w:marBottom w:val="0"/>
                  <w:divBdr>
                    <w:top w:val="none" w:sz="0" w:space="0" w:color="auto"/>
                    <w:left w:val="none" w:sz="0" w:space="0" w:color="auto"/>
                    <w:bottom w:val="none" w:sz="0" w:space="0" w:color="auto"/>
                    <w:right w:val="none" w:sz="0" w:space="0" w:color="auto"/>
                  </w:divBdr>
                </w:div>
              </w:divsChild>
            </w:div>
            <w:div w:id="646200912">
              <w:marLeft w:val="0"/>
              <w:marRight w:val="0"/>
              <w:marTop w:val="0"/>
              <w:marBottom w:val="0"/>
              <w:divBdr>
                <w:top w:val="none" w:sz="0" w:space="0" w:color="auto"/>
                <w:left w:val="none" w:sz="0" w:space="0" w:color="auto"/>
                <w:bottom w:val="none" w:sz="0" w:space="0" w:color="auto"/>
                <w:right w:val="none" w:sz="0" w:space="0" w:color="auto"/>
              </w:divBdr>
              <w:divsChild>
                <w:div w:id="1709522352">
                  <w:marLeft w:val="0"/>
                  <w:marRight w:val="0"/>
                  <w:marTop w:val="0"/>
                  <w:marBottom w:val="0"/>
                  <w:divBdr>
                    <w:top w:val="none" w:sz="0" w:space="0" w:color="auto"/>
                    <w:left w:val="none" w:sz="0" w:space="0" w:color="auto"/>
                    <w:bottom w:val="none" w:sz="0" w:space="0" w:color="auto"/>
                    <w:right w:val="none" w:sz="0" w:space="0" w:color="auto"/>
                  </w:divBdr>
                </w:div>
              </w:divsChild>
            </w:div>
            <w:div w:id="646470832">
              <w:marLeft w:val="0"/>
              <w:marRight w:val="0"/>
              <w:marTop w:val="0"/>
              <w:marBottom w:val="0"/>
              <w:divBdr>
                <w:top w:val="none" w:sz="0" w:space="0" w:color="auto"/>
                <w:left w:val="none" w:sz="0" w:space="0" w:color="auto"/>
                <w:bottom w:val="none" w:sz="0" w:space="0" w:color="auto"/>
                <w:right w:val="none" w:sz="0" w:space="0" w:color="auto"/>
              </w:divBdr>
              <w:divsChild>
                <w:div w:id="1786070602">
                  <w:marLeft w:val="0"/>
                  <w:marRight w:val="0"/>
                  <w:marTop w:val="0"/>
                  <w:marBottom w:val="0"/>
                  <w:divBdr>
                    <w:top w:val="none" w:sz="0" w:space="0" w:color="auto"/>
                    <w:left w:val="none" w:sz="0" w:space="0" w:color="auto"/>
                    <w:bottom w:val="none" w:sz="0" w:space="0" w:color="auto"/>
                    <w:right w:val="none" w:sz="0" w:space="0" w:color="auto"/>
                  </w:divBdr>
                </w:div>
              </w:divsChild>
            </w:div>
            <w:div w:id="647441860">
              <w:marLeft w:val="0"/>
              <w:marRight w:val="0"/>
              <w:marTop w:val="300"/>
              <w:marBottom w:val="300"/>
              <w:divBdr>
                <w:top w:val="none" w:sz="0" w:space="0" w:color="auto"/>
                <w:left w:val="none" w:sz="0" w:space="0" w:color="auto"/>
                <w:bottom w:val="none" w:sz="0" w:space="0" w:color="auto"/>
                <w:right w:val="none" w:sz="0" w:space="0" w:color="auto"/>
              </w:divBdr>
            </w:div>
            <w:div w:id="649408788">
              <w:marLeft w:val="0"/>
              <w:marRight w:val="0"/>
              <w:marTop w:val="0"/>
              <w:marBottom w:val="0"/>
              <w:divBdr>
                <w:top w:val="none" w:sz="0" w:space="0" w:color="auto"/>
                <w:left w:val="none" w:sz="0" w:space="0" w:color="auto"/>
                <w:bottom w:val="none" w:sz="0" w:space="0" w:color="auto"/>
                <w:right w:val="none" w:sz="0" w:space="0" w:color="auto"/>
              </w:divBdr>
              <w:divsChild>
                <w:div w:id="1220701546">
                  <w:marLeft w:val="0"/>
                  <w:marRight w:val="0"/>
                  <w:marTop w:val="0"/>
                  <w:marBottom w:val="0"/>
                  <w:divBdr>
                    <w:top w:val="none" w:sz="0" w:space="0" w:color="auto"/>
                    <w:left w:val="none" w:sz="0" w:space="0" w:color="auto"/>
                    <w:bottom w:val="none" w:sz="0" w:space="0" w:color="auto"/>
                    <w:right w:val="none" w:sz="0" w:space="0" w:color="auto"/>
                  </w:divBdr>
                </w:div>
              </w:divsChild>
            </w:div>
            <w:div w:id="649753991">
              <w:marLeft w:val="0"/>
              <w:marRight w:val="0"/>
              <w:marTop w:val="0"/>
              <w:marBottom w:val="0"/>
              <w:divBdr>
                <w:top w:val="none" w:sz="0" w:space="0" w:color="auto"/>
                <w:left w:val="none" w:sz="0" w:space="0" w:color="auto"/>
                <w:bottom w:val="none" w:sz="0" w:space="0" w:color="auto"/>
                <w:right w:val="none" w:sz="0" w:space="0" w:color="auto"/>
              </w:divBdr>
              <w:divsChild>
                <w:div w:id="1417824706">
                  <w:marLeft w:val="0"/>
                  <w:marRight w:val="0"/>
                  <w:marTop w:val="0"/>
                  <w:marBottom w:val="0"/>
                  <w:divBdr>
                    <w:top w:val="none" w:sz="0" w:space="0" w:color="auto"/>
                    <w:left w:val="none" w:sz="0" w:space="0" w:color="auto"/>
                    <w:bottom w:val="none" w:sz="0" w:space="0" w:color="auto"/>
                    <w:right w:val="none" w:sz="0" w:space="0" w:color="auto"/>
                  </w:divBdr>
                </w:div>
              </w:divsChild>
            </w:div>
            <w:div w:id="651718752">
              <w:marLeft w:val="0"/>
              <w:marRight w:val="0"/>
              <w:marTop w:val="0"/>
              <w:marBottom w:val="0"/>
              <w:divBdr>
                <w:top w:val="none" w:sz="0" w:space="0" w:color="auto"/>
                <w:left w:val="none" w:sz="0" w:space="0" w:color="auto"/>
                <w:bottom w:val="none" w:sz="0" w:space="0" w:color="auto"/>
                <w:right w:val="none" w:sz="0" w:space="0" w:color="auto"/>
              </w:divBdr>
              <w:divsChild>
                <w:div w:id="1110901534">
                  <w:marLeft w:val="0"/>
                  <w:marRight w:val="0"/>
                  <w:marTop w:val="0"/>
                  <w:marBottom w:val="0"/>
                  <w:divBdr>
                    <w:top w:val="none" w:sz="0" w:space="0" w:color="auto"/>
                    <w:left w:val="none" w:sz="0" w:space="0" w:color="auto"/>
                    <w:bottom w:val="none" w:sz="0" w:space="0" w:color="auto"/>
                    <w:right w:val="none" w:sz="0" w:space="0" w:color="auto"/>
                  </w:divBdr>
                </w:div>
              </w:divsChild>
            </w:div>
            <w:div w:id="652948061">
              <w:marLeft w:val="0"/>
              <w:marRight w:val="0"/>
              <w:marTop w:val="0"/>
              <w:marBottom w:val="0"/>
              <w:divBdr>
                <w:top w:val="none" w:sz="0" w:space="0" w:color="auto"/>
                <w:left w:val="none" w:sz="0" w:space="0" w:color="auto"/>
                <w:bottom w:val="none" w:sz="0" w:space="0" w:color="auto"/>
                <w:right w:val="none" w:sz="0" w:space="0" w:color="auto"/>
              </w:divBdr>
              <w:divsChild>
                <w:div w:id="1542935799">
                  <w:marLeft w:val="0"/>
                  <w:marRight w:val="0"/>
                  <w:marTop w:val="0"/>
                  <w:marBottom w:val="0"/>
                  <w:divBdr>
                    <w:top w:val="none" w:sz="0" w:space="0" w:color="auto"/>
                    <w:left w:val="none" w:sz="0" w:space="0" w:color="auto"/>
                    <w:bottom w:val="none" w:sz="0" w:space="0" w:color="auto"/>
                    <w:right w:val="none" w:sz="0" w:space="0" w:color="auto"/>
                  </w:divBdr>
                </w:div>
              </w:divsChild>
            </w:div>
            <w:div w:id="655230528">
              <w:marLeft w:val="0"/>
              <w:marRight w:val="0"/>
              <w:marTop w:val="0"/>
              <w:marBottom w:val="0"/>
              <w:divBdr>
                <w:top w:val="none" w:sz="0" w:space="0" w:color="auto"/>
                <w:left w:val="none" w:sz="0" w:space="0" w:color="auto"/>
                <w:bottom w:val="none" w:sz="0" w:space="0" w:color="auto"/>
                <w:right w:val="none" w:sz="0" w:space="0" w:color="auto"/>
              </w:divBdr>
              <w:divsChild>
                <w:div w:id="519589371">
                  <w:marLeft w:val="0"/>
                  <w:marRight w:val="0"/>
                  <w:marTop w:val="0"/>
                  <w:marBottom w:val="0"/>
                  <w:divBdr>
                    <w:top w:val="none" w:sz="0" w:space="0" w:color="auto"/>
                    <w:left w:val="none" w:sz="0" w:space="0" w:color="auto"/>
                    <w:bottom w:val="none" w:sz="0" w:space="0" w:color="auto"/>
                    <w:right w:val="none" w:sz="0" w:space="0" w:color="auto"/>
                  </w:divBdr>
                </w:div>
              </w:divsChild>
            </w:div>
            <w:div w:id="655573682">
              <w:marLeft w:val="0"/>
              <w:marRight w:val="0"/>
              <w:marTop w:val="0"/>
              <w:marBottom w:val="0"/>
              <w:divBdr>
                <w:top w:val="none" w:sz="0" w:space="0" w:color="auto"/>
                <w:left w:val="none" w:sz="0" w:space="0" w:color="auto"/>
                <w:bottom w:val="none" w:sz="0" w:space="0" w:color="auto"/>
                <w:right w:val="none" w:sz="0" w:space="0" w:color="auto"/>
              </w:divBdr>
              <w:divsChild>
                <w:div w:id="343939165">
                  <w:marLeft w:val="0"/>
                  <w:marRight w:val="0"/>
                  <w:marTop w:val="0"/>
                  <w:marBottom w:val="0"/>
                  <w:divBdr>
                    <w:top w:val="none" w:sz="0" w:space="0" w:color="auto"/>
                    <w:left w:val="none" w:sz="0" w:space="0" w:color="auto"/>
                    <w:bottom w:val="none" w:sz="0" w:space="0" w:color="auto"/>
                    <w:right w:val="none" w:sz="0" w:space="0" w:color="auto"/>
                  </w:divBdr>
                </w:div>
              </w:divsChild>
            </w:div>
            <w:div w:id="656614351">
              <w:marLeft w:val="0"/>
              <w:marRight w:val="0"/>
              <w:marTop w:val="0"/>
              <w:marBottom w:val="0"/>
              <w:divBdr>
                <w:top w:val="none" w:sz="0" w:space="0" w:color="auto"/>
                <w:left w:val="none" w:sz="0" w:space="0" w:color="auto"/>
                <w:bottom w:val="none" w:sz="0" w:space="0" w:color="auto"/>
                <w:right w:val="none" w:sz="0" w:space="0" w:color="auto"/>
              </w:divBdr>
              <w:divsChild>
                <w:div w:id="1984038727">
                  <w:marLeft w:val="0"/>
                  <w:marRight w:val="0"/>
                  <w:marTop w:val="0"/>
                  <w:marBottom w:val="0"/>
                  <w:divBdr>
                    <w:top w:val="none" w:sz="0" w:space="0" w:color="auto"/>
                    <w:left w:val="none" w:sz="0" w:space="0" w:color="auto"/>
                    <w:bottom w:val="none" w:sz="0" w:space="0" w:color="auto"/>
                    <w:right w:val="none" w:sz="0" w:space="0" w:color="auto"/>
                  </w:divBdr>
                </w:div>
              </w:divsChild>
            </w:div>
            <w:div w:id="656692725">
              <w:marLeft w:val="0"/>
              <w:marRight w:val="0"/>
              <w:marTop w:val="0"/>
              <w:marBottom w:val="0"/>
              <w:divBdr>
                <w:top w:val="none" w:sz="0" w:space="0" w:color="auto"/>
                <w:left w:val="none" w:sz="0" w:space="0" w:color="auto"/>
                <w:bottom w:val="none" w:sz="0" w:space="0" w:color="auto"/>
                <w:right w:val="none" w:sz="0" w:space="0" w:color="auto"/>
              </w:divBdr>
              <w:divsChild>
                <w:div w:id="1379162920">
                  <w:marLeft w:val="0"/>
                  <w:marRight w:val="0"/>
                  <w:marTop w:val="0"/>
                  <w:marBottom w:val="0"/>
                  <w:divBdr>
                    <w:top w:val="none" w:sz="0" w:space="0" w:color="auto"/>
                    <w:left w:val="none" w:sz="0" w:space="0" w:color="auto"/>
                    <w:bottom w:val="none" w:sz="0" w:space="0" w:color="auto"/>
                    <w:right w:val="none" w:sz="0" w:space="0" w:color="auto"/>
                  </w:divBdr>
                </w:div>
              </w:divsChild>
            </w:div>
            <w:div w:id="657802801">
              <w:marLeft w:val="0"/>
              <w:marRight w:val="0"/>
              <w:marTop w:val="300"/>
              <w:marBottom w:val="300"/>
              <w:divBdr>
                <w:top w:val="none" w:sz="0" w:space="0" w:color="auto"/>
                <w:left w:val="none" w:sz="0" w:space="0" w:color="auto"/>
                <w:bottom w:val="none" w:sz="0" w:space="0" w:color="auto"/>
                <w:right w:val="none" w:sz="0" w:space="0" w:color="auto"/>
              </w:divBdr>
            </w:div>
            <w:div w:id="657852515">
              <w:marLeft w:val="0"/>
              <w:marRight w:val="0"/>
              <w:marTop w:val="0"/>
              <w:marBottom w:val="0"/>
              <w:divBdr>
                <w:top w:val="none" w:sz="0" w:space="0" w:color="auto"/>
                <w:left w:val="none" w:sz="0" w:space="0" w:color="auto"/>
                <w:bottom w:val="none" w:sz="0" w:space="0" w:color="auto"/>
                <w:right w:val="none" w:sz="0" w:space="0" w:color="auto"/>
              </w:divBdr>
              <w:divsChild>
                <w:div w:id="416022959">
                  <w:marLeft w:val="0"/>
                  <w:marRight w:val="0"/>
                  <w:marTop w:val="0"/>
                  <w:marBottom w:val="0"/>
                  <w:divBdr>
                    <w:top w:val="none" w:sz="0" w:space="0" w:color="auto"/>
                    <w:left w:val="none" w:sz="0" w:space="0" w:color="auto"/>
                    <w:bottom w:val="none" w:sz="0" w:space="0" w:color="auto"/>
                    <w:right w:val="none" w:sz="0" w:space="0" w:color="auto"/>
                  </w:divBdr>
                </w:div>
              </w:divsChild>
            </w:div>
            <w:div w:id="660161708">
              <w:marLeft w:val="0"/>
              <w:marRight w:val="0"/>
              <w:marTop w:val="300"/>
              <w:marBottom w:val="300"/>
              <w:divBdr>
                <w:top w:val="none" w:sz="0" w:space="0" w:color="auto"/>
                <w:left w:val="none" w:sz="0" w:space="0" w:color="auto"/>
                <w:bottom w:val="none" w:sz="0" w:space="0" w:color="auto"/>
                <w:right w:val="none" w:sz="0" w:space="0" w:color="auto"/>
              </w:divBdr>
            </w:div>
            <w:div w:id="660276356">
              <w:marLeft w:val="0"/>
              <w:marRight w:val="0"/>
              <w:marTop w:val="0"/>
              <w:marBottom w:val="0"/>
              <w:divBdr>
                <w:top w:val="none" w:sz="0" w:space="0" w:color="auto"/>
                <w:left w:val="none" w:sz="0" w:space="0" w:color="auto"/>
                <w:bottom w:val="none" w:sz="0" w:space="0" w:color="auto"/>
                <w:right w:val="none" w:sz="0" w:space="0" w:color="auto"/>
              </w:divBdr>
              <w:divsChild>
                <w:div w:id="2116559612">
                  <w:marLeft w:val="0"/>
                  <w:marRight w:val="0"/>
                  <w:marTop w:val="0"/>
                  <w:marBottom w:val="0"/>
                  <w:divBdr>
                    <w:top w:val="none" w:sz="0" w:space="0" w:color="auto"/>
                    <w:left w:val="none" w:sz="0" w:space="0" w:color="auto"/>
                    <w:bottom w:val="none" w:sz="0" w:space="0" w:color="auto"/>
                    <w:right w:val="none" w:sz="0" w:space="0" w:color="auto"/>
                  </w:divBdr>
                </w:div>
              </w:divsChild>
            </w:div>
            <w:div w:id="660931471">
              <w:marLeft w:val="0"/>
              <w:marRight w:val="0"/>
              <w:marTop w:val="0"/>
              <w:marBottom w:val="0"/>
              <w:divBdr>
                <w:top w:val="none" w:sz="0" w:space="0" w:color="auto"/>
                <w:left w:val="none" w:sz="0" w:space="0" w:color="auto"/>
                <w:bottom w:val="none" w:sz="0" w:space="0" w:color="auto"/>
                <w:right w:val="none" w:sz="0" w:space="0" w:color="auto"/>
              </w:divBdr>
              <w:divsChild>
                <w:div w:id="950547787">
                  <w:marLeft w:val="0"/>
                  <w:marRight w:val="0"/>
                  <w:marTop w:val="0"/>
                  <w:marBottom w:val="0"/>
                  <w:divBdr>
                    <w:top w:val="none" w:sz="0" w:space="0" w:color="auto"/>
                    <w:left w:val="none" w:sz="0" w:space="0" w:color="auto"/>
                    <w:bottom w:val="none" w:sz="0" w:space="0" w:color="auto"/>
                    <w:right w:val="none" w:sz="0" w:space="0" w:color="auto"/>
                  </w:divBdr>
                </w:div>
              </w:divsChild>
            </w:div>
            <w:div w:id="662465077">
              <w:marLeft w:val="0"/>
              <w:marRight w:val="0"/>
              <w:marTop w:val="300"/>
              <w:marBottom w:val="300"/>
              <w:divBdr>
                <w:top w:val="none" w:sz="0" w:space="0" w:color="auto"/>
                <w:left w:val="none" w:sz="0" w:space="0" w:color="auto"/>
                <w:bottom w:val="none" w:sz="0" w:space="0" w:color="auto"/>
                <w:right w:val="none" w:sz="0" w:space="0" w:color="auto"/>
              </w:divBdr>
            </w:div>
            <w:div w:id="663631301">
              <w:marLeft w:val="0"/>
              <w:marRight w:val="0"/>
              <w:marTop w:val="0"/>
              <w:marBottom w:val="0"/>
              <w:divBdr>
                <w:top w:val="none" w:sz="0" w:space="0" w:color="auto"/>
                <w:left w:val="none" w:sz="0" w:space="0" w:color="auto"/>
                <w:bottom w:val="none" w:sz="0" w:space="0" w:color="auto"/>
                <w:right w:val="none" w:sz="0" w:space="0" w:color="auto"/>
              </w:divBdr>
              <w:divsChild>
                <w:div w:id="1940676999">
                  <w:marLeft w:val="0"/>
                  <w:marRight w:val="0"/>
                  <w:marTop w:val="0"/>
                  <w:marBottom w:val="0"/>
                  <w:divBdr>
                    <w:top w:val="none" w:sz="0" w:space="0" w:color="auto"/>
                    <w:left w:val="none" w:sz="0" w:space="0" w:color="auto"/>
                    <w:bottom w:val="none" w:sz="0" w:space="0" w:color="auto"/>
                    <w:right w:val="none" w:sz="0" w:space="0" w:color="auto"/>
                  </w:divBdr>
                </w:div>
              </w:divsChild>
            </w:div>
            <w:div w:id="665787829">
              <w:marLeft w:val="0"/>
              <w:marRight w:val="0"/>
              <w:marTop w:val="0"/>
              <w:marBottom w:val="0"/>
              <w:divBdr>
                <w:top w:val="none" w:sz="0" w:space="0" w:color="auto"/>
                <w:left w:val="none" w:sz="0" w:space="0" w:color="auto"/>
                <w:bottom w:val="none" w:sz="0" w:space="0" w:color="auto"/>
                <w:right w:val="none" w:sz="0" w:space="0" w:color="auto"/>
              </w:divBdr>
              <w:divsChild>
                <w:div w:id="1082408799">
                  <w:marLeft w:val="0"/>
                  <w:marRight w:val="0"/>
                  <w:marTop w:val="0"/>
                  <w:marBottom w:val="0"/>
                  <w:divBdr>
                    <w:top w:val="none" w:sz="0" w:space="0" w:color="auto"/>
                    <w:left w:val="none" w:sz="0" w:space="0" w:color="auto"/>
                    <w:bottom w:val="none" w:sz="0" w:space="0" w:color="auto"/>
                    <w:right w:val="none" w:sz="0" w:space="0" w:color="auto"/>
                  </w:divBdr>
                </w:div>
              </w:divsChild>
            </w:div>
            <w:div w:id="665791885">
              <w:marLeft w:val="0"/>
              <w:marRight w:val="0"/>
              <w:marTop w:val="0"/>
              <w:marBottom w:val="0"/>
              <w:divBdr>
                <w:top w:val="none" w:sz="0" w:space="0" w:color="auto"/>
                <w:left w:val="none" w:sz="0" w:space="0" w:color="auto"/>
                <w:bottom w:val="none" w:sz="0" w:space="0" w:color="auto"/>
                <w:right w:val="none" w:sz="0" w:space="0" w:color="auto"/>
              </w:divBdr>
              <w:divsChild>
                <w:div w:id="505903560">
                  <w:marLeft w:val="0"/>
                  <w:marRight w:val="0"/>
                  <w:marTop w:val="0"/>
                  <w:marBottom w:val="0"/>
                  <w:divBdr>
                    <w:top w:val="none" w:sz="0" w:space="0" w:color="auto"/>
                    <w:left w:val="none" w:sz="0" w:space="0" w:color="auto"/>
                    <w:bottom w:val="none" w:sz="0" w:space="0" w:color="auto"/>
                    <w:right w:val="none" w:sz="0" w:space="0" w:color="auto"/>
                  </w:divBdr>
                </w:div>
              </w:divsChild>
            </w:div>
            <w:div w:id="666204118">
              <w:marLeft w:val="0"/>
              <w:marRight w:val="0"/>
              <w:marTop w:val="0"/>
              <w:marBottom w:val="0"/>
              <w:divBdr>
                <w:top w:val="none" w:sz="0" w:space="0" w:color="auto"/>
                <w:left w:val="none" w:sz="0" w:space="0" w:color="auto"/>
                <w:bottom w:val="none" w:sz="0" w:space="0" w:color="auto"/>
                <w:right w:val="none" w:sz="0" w:space="0" w:color="auto"/>
              </w:divBdr>
              <w:divsChild>
                <w:div w:id="1164593572">
                  <w:marLeft w:val="0"/>
                  <w:marRight w:val="0"/>
                  <w:marTop w:val="0"/>
                  <w:marBottom w:val="0"/>
                  <w:divBdr>
                    <w:top w:val="none" w:sz="0" w:space="0" w:color="auto"/>
                    <w:left w:val="none" w:sz="0" w:space="0" w:color="auto"/>
                    <w:bottom w:val="none" w:sz="0" w:space="0" w:color="auto"/>
                    <w:right w:val="none" w:sz="0" w:space="0" w:color="auto"/>
                  </w:divBdr>
                </w:div>
              </w:divsChild>
            </w:div>
            <w:div w:id="667173369">
              <w:marLeft w:val="0"/>
              <w:marRight w:val="0"/>
              <w:marTop w:val="0"/>
              <w:marBottom w:val="0"/>
              <w:divBdr>
                <w:top w:val="none" w:sz="0" w:space="0" w:color="auto"/>
                <w:left w:val="none" w:sz="0" w:space="0" w:color="auto"/>
                <w:bottom w:val="none" w:sz="0" w:space="0" w:color="auto"/>
                <w:right w:val="none" w:sz="0" w:space="0" w:color="auto"/>
              </w:divBdr>
              <w:divsChild>
                <w:div w:id="2013222295">
                  <w:marLeft w:val="0"/>
                  <w:marRight w:val="0"/>
                  <w:marTop w:val="0"/>
                  <w:marBottom w:val="0"/>
                  <w:divBdr>
                    <w:top w:val="none" w:sz="0" w:space="0" w:color="auto"/>
                    <w:left w:val="none" w:sz="0" w:space="0" w:color="auto"/>
                    <w:bottom w:val="none" w:sz="0" w:space="0" w:color="auto"/>
                    <w:right w:val="none" w:sz="0" w:space="0" w:color="auto"/>
                  </w:divBdr>
                </w:div>
              </w:divsChild>
            </w:div>
            <w:div w:id="671642243">
              <w:marLeft w:val="0"/>
              <w:marRight w:val="0"/>
              <w:marTop w:val="0"/>
              <w:marBottom w:val="0"/>
              <w:divBdr>
                <w:top w:val="none" w:sz="0" w:space="0" w:color="auto"/>
                <w:left w:val="none" w:sz="0" w:space="0" w:color="auto"/>
                <w:bottom w:val="none" w:sz="0" w:space="0" w:color="auto"/>
                <w:right w:val="none" w:sz="0" w:space="0" w:color="auto"/>
              </w:divBdr>
              <w:divsChild>
                <w:div w:id="283001241">
                  <w:marLeft w:val="0"/>
                  <w:marRight w:val="0"/>
                  <w:marTop w:val="0"/>
                  <w:marBottom w:val="0"/>
                  <w:divBdr>
                    <w:top w:val="none" w:sz="0" w:space="0" w:color="auto"/>
                    <w:left w:val="none" w:sz="0" w:space="0" w:color="auto"/>
                    <w:bottom w:val="none" w:sz="0" w:space="0" w:color="auto"/>
                    <w:right w:val="none" w:sz="0" w:space="0" w:color="auto"/>
                  </w:divBdr>
                </w:div>
              </w:divsChild>
            </w:div>
            <w:div w:id="672300981">
              <w:marLeft w:val="0"/>
              <w:marRight w:val="0"/>
              <w:marTop w:val="0"/>
              <w:marBottom w:val="0"/>
              <w:divBdr>
                <w:top w:val="none" w:sz="0" w:space="0" w:color="auto"/>
                <w:left w:val="none" w:sz="0" w:space="0" w:color="auto"/>
                <w:bottom w:val="none" w:sz="0" w:space="0" w:color="auto"/>
                <w:right w:val="none" w:sz="0" w:space="0" w:color="auto"/>
              </w:divBdr>
              <w:divsChild>
                <w:div w:id="1798253245">
                  <w:marLeft w:val="0"/>
                  <w:marRight w:val="0"/>
                  <w:marTop w:val="0"/>
                  <w:marBottom w:val="0"/>
                  <w:divBdr>
                    <w:top w:val="none" w:sz="0" w:space="0" w:color="auto"/>
                    <w:left w:val="none" w:sz="0" w:space="0" w:color="auto"/>
                    <w:bottom w:val="none" w:sz="0" w:space="0" w:color="auto"/>
                    <w:right w:val="none" w:sz="0" w:space="0" w:color="auto"/>
                  </w:divBdr>
                </w:div>
              </w:divsChild>
            </w:div>
            <w:div w:id="672531185">
              <w:marLeft w:val="0"/>
              <w:marRight w:val="0"/>
              <w:marTop w:val="0"/>
              <w:marBottom w:val="0"/>
              <w:divBdr>
                <w:top w:val="none" w:sz="0" w:space="0" w:color="auto"/>
                <w:left w:val="none" w:sz="0" w:space="0" w:color="auto"/>
                <w:bottom w:val="none" w:sz="0" w:space="0" w:color="auto"/>
                <w:right w:val="none" w:sz="0" w:space="0" w:color="auto"/>
              </w:divBdr>
              <w:divsChild>
                <w:div w:id="1894777370">
                  <w:marLeft w:val="0"/>
                  <w:marRight w:val="0"/>
                  <w:marTop w:val="0"/>
                  <w:marBottom w:val="0"/>
                  <w:divBdr>
                    <w:top w:val="none" w:sz="0" w:space="0" w:color="auto"/>
                    <w:left w:val="none" w:sz="0" w:space="0" w:color="auto"/>
                    <w:bottom w:val="none" w:sz="0" w:space="0" w:color="auto"/>
                    <w:right w:val="none" w:sz="0" w:space="0" w:color="auto"/>
                  </w:divBdr>
                </w:div>
              </w:divsChild>
            </w:div>
            <w:div w:id="672562966">
              <w:marLeft w:val="0"/>
              <w:marRight w:val="0"/>
              <w:marTop w:val="0"/>
              <w:marBottom w:val="0"/>
              <w:divBdr>
                <w:top w:val="none" w:sz="0" w:space="0" w:color="auto"/>
                <w:left w:val="none" w:sz="0" w:space="0" w:color="auto"/>
                <w:bottom w:val="none" w:sz="0" w:space="0" w:color="auto"/>
                <w:right w:val="none" w:sz="0" w:space="0" w:color="auto"/>
              </w:divBdr>
              <w:divsChild>
                <w:div w:id="1048263555">
                  <w:marLeft w:val="0"/>
                  <w:marRight w:val="0"/>
                  <w:marTop w:val="0"/>
                  <w:marBottom w:val="0"/>
                  <w:divBdr>
                    <w:top w:val="none" w:sz="0" w:space="0" w:color="auto"/>
                    <w:left w:val="none" w:sz="0" w:space="0" w:color="auto"/>
                    <w:bottom w:val="none" w:sz="0" w:space="0" w:color="auto"/>
                    <w:right w:val="none" w:sz="0" w:space="0" w:color="auto"/>
                  </w:divBdr>
                </w:div>
              </w:divsChild>
            </w:div>
            <w:div w:id="675155234">
              <w:marLeft w:val="0"/>
              <w:marRight w:val="0"/>
              <w:marTop w:val="0"/>
              <w:marBottom w:val="0"/>
              <w:divBdr>
                <w:top w:val="none" w:sz="0" w:space="0" w:color="auto"/>
                <w:left w:val="none" w:sz="0" w:space="0" w:color="auto"/>
                <w:bottom w:val="none" w:sz="0" w:space="0" w:color="auto"/>
                <w:right w:val="none" w:sz="0" w:space="0" w:color="auto"/>
              </w:divBdr>
              <w:divsChild>
                <w:div w:id="283074164">
                  <w:marLeft w:val="0"/>
                  <w:marRight w:val="0"/>
                  <w:marTop w:val="0"/>
                  <w:marBottom w:val="0"/>
                  <w:divBdr>
                    <w:top w:val="none" w:sz="0" w:space="0" w:color="auto"/>
                    <w:left w:val="none" w:sz="0" w:space="0" w:color="auto"/>
                    <w:bottom w:val="none" w:sz="0" w:space="0" w:color="auto"/>
                    <w:right w:val="none" w:sz="0" w:space="0" w:color="auto"/>
                  </w:divBdr>
                </w:div>
              </w:divsChild>
            </w:div>
            <w:div w:id="676494275">
              <w:marLeft w:val="0"/>
              <w:marRight w:val="0"/>
              <w:marTop w:val="0"/>
              <w:marBottom w:val="0"/>
              <w:divBdr>
                <w:top w:val="none" w:sz="0" w:space="0" w:color="auto"/>
                <w:left w:val="none" w:sz="0" w:space="0" w:color="auto"/>
                <w:bottom w:val="none" w:sz="0" w:space="0" w:color="auto"/>
                <w:right w:val="none" w:sz="0" w:space="0" w:color="auto"/>
              </w:divBdr>
              <w:divsChild>
                <w:div w:id="2123068759">
                  <w:marLeft w:val="0"/>
                  <w:marRight w:val="0"/>
                  <w:marTop w:val="0"/>
                  <w:marBottom w:val="0"/>
                  <w:divBdr>
                    <w:top w:val="none" w:sz="0" w:space="0" w:color="auto"/>
                    <w:left w:val="none" w:sz="0" w:space="0" w:color="auto"/>
                    <w:bottom w:val="none" w:sz="0" w:space="0" w:color="auto"/>
                    <w:right w:val="none" w:sz="0" w:space="0" w:color="auto"/>
                  </w:divBdr>
                </w:div>
              </w:divsChild>
            </w:div>
            <w:div w:id="679116579">
              <w:marLeft w:val="0"/>
              <w:marRight w:val="0"/>
              <w:marTop w:val="0"/>
              <w:marBottom w:val="0"/>
              <w:divBdr>
                <w:top w:val="none" w:sz="0" w:space="0" w:color="auto"/>
                <w:left w:val="none" w:sz="0" w:space="0" w:color="auto"/>
                <w:bottom w:val="none" w:sz="0" w:space="0" w:color="auto"/>
                <w:right w:val="none" w:sz="0" w:space="0" w:color="auto"/>
              </w:divBdr>
              <w:divsChild>
                <w:div w:id="165216827">
                  <w:marLeft w:val="0"/>
                  <w:marRight w:val="0"/>
                  <w:marTop w:val="0"/>
                  <w:marBottom w:val="0"/>
                  <w:divBdr>
                    <w:top w:val="none" w:sz="0" w:space="0" w:color="auto"/>
                    <w:left w:val="none" w:sz="0" w:space="0" w:color="auto"/>
                    <w:bottom w:val="none" w:sz="0" w:space="0" w:color="auto"/>
                    <w:right w:val="none" w:sz="0" w:space="0" w:color="auto"/>
                  </w:divBdr>
                </w:div>
              </w:divsChild>
            </w:div>
            <w:div w:id="681783651">
              <w:marLeft w:val="0"/>
              <w:marRight w:val="0"/>
              <w:marTop w:val="300"/>
              <w:marBottom w:val="300"/>
              <w:divBdr>
                <w:top w:val="none" w:sz="0" w:space="0" w:color="auto"/>
                <w:left w:val="none" w:sz="0" w:space="0" w:color="auto"/>
                <w:bottom w:val="none" w:sz="0" w:space="0" w:color="auto"/>
                <w:right w:val="none" w:sz="0" w:space="0" w:color="auto"/>
              </w:divBdr>
            </w:div>
            <w:div w:id="683096484">
              <w:marLeft w:val="0"/>
              <w:marRight w:val="0"/>
              <w:marTop w:val="300"/>
              <w:marBottom w:val="300"/>
              <w:divBdr>
                <w:top w:val="none" w:sz="0" w:space="0" w:color="auto"/>
                <w:left w:val="none" w:sz="0" w:space="0" w:color="auto"/>
                <w:bottom w:val="none" w:sz="0" w:space="0" w:color="auto"/>
                <w:right w:val="none" w:sz="0" w:space="0" w:color="auto"/>
              </w:divBdr>
            </w:div>
            <w:div w:id="684019935">
              <w:marLeft w:val="0"/>
              <w:marRight w:val="0"/>
              <w:marTop w:val="300"/>
              <w:marBottom w:val="300"/>
              <w:divBdr>
                <w:top w:val="none" w:sz="0" w:space="0" w:color="auto"/>
                <w:left w:val="none" w:sz="0" w:space="0" w:color="auto"/>
                <w:bottom w:val="none" w:sz="0" w:space="0" w:color="auto"/>
                <w:right w:val="none" w:sz="0" w:space="0" w:color="auto"/>
              </w:divBdr>
            </w:div>
            <w:div w:id="684286041">
              <w:marLeft w:val="0"/>
              <w:marRight w:val="0"/>
              <w:marTop w:val="0"/>
              <w:marBottom w:val="0"/>
              <w:divBdr>
                <w:top w:val="none" w:sz="0" w:space="0" w:color="auto"/>
                <w:left w:val="none" w:sz="0" w:space="0" w:color="auto"/>
                <w:bottom w:val="none" w:sz="0" w:space="0" w:color="auto"/>
                <w:right w:val="none" w:sz="0" w:space="0" w:color="auto"/>
              </w:divBdr>
              <w:divsChild>
                <w:div w:id="13969545">
                  <w:marLeft w:val="0"/>
                  <w:marRight w:val="0"/>
                  <w:marTop w:val="0"/>
                  <w:marBottom w:val="0"/>
                  <w:divBdr>
                    <w:top w:val="none" w:sz="0" w:space="0" w:color="auto"/>
                    <w:left w:val="none" w:sz="0" w:space="0" w:color="auto"/>
                    <w:bottom w:val="none" w:sz="0" w:space="0" w:color="auto"/>
                    <w:right w:val="none" w:sz="0" w:space="0" w:color="auto"/>
                  </w:divBdr>
                </w:div>
              </w:divsChild>
            </w:div>
            <w:div w:id="684674220">
              <w:marLeft w:val="0"/>
              <w:marRight w:val="0"/>
              <w:marTop w:val="0"/>
              <w:marBottom w:val="0"/>
              <w:divBdr>
                <w:top w:val="none" w:sz="0" w:space="0" w:color="auto"/>
                <w:left w:val="none" w:sz="0" w:space="0" w:color="auto"/>
                <w:bottom w:val="none" w:sz="0" w:space="0" w:color="auto"/>
                <w:right w:val="none" w:sz="0" w:space="0" w:color="auto"/>
              </w:divBdr>
              <w:divsChild>
                <w:div w:id="583994093">
                  <w:marLeft w:val="0"/>
                  <w:marRight w:val="0"/>
                  <w:marTop w:val="0"/>
                  <w:marBottom w:val="0"/>
                  <w:divBdr>
                    <w:top w:val="none" w:sz="0" w:space="0" w:color="auto"/>
                    <w:left w:val="none" w:sz="0" w:space="0" w:color="auto"/>
                    <w:bottom w:val="none" w:sz="0" w:space="0" w:color="auto"/>
                    <w:right w:val="none" w:sz="0" w:space="0" w:color="auto"/>
                  </w:divBdr>
                </w:div>
              </w:divsChild>
            </w:div>
            <w:div w:id="686951711">
              <w:marLeft w:val="0"/>
              <w:marRight w:val="0"/>
              <w:marTop w:val="0"/>
              <w:marBottom w:val="0"/>
              <w:divBdr>
                <w:top w:val="none" w:sz="0" w:space="0" w:color="auto"/>
                <w:left w:val="none" w:sz="0" w:space="0" w:color="auto"/>
                <w:bottom w:val="none" w:sz="0" w:space="0" w:color="auto"/>
                <w:right w:val="none" w:sz="0" w:space="0" w:color="auto"/>
              </w:divBdr>
              <w:divsChild>
                <w:div w:id="2104719032">
                  <w:marLeft w:val="0"/>
                  <w:marRight w:val="0"/>
                  <w:marTop w:val="0"/>
                  <w:marBottom w:val="0"/>
                  <w:divBdr>
                    <w:top w:val="none" w:sz="0" w:space="0" w:color="auto"/>
                    <w:left w:val="none" w:sz="0" w:space="0" w:color="auto"/>
                    <w:bottom w:val="none" w:sz="0" w:space="0" w:color="auto"/>
                    <w:right w:val="none" w:sz="0" w:space="0" w:color="auto"/>
                  </w:divBdr>
                </w:div>
              </w:divsChild>
            </w:div>
            <w:div w:id="687755643">
              <w:marLeft w:val="0"/>
              <w:marRight w:val="0"/>
              <w:marTop w:val="0"/>
              <w:marBottom w:val="0"/>
              <w:divBdr>
                <w:top w:val="none" w:sz="0" w:space="0" w:color="auto"/>
                <w:left w:val="none" w:sz="0" w:space="0" w:color="auto"/>
                <w:bottom w:val="none" w:sz="0" w:space="0" w:color="auto"/>
                <w:right w:val="none" w:sz="0" w:space="0" w:color="auto"/>
              </w:divBdr>
              <w:divsChild>
                <w:div w:id="1508864122">
                  <w:marLeft w:val="0"/>
                  <w:marRight w:val="0"/>
                  <w:marTop w:val="0"/>
                  <w:marBottom w:val="0"/>
                  <w:divBdr>
                    <w:top w:val="none" w:sz="0" w:space="0" w:color="auto"/>
                    <w:left w:val="none" w:sz="0" w:space="0" w:color="auto"/>
                    <w:bottom w:val="none" w:sz="0" w:space="0" w:color="auto"/>
                    <w:right w:val="none" w:sz="0" w:space="0" w:color="auto"/>
                  </w:divBdr>
                </w:div>
              </w:divsChild>
            </w:div>
            <w:div w:id="688025673">
              <w:marLeft w:val="0"/>
              <w:marRight w:val="0"/>
              <w:marTop w:val="0"/>
              <w:marBottom w:val="0"/>
              <w:divBdr>
                <w:top w:val="none" w:sz="0" w:space="0" w:color="auto"/>
                <w:left w:val="none" w:sz="0" w:space="0" w:color="auto"/>
                <w:bottom w:val="none" w:sz="0" w:space="0" w:color="auto"/>
                <w:right w:val="none" w:sz="0" w:space="0" w:color="auto"/>
              </w:divBdr>
              <w:divsChild>
                <w:div w:id="1868327764">
                  <w:marLeft w:val="0"/>
                  <w:marRight w:val="0"/>
                  <w:marTop w:val="0"/>
                  <w:marBottom w:val="0"/>
                  <w:divBdr>
                    <w:top w:val="none" w:sz="0" w:space="0" w:color="auto"/>
                    <w:left w:val="none" w:sz="0" w:space="0" w:color="auto"/>
                    <w:bottom w:val="none" w:sz="0" w:space="0" w:color="auto"/>
                    <w:right w:val="none" w:sz="0" w:space="0" w:color="auto"/>
                  </w:divBdr>
                </w:div>
              </w:divsChild>
            </w:div>
            <w:div w:id="688412152">
              <w:marLeft w:val="0"/>
              <w:marRight w:val="0"/>
              <w:marTop w:val="300"/>
              <w:marBottom w:val="300"/>
              <w:divBdr>
                <w:top w:val="none" w:sz="0" w:space="0" w:color="auto"/>
                <w:left w:val="none" w:sz="0" w:space="0" w:color="auto"/>
                <w:bottom w:val="none" w:sz="0" w:space="0" w:color="auto"/>
                <w:right w:val="none" w:sz="0" w:space="0" w:color="auto"/>
              </w:divBdr>
            </w:div>
            <w:div w:id="689452349">
              <w:marLeft w:val="0"/>
              <w:marRight w:val="0"/>
              <w:marTop w:val="0"/>
              <w:marBottom w:val="0"/>
              <w:divBdr>
                <w:top w:val="none" w:sz="0" w:space="0" w:color="auto"/>
                <w:left w:val="none" w:sz="0" w:space="0" w:color="auto"/>
                <w:bottom w:val="none" w:sz="0" w:space="0" w:color="auto"/>
                <w:right w:val="none" w:sz="0" w:space="0" w:color="auto"/>
              </w:divBdr>
              <w:divsChild>
                <w:div w:id="481624138">
                  <w:marLeft w:val="0"/>
                  <w:marRight w:val="0"/>
                  <w:marTop w:val="0"/>
                  <w:marBottom w:val="0"/>
                  <w:divBdr>
                    <w:top w:val="none" w:sz="0" w:space="0" w:color="auto"/>
                    <w:left w:val="none" w:sz="0" w:space="0" w:color="auto"/>
                    <w:bottom w:val="none" w:sz="0" w:space="0" w:color="auto"/>
                    <w:right w:val="none" w:sz="0" w:space="0" w:color="auto"/>
                  </w:divBdr>
                </w:div>
              </w:divsChild>
            </w:div>
            <w:div w:id="691416450">
              <w:marLeft w:val="0"/>
              <w:marRight w:val="0"/>
              <w:marTop w:val="0"/>
              <w:marBottom w:val="0"/>
              <w:divBdr>
                <w:top w:val="none" w:sz="0" w:space="0" w:color="auto"/>
                <w:left w:val="none" w:sz="0" w:space="0" w:color="auto"/>
                <w:bottom w:val="none" w:sz="0" w:space="0" w:color="auto"/>
                <w:right w:val="none" w:sz="0" w:space="0" w:color="auto"/>
              </w:divBdr>
              <w:divsChild>
                <w:div w:id="171143617">
                  <w:marLeft w:val="0"/>
                  <w:marRight w:val="0"/>
                  <w:marTop w:val="0"/>
                  <w:marBottom w:val="0"/>
                  <w:divBdr>
                    <w:top w:val="none" w:sz="0" w:space="0" w:color="auto"/>
                    <w:left w:val="none" w:sz="0" w:space="0" w:color="auto"/>
                    <w:bottom w:val="none" w:sz="0" w:space="0" w:color="auto"/>
                    <w:right w:val="none" w:sz="0" w:space="0" w:color="auto"/>
                  </w:divBdr>
                </w:div>
              </w:divsChild>
            </w:div>
            <w:div w:id="692389915">
              <w:marLeft w:val="0"/>
              <w:marRight w:val="0"/>
              <w:marTop w:val="300"/>
              <w:marBottom w:val="300"/>
              <w:divBdr>
                <w:top w:val="none" w:sz="0" w:space="0" w:color="auto"/>
                <w:left w:val="none" w:sz="0" w:space="0" w:color="auto"/>
                <w:bottom w:val="none" w:sz="0" w:space="0" w:color="auto"/>
                <w:right w:val="none" w:sz="0" w:space="0" w:color="auto"/>
              </w:divBdr>
            </w:div>
            <w:div w:id="693925108">
              <w:marLeft w:val="0"/>
              <w:marRight w:val="0"/>
              <w:marTop w:val="0"/>
              <w:marBottom w:val="0"/>
              <w:divBdr>
                <w:top w:val="none" w:sz="0" w:space="0" w:color="auto"/>
                <w:left w:val="none" w:sz="0" w:space="0" w:color="auto"/>
                <w:bottom w:val="none" w:sz="0" w:space="0" w:color="auto"/>
                <w:right w:val="none" w:sz="0" w:space="0" w:color="auto"/>
              </w:divBdr>
              <w:divsChild>
                <w:div w:id="1156536037">
                  <w:marLeft w:val="0"/>
                  <w:marRight w:val="0"/>
                  <w:marTop w:val="0"/>
                  <w:marBottom w:val="0"/>
                  <w:divBdr>
                    <w:top w:val="none" w:sz="0" w:space="0" w:color="auto"/>
                    <w:left w:val="none" w:sz="0" w:space="0" w:color="auto"/>
                    <w:bottom w:val="none" w:sz="0" w:space="0" w:color="auto"/>
                    <w:right w:val="none" w:sz="0" w:space="0" w:color="auto"/>
                  </w:divBdr>
                </w:div>
              </w:divsChild>
            </w:div>
            <w:div w:id="694697127">
              <w:marLeft w:val="0"/>
              <w:marRight w:val="0"/>
              <w:marTop w:val="300"/>
              <w:marBottom w:val="300"/>
              <w:divBdr>
                <w:top w:val="none" w:sz="0" w:space="0" w:color="auto"/>
                <w:left w:val="none" w:sz="0" w:space="0" w:color="auto"/>
                <w:bottom w:val="none" w:sz="0" w:space="0" w:color="auto"/>
                <w:right w:val="none" w:sz="0" w:space="0" w:color="auto"/>
              </w:divBdr>
            </w:div>
            <w:div w:id="694889726">
              <w:marLeft w:val="0"/>
              <w:marRight w:val="0"/>
              <w:marTop w:val="300"/>
              <w:marBottom w:val="300"/>
              <w:divBdr>
                <w:top w:val="none" w:sz="0" w:space="0" w:color="auto"/>
                <w:left w:val="none" w:sz="0" w:space="0" w:color="auto"/>
                <w:bottom w:val="none" w:sz="0" w:space="0" w:color="auto"/>
                <w:right w:val="none" w:sz="0" w:space="0" w:color="auto"/>
              </w:divBdr>
            </w:div>
            <w:div w:id="694967572">
              <w:marLeft w:val="0"/>
              <w:marRight w:val="0"/>
              <w:marTop w:val="300"/>
              <w:marBottom w:val="300"/>
              <w:divBdr>
                <w:top w:val="none" w:sz="0" w:space="0" w:color="auto"/>
                <w:left w:val="none" w:sz="0" w:space="0" w:color="auto"/>
                <w:bottom w:val="none" w:sz="0" w:space="0" w:color="auto"/>
                <w:right w:val="none" w:sz="0" w:space="0" w:color="auto"/>
              </w:divBdr>
            </w:div>
            <w:div w:id="695081114">
              <w:marLeft w:val="0"/>
              <w:marRight w:val="0"/>
              <w:marTop w:val="0"/>
              <w:marBottom w:val="0"/>
              <w:divBdr>
                <w:top w:val="none" w:sz="0" w:space="0" w:color="auto"/>
                <w:left w:val="none" w:sz="0" w:space="0" w:color="auto"/>
                <w:bottom w:val="none" w:sz="0" w:space="0" w:color="auto"/>
                <w:right w:val="none" w:sz="0" w:space="0" w:color="auto"/>
              </w:divBdr>
              <w:divsChild>
                <w:div w:id="1772629960">
                  <w:marLeft w:val="0"/>
                  <w:marRight w:val="0"/>
                  <w:marTop w:val="0"/>
                  <w:marBottom w:val="0"/>
                  <w:divBdr>
                    <w:top w:val="none" w:sz="0" w:space="0" w:color="auto"/>
                    <w:left w:val="none" w:sz="0" w:space="0" w:color="auto"/>
                    <w:bottom w:val="none" w:sz="0" w:space="0" w:color="auto"/>
                    <w:right w:val="none" w:sz="0" w:space="0" w:color="auto"/>
                  </w:divBdr>
                </w:div>
              </w:divsChild>
            </w:div>
            <w:div w:id="695887492">
              <w:marLeft w:val="0"/>
              <w:marRight w:val="0"/>
              <w:marTop w:val="0"/>
              <w:marBottom w:val="0"/>
              <w:divBdr>
                <w:top w:val="none" w:sz="0" w:space="0" w:color="auto"/>
                <w:left w:val="none" w:sz="0" w:space="0" w:color="auto"/>
                <w:bottom w:val="none" w:sz="0" w:space="0" w:color="auto"/>
                <w:right w:val="none" w:sz="0" w:space="0" w:color="auto"/>
              </w:divBdr>
              <w:divsChild>
                <w:div w:id="2105611767">
                  <w:marLeft w:val="0"/>
                  <w:marRight w:val="0"/>
                  <w:marTop w:val="0"/>
                  <w:marBottom w:val="0"/>
                  <w:divBdr>
                    <w:top w:val="none" w:sz="0" w:space="0" w:color="auto"/>
                    <w:left w:val="none" w:sz="0" w:space="0" w:color="auto"/>
                    <w:bottom w:val="none" w:sz="0" w:space="0" w:color="auto"/>
                    <w:right w:val="none" w:sz="0" w:space="0" w:color="auto"/>
                  </w:divBdr>
                </w:div>
              </w:divsChild>
            </w:div>
            <w:div w:id="696538406">
              <w:marLeft w:val="0"/>
              <w:marRight w:val="0"/>
              <w:marTop w:val="0"/>
              <w:marBottom w:val="0"/>
              <w:divBdr>
                <w:top w:val="none" w:sz="0" w:space="0" w:color="auto"/>
                <w:left w:val="none" w:sz="0" w:space="0" w:color="auto"/>
                <w:bottom w:val="none" w:sz="0" w:space="0" w:color="auto"/>
                <w:right w:val="none" w:sz="0" w:space="0" w:color="auto"/>
              </w:divBdr>
              <w:divsChild>
                <w:div w:id="404422997">
                  <w:marLeft w:val="0"/>
                  <w:marRight w:val="0"/>
                  <w:marTop w:val="0"/>
                  <w:marBottom w:val="0"/>
                  <w:divBdr>
                    <w:top w:val="none" w:sz="0" w:space="0" w:color="auto"/>
                    <w:left w:val="none" w:sz="0" w:space="0" w:color="auto"/>
                    <w:bottom w:val="none" w:sz="0" w:space="0" w:color="auto"/>
                    <w:right w:val="none" w:sz="0" w:space="0" w:color="auto"/>
                  </w:divBdr>
                </w:div>
              </w:divsChild>
            </w:div>
            <w:div w:id="696582284">
              <w:marLeft w:val="0"/>
              <w:marRight w:val="0"/>
              <w:marTop w:val="0"/>
              <w:marBottom w:val="0"/>
              <w:divBdr>
                <w:top w:val="none" w:sz="0" w:space="0" w:color="auto"/>
                <w:left w:val="none" w:sz="0" w:space="0" w:color="auto"/>
                <w:bottom w:val="none" w:sz="0" w:space="0" w:color="auto"/>
                <w:right w:val="none" w:sz="0" w:space="0" w:color="auto"/>
              </w:divBdr>
              <w:divsChild>
                <w:div w:id="1001472349">
                  <w:marLeft w:val="0"/>
                  <w:marRight w:val="0"/>
                  <w:marTop w:val="0"/>
                  <w:marBottom w:val="0"/>
                  <w:divBdr>
                    <w:top w:val="none" w:sz="0" w:space="0" w:color="auto"/>
                    <w:left w:val="none" w:sz="0" w:space="0" w:color="auto"/>
                    <w:bottom w:val="none" w:sz="0" w:space="0" w:color="auto"/>
                    <w:right w:val="none" w:sz="0" w:space="0" w:color="auto"/>
                  </w:divBdr>
                </w:div>
              </w:divsChild>
            </w:div>
            <w:div w:id="699167529">
              <w:marLeft w:val="0"/>
              <w:marRight w:val="0"/>
              <w:marTop w:val="0"/>
              <w:marBottom w:val="0"/>
              <w:divBdr>
                <w:top w:val="none" w:sz="0" w:space="0" w:color="auto"/>
                <w:left w:val="none" w:sz="0" w:space="0" w:color="auto"/>
                <w:bottom w:val="none" w:sz="0" w:space="0" w:color="auto"/>
                <w:right w:val="none" w:sz="0" w:space="0" w:color="auto"/>
              </w:divBdr>
              <w:divsChild>
                <w:div w:id="681248296">
                  <w:marLeft w:val="0"/>
                  <w:marRight w:val="0"/>
                  <w:marTop w:val="0"/>
                  <w:marBottom w:val="0"/>
                  <w:divBdr>
                    <w:top w:val="none" w:sz="0" w:space="0" w:color="auto"/>
                    <w:left w:val="none" w:sz="0" w:space="0" w:color="auto"/>
                    <w:bottom w:val="none" w:sz="0" w:space="0" w:color="auto"/>
                    <w:right w:val="none" w:sz="0" w:space="0" w:color="auto"/>
                  </w:divBdr>
                </w:div>
              </w:divsChild>
            </w:div>
            <w:div w:id="701131694">
              <w:marLeft w:val="0"/>
              <w:marRight w:val="0"/>
              <w:marTop w:val="0"/>
              <w:marBottom w:val="0"/>
              <w:divBdr>
                <w:top w:val="none" w:sz="0" w:space="0" w:color="auto"/>
                <w:left w:val="none" w:sz="0" w:space="0" w:color="auto"/>
                <w:bottom w:val="none" w:sz="0" w:space="0" w:color="auto"/>
                <w:right w:val="none" w:sz="0" w:space="0" w:color="auto"/>
              </w:divBdr>
              <w:divsChild>
                <w:div w:id="549615912">
                  <w:marLeft w:val="0"/>
                  <w:marRight w:val="0"/>
                  <w:marTop w:val="0"/>
                  <w:marBottom w:val="0"/>
                  <w:divBdr>
                    <w:top w:val="none" w:sz="0" w:space="0" w:color="auto"/>
                    <w:left w:val="none" w:sz="0" w:space="0" w:color="auto"/>
                    <w:bottom w:val="none" w:sz="0" w:space="0" w:color="auto"/>
                    <w:right w:val="none" w:sz="0" w:space="0" w:color="auto"/>
                  </w:divBdr>
                </w:div>
              </w:divsChild>
            </w:div>
            <w:div w:id="701634263">
              <w:marLeft w:val="0"/>
              <w:marRight w:val="0"/>
              <w:marTop w:val="0"/>
              <w:marBottom w:val="0"/>
              <w:divBdr>
                <w:top w:val="none" w:sz="0" w:space="0" w:color="auto"/>
                <w:left w:val="none" w:sz="0" w:space="0" w:color="auto"/>
                <w:bottom w:val="none" w:sz="0" w:space="0" w:color="auto"/>
                <w:right w:val="none" w:sz="0" w:space="0" w:color="auto"/>
              </w:divBdr>
              <w:divsChild>
                <w:div w:id="615257768">
                  <w:marLeft w:val="0"/>
                  <w:marRight w:val="0"/>
                  <w:marTop w:val="0"/>
                  <w:marBottom w:val="0"/>
                  <w:divBdr>
                    <w:top w:val="none" w:sz="0" w:space="0" w:color="auto"/>
                    <w:left w:val="none" w:sz="0" w:space="0" w:color="auto"/>
                    <w:bottom w:val="none" w:sz="0" w:space="0" w:color="auto"/>
                    <w:right w:val="none" w:sz="0" w:space="0" w:color="auto"/>
                  </w:divBdr>
                </w:div>
              </w:divsChild>
            </w:div>
            <w:div w:id="704986295">
              <w:marLeft w:val="0"/>
              <w:marRight w:val="0"/>
              <w:marTop w:val="0"/>
              <w:marBottom w:val="0"/>
              <w:divBdr>
                <w:top w:val="none" w:sz="0" w:space="0" w:color="auto"/>
                <w:left w:val="none" w:sz="0" w:space="0" w:color="auto"/>
                <w:bottom w:val="none" w:sz="0" w:space="0" w:color="auto"/>
                <w:right w:val="none" w:sz="0" w:space="0" w:color="auto"/>
              </w:divBdr>
              <w:divsChild>
                <w:div w:id="1255819894">
                  <w:marLeft w:val="0"/>
                  <w:marRight w:val="0"/>
                  <w:marTop w:val="0"/>
                  <w:marBottom w:val="0"/>
                  <w:divBdr>
                    <w:top w:val="none" w:sz="0" w:space="0" w:color="auto"/>
                    <w:left w:val="none" w:sz="0" w:space="0" w:color="auto"/>
                    <w:bottom w:val="none" w:sz="0" w:space="0" w:color="auto"/>
                    <w:right w:val="none" w:sz="0" w:space="0" w:color="auto"/>
                  </w:divBdr>
                </w:div>
              </w:divsChild>
            </w:div>
            <w:div w:id="706218173">
              <w:marLeft w:val="0"/>
              <w:marRight w:val="0"/>
              <w:marTop w:val="300"/>
              <w:marBottom w:val="300"/>
              <w:divBdr>
                <w:top w:val="none" w:sz="0" w:space="0" w:color="auto"/>
                <w:left w:val="none" w:sz="0" w:space="0" w:color="auto"/>
                <w:bottom w:val="none" w:sz="0" w:space="0" w:color="auto"/>
                <w:right w:val="none" w:sz="0" w:space="0" w:color="auto"/>
              </w:divBdr>
            </w:div>
            <w:div w:id="706293450">
              <w:marLeft w:val="0"/>
              <w:marRight w:val="0"/>
              <w:marTop w:val="0"/>
              <w:marBottom w:val="0"/>
              <w:divBdr>
                <w:top w:val="none" w:sz="0" w:space="0" w:color="auto"/>
                <w:left w:val="none" w:sz="0" w:space="0" w:color="auto"/>
                <w:bottom w:val="none" w:sz="0" w:space="0" w:color="auto"/>
                <w:right w:val="none" w:sz="0" w:space="0" w:color="auto"/>
              </w:divBdr>
              <w:divsChild>
                <w:div w:id="1187986340">
                  <w:marLeft w:val="0"/>
                  <w:marRight w:val="0"/>
                  <w:marTop w:val="0"/>
                  <w:marBottom w:val="0"/>
                  <w:divBdr>
                    <w:top w:val="none" w:sz="0" w:space="0" w:color="auto"/>
                    <w:left w:val="none" w:sz="0" w:space="0" w:color="auto"/>
                    <w:bottom w:val="none" w:sz="0" w:space="0" w:color="auto"/>
                    <w:right w:val="none" w:sz="0" w:space="0" w:color="auto"/>
                  </w:divBdr>
                </w:div>
              </w:divsChild>
            </w:div>
            <w:div w:id="706295678">
              <w:marLeft w:val="0"/>
              <w:marRight w:val="0"/>
              <w:marTop w:val="0"/>
              <w:marBottom w:val="0"/>
              <w:divBdr>
                <w:top w:val="none" w:sz="0" w:space="0" w:color="auto"/>
                <w:left w:val="none" w:sz="0" w:space="0" w:color="auto"/>
                <w:bottom w:val="none" w:sz="0" w:space="0" w:color="auto"/>
                <w:right w:val="none" w:sz="0" w:space="0" w:color="auto"/>
              </w:divBdr>
              <w:divsChild>
                <w:div w:id="1929804099">
                  <w:marLeft w:val="0"/>
                  <w:marRight w:val="0"/>
                  <w:marTop w:val="0"/>
                  <w:marBottom w:val="0"/>
                  <w:divBdr>
                    <w:top w:val="none" w:sz="0" w:space="0" w:color="auto"/>
                    <w:left w:val="none" w:sz="0" w:space="0" w:color="auto"/>
                    <w:bottom w:val="none" w:sz="0" w:space="0" w:color="auto"/>
                    <w:right w:val="none" w:sz="0" w:space="0" w:color="auto"/>
                  </w:divBdr>
                </w:div>
              </w:divsChild>
            </w:div>
            <w:div w:id="706640805">
              <w:marLeft w:val="0"/>
              <w:marRight w:val="0"/>
              <w:marTop w:val="0"/>
              <w:marBottom w:val="0"/>
              <w:divBdr>
                <w:top w:val="none" w:sz="0" w:space="0" w:color="auto"/>
                <w:left w:val="none" w:sz="0" w:space="0" w:color="auto"/>
                <w:bottom w:val="none" w:sz="0" w:space="0" w:color="auto"/>
                <w:right w:val="none" w:sz="0" w:space="0" w:color="auto"/>
              </w:divBdr>
              <w:divsChild>
                <w:div w:id="994262652">
                  <w:marLeft w:val="0"/>
                  <w:marRight w:val="0"/>
                  <w:marTop w:val="0"/>
                  <w:marBottom w:val="0"/>
                  <w:divBdr>
                    <w:top w:val="none" w:sz="0" w:space="0" w:color="auto"/>
                    <w:left w:val="none" w:sz="0" w:space="0" w:color="auto"/>
                    <w:bottom w:val="none" w:sz="0" w:space="0" w:color="auto"/>
                    <w:right w:val="none" w:sz="0" w:space="0" w:color="auto"/>
                  </w:divBdr>
                </w:div>
              </w:divsChild>
            </w:div>
            <w:div w:id="709572827">
              <w:marLeft w:val="0"/>
              <w:marRight w:val="0"/>
              <w:marTop w:val="0"/>
              <w:marBottom w:val="0"/>
              <w:divBdr>
                <w:top w:val="none" w:sz="0" w:space="0" w:color="auto"/>
                <w:left w:val="none" w:sz="0" w:space="0" w:color="auto"/>
                <w:bottom w:val="none" w:sz="0" w:space="0" w:color="auto"/>
                <w:right w:val="none" w:sz="0" w:space="0" w:color="auto"/>
              </w:divBdr>
              <w:divsChild>
                <w:div w:id="1226451899">
                  <w:marLeft w:val="0"/>
                  <w:marRight w:val="0"/>
                  <w:marTop w:val="0"/>
                  <w:marBottom w:val="0"/>
                  <w:divBdr>
                    <w:top w:val="none" w:sz="0" w:space="0" w:color="auto"/>
                    <w:left w:val="none" w:sz="0" w:space="0" w:color="auto"/>
                    <w:bottom w:val="none" w:sz="0" w:space="0" w:color="auto"/>
                    <w:right w:val="none" w:sz="0" w:space="0" w:color="auto"/>
                  </w:divBdr>
                </w:div>
              </w:divsChild>
            </w:div>
            <w:div w:id="710110366">
              <w:marLeft w:val="0"/>
              <w:marRight w:val="0"/>
              <w:marTop w:val="0"/>
              <w:marBottom w:val="0"/>
              <w:divBdr>
                <w:top w:val="none" w:sz="0" w:space="0" w:color="auto"/>
                <w:left w:val="none" w:sz="0" w:space="0" w:color="auto"/>
                <w:bottom w:val="none" w:sz="0" w:space="0" w:color="auto"/>
                <w:right w:val="none" w:sz="0" w:space="0" w:color="auto"/>
              </w:divBdr>
              <w:divsChild>
                <w:div w:id="404693676">
                  <w:marLeft w:val="0"/>
                  <w:marRight w:val="0"/>
                  <w:marTop w:val="0"/>
                  <w:marBottom w:val="0"/>
                  <w:divBdr>
                    <w:top w:val="none" w:sz="0" w:space="0" w:color="auto"/>
                    <w:left w:val="none" w:sz="0" w:space="0" w:color="auto"/>
                    <w:bottom w:val="none" w:sz="0" w:space="0" w:color="auto"/>
                    <w:right w:val="none" w:sz="0" w:space="0" w:color="auto"/>
                  </w:divBdr>
                </w:div>
              </w:divsChild>
            </w:div>
            <w:div w:id="710231522">
              <w:marLeft w:val="0"/>
              <w:marRight w:val="0"/>
              <w:marTop w:val="0"/>
              <w:marBottom w:val="0"/>
              <w:divBdr>
                <w:top w:val="none" w:sz="0" w:space="0" w:color="auto"/>
                <w:left w:val="none" w:sz="0" w:space="0" w:color="auto"/>
                <w:bottom w:val="none" w:sz="0" w:space="0" w:color="auto"/>
                <w:right w:val="none" w:sz="0" w:space="0" w:color="auto"/>
              </w:divBdr>
              <w:divsChild>
                <w:div w:id="3868170">
                  <w:marLeft w:val="0"/>
                  <w:marRight w:val="0"/>
                  <w:marTop w:val="0"/>
                  <w:marBottom w:val="0"/>
                  <w:divBdr>
                    <w:top w:val="none" w:sz="0" w:space="0" w:color="auto"/>
                    <w:left w:val="none" w:sz="0" w:space="0" w:color="auto"/>
                    <w:bottom w:val="none" w:sz="0" w:space="0" w:color="auto"/>
                    <w:right w:val="none" w:sz="0" w:space="0" w:color="auto"/>
                  </w:divBdr>
                </w:div>
              </w:divsChild>
            </w:div>
            <w:div w:id="711147891">
              <w:marLeft w:val="0"/>
              <w:marRight w:val="0"/>
              <w:marTop w:val="0"/>
              <w:marBottom w:val="0"/>
              <w:divBdr>
                <w:top w:val="none" w:sz="0" w:space="0" w:color="auto"/>
                <w:left w:val="none" w:sz="0" w:space="0" w:color="auto"/>
                <w:bottom w:val="none" w:sz="0" w:space="0" w:color="auto"/>
                <w:right w:val="none" w:sz="0" w:space="0" w:color="auto"/>
              </w:divBdr>
              <w:divsChild>
                <w:div w:id="205145874">
                  <w:marLeft w:val="0"/>
                  <w:marRight w:val="0"/>
                  <w:marTop w:val="0"/>
                  <w:marBottom w:val="0"/>
                  <w:divBdr>
                    <w:top w:val="none" w:sz="0" w:space="0" w:color="auto"/>
                    <w:left w:val="none" w:sz="0" w:space="0" w:color="auto"/>
                    <w:bottom w:val="none" w:sz="0" w:space="0" w:color="auto"/>
                    <w:right w:val="none" w:sz="0" w:space="0" w:color="auto"/>
                  </w:divBdr>
                </w:div>
              </w:divsChild>
            </w:div>
            <w:div w:id="713500769">
              <w:marLeft w:val="0"/>
              <w:marRight w:val="0"/>
              <w:marTop w:val="0"/>
              <w:marBottom w:val="0"/>
              <w:divBdr>
                <w:top w:val="none" w:sz="0" w:space="0" w:color="auto"/>
                <w:left w:val="none" w:sz="0" w:space="0" w:color="auto"/>
                <w:bottom w:val="none" w:sz="0" w:space="0" w:color="auto"/>
                <w:right w:val="none" w:sz="0" w:space="0" w:color="auto"/>
              </w:divBdr>
              <w:divsChild>
                <w:div w:id="2133933845">
                  <w:marLeft w:val="0"/>
                  <w:marRight w:val="0"/>
                  <w:marTop w:val="0"/>
                  <w:marBottom w:val="0"/>
                  <w:divBdr>
                    <w:top w:val="none" w:sz="0" w:space="0" w:color="auto"/>
                    <w:left w:val="none" w:sz="0" w:space="0" w:color="auto"/>
                    <w:bottom w:val="none" w:sz="0" w:space="0" w:color="auto"/>
                    <w:right w:val="none" w:sz="0" w:space="0" w:color="auto"/>
                  </w:divBdr>
                </w:div>
              </w:divsChild>
            </w:div>
            <w:div w:id="713583945">
              <w:marLeft w:val="0"/>
              <w:marRight w:val="0"/>
              <w:marTop w:val="0"/>
              <w:marBottom w:val="0"/>
              <w:divBdr>
                <w:top w:val="none" w:sz="0" w:space="0" w:color="auto"/>
                <w:left w:val="none" w:sz="0" w:space="0" w:color="auto"/>
                <w:bottom w:val="none" w:sz="0" w:space="0" w:color="auto"/>
                <w:right w:val="none" w:sz="0" w:space="0" w:color="auto"/>
              </w:divBdr>
              <w:divsChild>
                <w:div w:id="2092655210">
                  <w:marLeft w:val="0"/>
                  <w:marRight w:val="0"/>
                  <w:marTop w:val="0"/>
                  <w:marBottom w:val="0"/>
                  <w:divBdr>
                    <w:top w:val="none" w:sz="0" w:space="0" w:color="auto"/>
                    <w:left w:val="none" w:sz="0" w:space="0" w:color="auto"/>
                    <w:bottom w:val="none" w:sz="0" w:space="0" w:color="auto"/>
                    <w:right w:val="none" w:sz="0" w:space="0" w:color="auto"/>
                  </w:divBdr>
                </w:div>
              </w:divsChild>
            </w:div>
            <w:div w:id="713624096">
              <w:marLeft w:val="0"/>
              <w:marRight w:val="0"/>
              <w:marTop w:val="0"/>
              <w:marBottom w:val="0"/>
              <w:divBdr>
                <w:top w:val="none" w:sz="0" w:space="0" w:color="auto"/>
                <w:left w:val="none" w:sz="0" w:space="0" w:color="auto"/>
                <w:bottom w:val="none" w:sz="0" w:space="0" w:color="auto"/>
                <w:right w:val="none" w:sz="0" w:space="0" w:color="auto"/>
              </w:divBdr>
              <w:divsChild>
                <w:div w:id="956453738">
                  <w:marLeft w:val="0"/>
                  <w:marRight w:val="0"/>
                  <w:marTop w:val="0"/>
                  <w:marBottom w:val="0"/>
                  <w:divBdr>
                    <w:top w:val="none" w:sz="0" w:space="0" w:color="auto"/>
                    <w:left w:val="none" w:sz="0" w:space="0" w:color="auto"/>
                    <w:bottom w:val="none" w:sz="0" w:space="0" w:color="auto"/>
                    <w:right w:val="none" w:sz="0" w:space="0" w:color="auto"/>
                  </w:divBdr>
                </w:div>
              </w:divsChild>
            </w:div>
            <w:div w:id="713698989">
              <w:marLeft w:val="0"/>
              <w:marRight w:val="0"/>
              <w:marTop w:val="0"/>
              <w:marBottom w:val="0"/>
              <w:divBdr>
                <w:top w:val="none" w:sz="0" w:space="0" w:color="auto"/>
                <w:left w:val="none" w:sz="0" w:space="0" w:color="auto"/>
                <w:bottom w:val="none" w:sz="0" w:space="0" w:color="auto"/>
                <w:right w:val="none" w:sz="0" w:space="0" w:color="auto"/>
              </w:divBdr>
              <w:divsChild>
                <w:div w:id="1731297267">
                  <w:marLeft w:val="0"/>
                  <w:marRight w:val="0"/>
                  <w:marTop w:val="0"/>
                  <w:marBottom w:val="0"/>
                  <w:divBdr>
                    <w:top w:val="none" w:sz="0" w:space="0" w:color="auto"/>
                    <w:left w:val="none" w:sz="0" w:space="0" w:color="auto"/>
                    <w:bottom w:val="none" w:sz="0" w:space="0" w:color="auto"/>
                    <w:right w:val="none" w:sz="0" w:space="0" w:color="auto"/>
                  </w:divBdr>
                </w:div>
              </w:divsChild>
            </w:div>
            <w:div w:id="713970848">
              <w:marLeft w:val="0"/>
              <w:marRight w:val="0"/>
              <w:marTop w:val="0"/>
              <w:marBottom w:val="0"/>
              <w:divBdr>
                <w:top w:val="none" w:sz="0" w:space="0" w:color="auto"/>
                <w:left w:val="none" w:sz="0" w:space="0" w:color="auto"/>
                <w:bottom w:val="none" w:sz="0" w:space="0" w:color="auto"/>
                <w:right w:val="none" w:sz="0" w:space="0" w:color="auto"/>
              </w:divBdr>
              <w:divsChild>
                <w:div w:id="538471523">
                  <w:marLeft w:val="0"/>
                  <w:marRight w:val="0"/>
                  <w:marTop w:val="0"/>
                  <w:marBottom w:val="0"/>
                  <w:divBdr>
                    <w:top w:val="none" w:sz="0" w:space="0" w:color="auto"/>
                    <w:left w:val="none" w:sz="0" w:space="0" w:color="auto"/>
                    <w:bottom w:val="none" w:sz="0" w:space="0" w:color="auto"/>
                    <w:right w:val="none" w:sz="0" w:space="0" w:color="auto"/>
                  </w:divBdr>
                </w:div>
              </w:divsChild>
            </w:div>
            <w:div w:id="715591023">
              <w:marLeft w:val="0"/>
              <w:marRight w:val="0"/>
              <w:marTop w:val="0"/>
              <w:marBottom w:val="0"/>
              <w:divBdr>
                <w:top w:val="none" w:sz="0" w:space="0" w:color="auto"/>
                <w:left w:val="none" w:sz="0" w:space="0" w:color="auto"/>
                <w:bottom w:val="none" w:sz="0" w:space="0" w:color="auto"/>
                <w:right w:val="none" w:sz="0" w:space="0" w:color="auto"/>
              </w:divBdr>
              <w:divsChild>
                <w:div w:id="453795354">
                  <w:marLeft w:val="0"/>
                  <w:marRight w:val="0"/>
                  <w:marTop w:val="0"/>
                  <w:marBottom w:val="0"/>
                  <w:divBdr>
                    <w:top w:val="none" w:sz="0" w:space="0" w:color="auto"/>
                    <w:left w:val="none" w:sz="0" w:space="0" w:color="auto"/>
                    <w:bottom w:val="none" w:sz="0" w:space="0" w:color="auto"/>
                    <w:right w:val="none" w:sz="0" w:space="0" w:color="auto"/>
                  </w:divBdr>
                </w:div>
              </w:divsChild>
            </w:div>
            <w:div w:id="715935254">
              <w:marLeft w:val="0"/>
              <w:marRight w:val="0"/>
              <w:marTop w:val="300"/>
              <w:marBottom w:val="300"/>
              <w:divBdr>
                <w:top w:val="none" w:sz="0" w:space="0" w:color="auto"/>
                <w:left w:val="none" w:sz="0" w:space="0" w:color="auto"/>
                <w:bottom w:val="none" w:sz="0" w:space="0" w:color="auto"/>
                <w:right w:val="none" w:sz="0" w:space="0" w:color="auto"/>
              </w:divBdr>
            </w:div>
            <w:div w:id="716702695">
              <w:marLeft w:val="0"/>
              <w:marRight w:val="0"/>
              <w:marTop w:val="0"/>
              <w:marBottom w:val="0"/>
              <w:divBdr>
                <w:top w:val="none" w:sz="0" w:space="0" w:color="auto"/>
                <w:left w:val="none" w:sz="0" w:space="0" w:color="auto"/>
                <w:bottom w:val="none" w:sz="0" w:space="0" w:color="auto"/>
                <w:right w:val="none" w:sz="0" w:space="0" w:color="auto"/>
              </w:divBdr>
              <w:divsChild>
                <w:div w:id="1403872154">
                  <w:marLeft w:val="0"/>
                  <w:marRight w:val="0"/>
                  <w:marTop w:val="0"/>
                  <w:marBottom w:val="0"/>
                  <w:divBdr>
                    <w:top w:val="none" w:sz="0" w:space="0" w:color="auto"/>
                    <w:left w:val="none" w:sz="0" w:space="0" w:color="auto"/>
                    <w:bottom w:val="none" w:sz="0" w:space="0" w:color="auto"/>
                    <w:right w:val="none" w:sz="0" w:space="0" w:color="auto"/>
                  </w:divBdr>
                </w:div>
              </w:divsChild>
            </w:div>
            <w:div w:id="718018528">
              <w:marLeft w:val="0"/>
              <w:marRight w:val="0"/>
              <w:marTop w:val="0"/>
              <w:marBottom w:val="0"/>
              <w:divBdr>
                <w:top w:val="none" w:sz="0" w:space="0" w:color="auto"/>
                <w:left w:val="none" w:sz="0" w:space="0" w:color="auto"/>
                <w:bottom w:val="none" w:sz="0" w:space="0" w:color="auto"/>
                <w:right w:val="none" w:sz="0" w:space="0" w:color="auto"/>
              </w:divBdr>
              <w:divsChild>
                <w:div w:id="2004821419">
                  <w:marLeft w:val="0"/>
                  <w:marRight w:val="0"/>
                  <w:marTop w:val="0"/>
                  <w:marBottom w:val="0"/>
                  <w:divBdr>
                    <w:top w:val="none" w:sz="0" w:space="0" w:color="auto"/>
                    <w:left w:val="none" w:sz="0" w:space="0" w:color="auto"/>
                    <w:bottom w:val="none" w:sz="0" w:space="0" w:color="auto"/>
                    <w:right w:val="none" w:sz="0" w:space="0" w:color="auto"/>
                  </w:divBdr>
                </w:div>
              </w:divsChild>
            </w:div>
            <w:div w:id="718211070">
              <w:marLeft w:val="0"/>
              <w:marRight w:val="0"/>
              <w:marTop w:val="0"/>
              <w:marBottom w:val="0"/>
              <w:divBdr>
                <w:top w:val="none" w:sz="0" w:space="0" w:color="auto"/>
                <w:left w:val="none" w:sz="0" w:space="0" w:color="auto"/>
                <w:bottom w:val="none" w:sz="0" w:space="0" w:color="auto"/>
                <w:right w:val="none" w:sz="0" w:space="0" w:color="auto"/>
              </w:divBdr>
              <w:divsChild>
                <w:div w:id="2135784444">
                  <w:marLeft w:val="0"/>
                  <w:marRight w:val="0"/>
                  <w:marTop w:val="0"/>
                  <w:marBottom w:val="0"/>
                  <w:divBdr>
                    <w:top w:val="none" w:sz="0" w:space="0" w:color="auto"/>
                    <w:left w:val="none" w:sz="0" w:space="0" w:color="auto"/>
                    <w:bottom w:val="none" w:sz="0" w:space="0" w:color="auto"/>
                    <w:right w:val="none" w:sz="0" w:space="0" w:color="auto"/>
                  </w:divBdr>
                </w:div>
              </w:divsChild>
            </w:div>
            <w:div w:id="719207992">
              <w:marLeft w:val="0"/>
              <w:marRight w:val="0"/>
              <w:marTop w:val="0"/>
              <w:marBottom w:val="0"/>
              <w:divBdr>
                <w:top w:val="none" w:sz="0" w:space="0" w:color="auto"/>
                <w:left w:val="none" w:sz="0" w:space="0" w:color="auto"/>
                <w:bottom w:val="none" w:sz="0" w:space="0" w:color="auto"/>
                <w:right w:val="none" w:sz="0" w:space="0" w:color="auto"/>
              </w:divBdr>
              <w:divsChild>
                <w:div w:id="1419867148">
                  <w:marLeft w:val="0"/>
                  <w:marRight w:val="0"/>
                  <w:marTop w:val="0"/>
                  <w:marBottom w:val="0"/>
                  <w:divBdr>
                    <w:top w:val="none" w:sz="0" w:space="0" w:color="auto"/>
                    <w:left w:val="none" w:sz="0" w:space="0" w:color="auto"/>
                    <w:bottom w:val="none" w:sz="0" w:space="0" w:color="auto"/>
                    <w:right w:val="none" w:sz="0" w:space="0" w:color="auto"/>
                  </w:divBdr>
                </w:div>
              </w:divsChild>
            </w:div>
            <w:div w:id="720330572">
              <w:marLeft w:val="0"/>
              <w:marRight w:val="0"/>
              <w:marTop w:val="300"/>
              <w:marBottom w:val="300"/>
              <w:divBdr>
                <w:top w:val="none" w:sz="0" w:space="0" w:color="auto"/>
                <w:left w:val="none" w:sz="0" w:space="0" w:color="auto"/>
                <w:bottom w:val="none" w:sz="0" w:space="0" w:color="auto"/>
                <w:right w:val="none" w:sz="0" w:space="0" w:color="auto"/>
              </w:divBdr>
            </w:div>
            <w:div w:id="721248374">
              <w:marLeft w:val="0"/>
              <w:marRight w:val="0"/>
              <w:marTop w:val="300"/>
              <w:marBottom w:val="300"/>
              <w:divBdr>
                <w:top w:val="none" w:sz="0" w:space="0" w:color="auto"/>
                <w:left w:val="none" w:sz="0" w:space="0" w:color="auto"/>
                <w:bottom w:val="none" w:sz="0" w:space="0" w:color="auto"/>
                <w:right w:val="none" w:sz="0" w:space="0" w:color="auto"/>
              </w:divBdr>
            </w:div>
            <w:div w:id="721825085">
              <w:marLeft w:val="0"/>
              <w:marRight w:val="0"/>
              <w:marTop w:val="0"/>
              <w:marBottom w:val="0"/>
              <w:divBdr>
                <w:top w:val="none" w:sz="0" w:space="0" w:color="auto"/>
                <w:left w:val="none" w:sz="0" w:space="0" w:color="auto"/>
                <w:bottom w:val="none" w:sz="0" w:space="0" w:color="auto"/>
                <w:right w:val="none" w:sz="0" w:space="0" w:color="auto"/>
              </w:divBdr>
              <w:divsChild>
                <w:div w:id="779421184">
                  <w:marLeft w:val="0"/>
                  <w:marRight w:val="0"/>
                  <w:marTop w:val="0"/>
                  <w:marBottom w:val="0"/>
                  <w:divBdr>
                    <w:top w:val="none" w:sz="0" w:space="0" w:color="auto"/>
                    <w:left w:val="none" w:sz="0" w:space="0" w:color="auto"/>
                    <w:bottom w:val="none" w:sz="0" w:space="0" w:color="auto"/>
                    <w:right w:val="none" w:sz="0" w:space="0" w:color="auto"/>
                  </w:divBdr>
                </w:div>
              </w:divsChild>
            </w:div>
            <w:div w:id="722173474">
              <w:marLeft w:val="0"/>
              <w:marRight w:val="0"/>
              <w:marTop w:val="0"/>
              <w:marBottom w:val="0"/>
              <w:divBdr>
                <w:top w:val="none" w:sz="0" w:space="0" w:color="auto"/>
                <w:left w:val="none" w:sz="0" w:space="0" w:color="auto"/>
                <w:bottom w:val="none" w:sz="0" w:space="0" w:color="auto"/>
                <w:right w:val="none" w:sz="0" w:space="0" w:color="auto"/>
              </w:divBdr>
              <w:divsChild>
                <w:div w:id="1055931217">
                  <w:marLeft w:val="0"/>
                  <w:marRight w:val="0"/>
                  <w:marTop w:val="0"/>
                  <w:marBottom w:val="0"/>
                  <w:divBdr>
                    <w:top w:val="none" w:sz="0" w:space="0" w:color="auto"/>
                    <w:left w:val="none" w:sz="0" w:space="0" w:color="auto"/>
                    <w:bottom w:val="none" w:sz="0" w:space="0" w:color="auto"/>
                    <w:right w:val="none" w:sz="0" w:space="0" w:color="auto"/>
                  </w:divBdr>
                </w:div>
              </w:divsChild>
            </w:div>
            <w:div w:id="722562843">
              <w:marLeft w:val="0"/>
              <w:marRight w:val="0"/>
              <w:marTop w:val="300"/>
              <w:marBottom w:val="300"/>
              <w:divBdr>
                <w:top w:val="none" w:sz="0" w:space="0" w:color="auto"/>
                <w:left w:val="none" w:sz="0" w:space="0" w:color="auto"/>
                <w:bottom w:val="none" w:sz="0" w:space="0" w:color="auto"/>
                <w:right w:val="none" w:sz="0" w:space="0" w:color="auto"/>
              </w:divBdr>
            </w:div>
            <w:div w:id="723061838">
              <w:marLeft w:val="0"/>
              <w:marRight w:val="0"/>
              <w:marTop w:val="0"/>
              <w:marBottom w:val="0"/>
              <w:divBdr>
                <w:top w:val="none" w:sz="0" w:space="0" w:color="auto"/>
                <w:left w:val="none" w:sz="0" w:space="0" w:color="auto"/>
                <w:bottom w:val="none" w:sz="0" w:space="0" w:color="auto"/>
                <w:right w:val="none" w:sz="0" w:space="0" w:color="auto"/>
              </w:divBdr>
              <w:divsChild>
                <w:div w:id="1472137464">
                  <w:marLeft w:val="0"/>
                  <w:marRight w:val="0"/>
                  <w:marTop w:val="0"/>
                  <w:marBottom w:val="0"/>
                  <w:divBdr>
                    <w:top w:val="none" w:sz="0" w:space="0" w:color="auto"/>
                    <w:left w:val="none" w:sz="0" w:space="0" w:color="auto"/>
                    <w:bottom w:val="none" w:sz="0" w:space="0" w:color="auto"/>
                    <w:right w:val="none" w:sz="0" w:space="0" w:color="auto"/>
                  </w:divBdr>
                </w:div>
              </w:divsChild>
            </w:div>
            <w:div w:id="723256906">
              <w:marLeft w:val="0"/>
              <w:marRight w:val="0"/>
              <w:marTop w:val="0"/>
              <w:marBottom w:val="0"/>
              <w:divBdr>
                <w:top w:val="none" w:sz="0" w:space="0" w:color="auto"/>
                <w:left w:val="none" w:sz="0" w:space="0" w:color="auto"/>
                <w:bottom w:val="none" w:sz="0" w:space="0" w:color="auto"/>
                <w:right w:val="none" w:sz="0" w:space="0" w:color="auto"/>
              </w:divBdr>
              <w:divsChild>
                <w:div w:id="463472888">
                  <w:marLeft w:val="0"/>
                  <w:marRight w:val="0"/>
                  <w:marTop w:val="0"/>
                  <w:marBottom w:val="0"/>
                  <w:divBdr>
                    <w:top w:val="none" w:sz="0" w:space="0" w:color="auto"/>
                    <w:left w:val="none" w:sz="0" w:space="0" w:color="auto"/>
                    <w:bottom w:val="none" w:sz="0" w:space="0" w:color="auto"/>
                    <w:right w:val="none" w:sz="0" w:space="0" w:color="auto"/>
                  </w:divBdr>
                </w:div>
              </w:divsChild>
            </w:div>
            <w:div w:id="726295231">
              <w:marLeft w:val="0"/>
              <w:marRight w:val="0"/>
              <w:marTop w:val="0"/>
              <w:marBottom w:val="0"/>
              <w:divBdr>
                <w:top w:val="none" w:sz="0" w:space="0" w:color="auto"/>
                <w:left w:val="none" w:sz="0" w:space="0" w:color="auto"/>
                <w:bottom w:val="none" w:sz="0" w:space="0" w:color="auto"/>
                <w:right w:val="none" w:sz="0" w:space="0" w:color="auto"/>
              </w:divBdr>
              <w:divsChild>
                <w:div w:id="392238363">
                  <w:marLeft w:val="0"/>
                  <w:marRight w:val="0"/>
                  <w:marTop w:val="0"/>
                  <w:marBottom w:val="0"/>
                  <w:divBdr>
                    <w:top w:val="none" w:sz="0" w:space="0" w:color="auto"/>
                    <w:left w:val="none" w:sz="0" w:space="0" w:color="auto"/>
                    <w:bottom w:val="none" w:sz="0" w:space="0" w:color="auto"/>
                    <w:right w:val="none" w:sz="0" w:space="0" w:color="auto"/>
                  </w:divBdr>
                </w:div>
              </w:divsChild>
            </w:div>
            <w:div w:id="726760880">
              <w:marLeft w:val="0"/>
              <w:marRight w:val="0"/>
              <w:marTop w:val="300"/>
              <w:marBottom w:val="300"/>
              <w:divBdr>
                <w:top w:val="none" w:sz="0" w:space="0" w:color="auto"/>
                <w:left w:val="none" w:sz="0" w:space="0" w:color="auto"/>
                <w:bottom w:val="none" w:sz="0" w:space="0" w:color="auto"/>
                <w:right w:val="none" w:sz="0" w:space="0" w:color="auto"/>
              </w:divBdr>
            </w:div>
            <w:div w:id="726798897">
              <w:marLeft w:val="0"/>
              <w:marRight w:val="0"/>
              <w:marTop w:val="0"/>
              <w:marBottom w:val="0"/>
              <w:divBdr>
                <w:top w:val="none" w:sz="0" w:space="0" w:color="auto"/>
                <w:left w:val="none" w:sz="0" w:space="0" w:color="auto"/>
                <w:bottom w:val="none" w:sz="0" w:space="0" w:color="auto"/>
                <w:right w:val="none" w:sz="0" w:space="0" w:color="auto"/>
              </w:divBdr>
              <w:divsChild>
                <w:div w:id="1607616645">
                  <w:marLeft w:val="0"/>
                  <w:marRight w:val="0"/>
                  <w:marTop w:val="0"/>
                  <w:marBottom w:val="0"/>
                  <w:divBdr>
                    <w:top w:val="none" w:sz="0" w:space="0" w:color="auto"/>
                    <w:left w:val="none" w:sz="0" w:space="0" w:color="auto"/>
                    <w:bottom w:val="none" w:sz="0" w:space="0" w:color="auto"/>
                    <w:right w:val="none" w:sz="0" w:space="0" w:color="auto"/>
                  </w:divBdr>
                </w:div>
              </w:divsChild>
            </w:div>
            <w:div w:id="729306801">
              <w:marLeft w:val="0"/>
              <w:marRight w:val="0"/>
              <w:marTop w:val="0"/>
              <w:marBottom w:val="0"/>
              <w:divBdr>
                <w:top w:val="none" w:sz="0" w:space="0" w:color="auto"/>
                <w:left w:val="none" w:sz="0" w:space="0" w:color="auto"/>
                <w:bottom w:val="none" w:sz="0" w:space="0" w:color="auto"/>
                <w:right w:val="none" w:sz="0" w:space="0" w:color="auto"/>
              </w:divBdr>
              <w:divsChild>
                <w:div w:id="1854369724">
                  <w:marLeft w:val="0"/>
                  <w:marRight w:val="0"/>
                  <w:marTop w:val="0"/>
                  <w:marBottom w:val="0"/>
                  <w:divBdr>
                    <w:top w:val="none" w:sz="0" w:space="0" w:color="auto"/>
                    <w:left w:val="none" w:sz="0" w:space="0" w:color="auto"/>
                    <w:bottom w:val="none" w:sz="0" w:space="0" w:color="auto"/>
                    <w:right w:val="none" w:sz="0" w:space="0" w:color="auto"/>
                  </w:divBdr>
                </w:div>
              </w:divsChild>
            </w:div>
            <w:div w:id="730662636">
              <w:marLeft w:val="0"/>
              <w:marRight w:val="0"/>
              <w:marTop w:val="0"/>
              <w:marBottom w:val="0"/>
              <w:divBdr>
                <w:top w:val="none" w:sz="0" w:space="0" w:color="auto"/>
                <w:left w:val="none" w:sz="0" w:space="0" w:color="auto"/>
                <w:bottom w:val="none" w:sz="0" w:space="0" w:color="auto"/>
                <w:right w:val="none" w:sz="0" w:space="0" w:color="auto"/>
              </w:divBdr>
              <w:divsChild>
                <w:div w:id="588390206">
                  <w:marLeft w:val="0"/>
                  <w:marRight w:val="0"/>
                  <w:marTop w:val="0"/>
                  <w:marBottom w:val="0"/>
                  <w:divBdr>
                    <w:top w:val="none" w:sz="0" w:space="0" w:color="auto"/>
                    <w:left w:val="none" w:sz="0" w:space="0" w:color="auto"/>
                    <w:bottom w:val="none" w:sz="0" w:space="0" w:color="auto"/>
                    <w:right w:val="none" w:sz="0" w:space="0" w:color="auto"/>
                  </w:divBdr>
                </w:div>
              </w:divsChild>
            </w:div>
            <w:div w:id="730923851">
              <w:marLeft w:val="0"/>
              <w:marRight w:val="0"/>
              <w:marTop w:val="0"/>
              <w:marBottom w:val="0"/>
              <w:divBdr>
                <w:top w:val="none" w:sz="0" w:space="0" w:color="auto"/>
                <w:left w:val="none" w:sz="0" w:space="0" w:color="auto"/>
                <w:bottom w:val="none" w:sz="0" w:space="0" w:color="auto"/>
                <w:right w:val="none" w:sz="0" w:space="0" w:color="auto"/>
              </w:divBdr>
              <w:divsChild>
                <w:div w:id="280847335">
                  <w:marLeft w:val="0"/>
                  <w:marRight w:val="0"/>
                  <w:marTop w:val="0"/>
                  <w:marBottom w:val="0"/>
                  <w:divBdr>
                    <w:top w:val="none" w:sz="0" w:space="0" w:color="auto"/>
                    <w:left w:val="none" w:sz="0" w:space="0" w:color="auto"/>
                    <w:bottom w:val="none" w:sz="0" w:space="0" w:color="auto"/>
                    <w:right w:val="none" w:sz="0" w:space="0" w:color="auto"/>
                  </w:divBdr>
                </w:div>
              </w:divsChild>
            </w:div>
            <w:div w:id="731544932">
              <w:marLeft w:val="0"/>
              <w:marRight w:val="0"/>
              <w:marTop w:val="300"/>
              <w:marBottom w:val="300"/>
              <w:divBdr>
                <w:top w:val="none" w:sz="0" w:space="0" w:color="auto"/>
                <w:left w:val="none" w:sz="0" w:space="0" w:color="auto"/>
                <w:bottom w:val="none" w:sz="0" w:space="0" w:color="auto"/>
                <w:right w:val="none" w:sz="0" w:space="0" w:color="auto"/>
              </w:divBdr>
            </w:div>
            <w:div w:id="732779235">
              <w:marLeft w:val="0"/>
              <w:marRight w:val="0"/>
              <w:marTop w:val="0"/>
              <w:marBottom w:val="0"/>
              <w:divBdr>
                <w:top w:val="none" w:sz="0" w:space="0" w:color="auto"/>
                <w:left w:val="none" w:sz="0" w:space="0" w:color="auto"/>
                <w:bottom w:val="none" w:sz="0" w:space="0" w:color="auto"/>
                <w:right w:val="none" w:sz="0" w:space="0" w:color="auto"/>
              </w:divBdr>
              <w:divsChild>
                <w:div w:id="2045905948">
                  <w:marLeft w:val="0"/>
                  <w:marRight w:val="0"/>
                  <w:marTop w:val="0"/>
                  <w:marBottom w:val="0"/>
                  <w:divBdr>
                    <w:top w:val="none" w:sz="0" w:space="0" w:color="auto"/>
                    <w:left w:val="none" w:sz="0" w:space="0" w:color="auto"/>
                    <w:bottom w:val="none" w:sz="0" w:space="0" w:color="auto"/>
                    <w:right w:val="none" w:sz="0" w:space="0" w:color="auto"/>
                  </w:divBdr>
                </w:div>
              </w:divsChild>
            </w:div>
            <w:div w:id="734401146">
              <w:marLeft w:val="0"/>
              <w:marRight w:val="0"/>
              <w:marTop w:val="0"/>
              <w:marBottom w:val="0"/>
              <w:divBdr>
                <w:top w:val="none" w:sz="0" w:space="0" w:color="auto"/>
                <w:left w:val="none" w:sz="0" w:space="0" w:color="auto"/>
                <w:bottom w:val="none" w:sz="0" w:space="0" w:color="auto"/>
                <w:right w:val="none" w:sz="0" w:space="0" w:color="auto"/>
              </w:divBdr>
              <w:divsChild>
                <w:div w:id="1698434560">
                  <w:marLeft w:val="0"/>
                  <w:marRight w:val="0"/>
                  <w:marTop w:val="0"/>
                  <w:marBottom w:val="0"/>
                  <w:divBdr>
                    <w:top w:val="none" w:sz="0" w:space="0" w:color="auto"/>
                    <w:left w:val="none" w:sz="0" w:space="0" w:color="auto"/>
                    <w:bottom w:val="none" w:sz="0" w:space="0" w:color="auto"/>
                    <w:right w:val="none" w:sz="0" w:space="0" w:color="auto"/>
                  </w:divBdr>
                </w:div>
              </w:divsChild>
            </w:div>
            <w:div w:id="735006826">
              <w:marLeft w:val="0"/>
              <w:marRight w:val="0"/>
              <w:marTop w:val="0"/>
              <w:marBottom w:val="0"/>
              <w:divBdr>
                <w:top w:val="none" w:sz="0" w:space="0" w:color="auto"/>
                <w:left w:val="none" w:sz="0" w:space="0" w:color="auto"/>
                <w:bottom w:val="none" w:sz="0" w:space="0" w:color="auto"/>
                <w:right w:val="none" w:sz="0" w:space="0" w:color="auto"/>
              </w:divBdr>
              <w:divsChild>
                <w:div w:id="1319654704">
                  <w:marLeft w:val="0"/>
                  <w:marRight w:val="0"/>
                  <w:marTop w:val="0"/>
                  <w:marBottom w:val="0"/>
                  <w:divBdr>
                    <w:top w:val="none" w:sz="0" w:space="0" w:color="auto"/>
                    <w:left w:val="none" w:sz="0" w:space="0" w:color="auto"/>
                    <w:bottom w:val="none" w:sz="0" w:space="0" w:color="auto"/>
                    <w:right w:val="none" w:sz="0" w:space="0" w:color="auto"/>
                  </w:divBdr>
                </w:div>
              </w:divsChild>
            </w:div>
            <w:div w:id="735318818">
              <w:marLeft w:val="0"/>
              <w:marRight w:val="0"/>
              <w:marTop w:val="0"/>
              <w:marBottom w:val="0"/>
              <w:divBdr>
                <w:top w:val="none" w:sz="0" w:space="0" w:color="auto"/>
                <w:left w:val="none" w:sz="0" w:space="0" w:color="auto"/>
                <w:bottom w:val="none" w:sz="0" w:space="0" w:color="auto"/>
                <w:right w:val="none" w:sz="0" w:space="0" w:color="auto"/>
              </w:divBdr>
              <w:divsChild>
                <w:div w:id="1882470622">
                  <w:marLeft w:val="0"/>
                  <w:marRight w:val="0"/>
                  <w:marTop w:val="0"/>
                  <w:marBottom w:val="0"/>
                  <w:divBdr>
                    <w:top w:val="none" w:sz="0" w:space="0" w:color="auto"/>
                    <w:left w:val="none" w:sz="0" w:space="0" w:color="auto"/>
                    <w:bottom w:val="none" w:sz="0" w:space="0" w:color="auto"/>
                    <w:right w:val="none" w:sz="0" w:space="0" w:color="auto"/>
                  </w:divBdr>
                </w:div>
              </w:divsChild>
            </w:div>
            <w:div w:id="736124389">
              <w:marLeft w:val="0"/>
              <w:marRight w:val="0"/>
              <w:marTop w:val="300"/>
              <w:marBottom w:val="300"/>
              <w:divBdr>
                <w:top w:val="none" w:sz="0" w:space="0" w:color="auto"/>
                <w:left w:val="none" w:sz="0" w:space="0" w:color="auto"/>
                <w:bottom w:val="none" w:sz="0" w:space="0" w:color="auto"/>
                <w:right w:val="none" w:sz="0" w:space="0" w:color="auto"/>
              </w:divBdr>
            </w:div>
            <w:div w:id="736323863">
              <w:marLeft w:val="0"/>
              <w:marRight w:val="0"/>
              <w:marTop w:val="0"/>
              <w:marBottom w:val="0"/>
              <w:divBdr>
                <w:top w:val="none" w:sz="0" w:space="0" w:color="auto"/>
                <w:left w:val="none" w:sz="0" w:space="0" w:color="auto"/>
                <w:bottom w:val="none" w:sz="0" w:space="0" w:color="auto"/>
                <w:right w:val="none" w:sz="0" w:space="0" w:color="auto"/>
              </w:divBdr>
              <w:divsChild>
                <w:div w:id="551385848">
                  <w:marLeft w:val="0"/>
                  <w:marRight w:val="0"/>
                  <w:marTop w:val="0"/>
                  <w:marBottom w:val="0"/>
                  <w:divBdr>
                    <w:top w:val="none" w:sz="0" w:space="0" w:color="auto"/>
                    <w:left w:val="none" w:sz="0" w:space="0" w:color="auto"/>
                    <w:bottom w:val="none" w:sz="0" w:space="0" w:color="auto"/>
                    <w:right w:val="none" w:sz="0" w:space="0" w:color="auto"/>
                  </w:divBdr>
                </w:div>
              </w:divsChild>
            </w:div>
            <w:div w:id="736703578">
              <w:marLeft w:val="0"/>
              <w:marRight w:val="0"/>
              <w:marTop w:val="0"/>
              <w:marBottom w:val="0"/>
              <w:divBdr>
                <w:top w:val="none" w:sz="0" w:space="0" w:color="auto"/>
                <w:left w:val="none" w:sz="0" w:space="0" w:color="auto"/>
                <w:bottom w:val="none" w:sz="0" w:space="0" w:color="auto"/>
                <w:right w:val="none" w:sz="0" w:space="0" w:color="auto"/>
              </w:divBdr>
              <w:divsChild>
                <w:div w:id="996106128">
                  <w:marLeft w:val="0"/>
                  <w:marRight w:val="0"/>
                  <w:marTop w:val="0"/>
                  <w:marBottom w:val="0"/>
                  <w:divBdr>
                    <w:top w:val="none" w:sz="0" w:space="0" w:color="auto"/>
                    <w:left w:val="none" w:sz="0" w:space="0" w:color="auto"/>
                    <w:bottom w:val="none" w:sz="0" w:space="0" w:color="auto"/>
                    <w:right w:val="none" w:sz="0" w:space="0" w:color="auto"/>
                  </w:divBdr>
                </w:div>
              </w:divsChild>
            </w:div>
            <w:div w:id="737480937">
              <w:marLeft w:val="0"/>
              <w:marRight w:val="0"/>
              <w:marTop w:val="300"/>
              <w:marBottom w:val="300"/>
              <w:divBdr>
                <w:top w:val="none" w:sz="0" w:space="0" w:color="auto"/>
                <w:left w:val="none" w:sz="0" w:space="0" w:color="auto"/>
                <w:bottom w:val="none" w:sz="0" w:space="0" w:color="auto"/>
                <w:right w:val="none" w:sz="0" w:space="0" w:color="auto"/>
              </w:divBdr>
            </w:div>
            <w:div w:id="738334120">
              <w:marLeft w:val="0"/>
              <w:marRight w:val="0"/>
              <w:marTop w:val="0"/>
              <w:marBottom w:val="0"/>
              <w:divBdr>
                <w:top w:val="none" w:sz="0" w:space="0" w:color="auto"/>
                <w:left w:val="none" w:sz="0" w:space="0" w:color="auto"/>
                <w:bottom w:val="none" w:sz="0" w:space="0" w:color="auto"/>
                <w:right w:val="none" w:sz="0" w:space="0" w:color="auto"/>
              </w:divBdr>
              <w:divsChild>
                <w:div w:id="848568330">
                  <w:marLeft w:val="0"/>
                  <w:marRight w:val="0"/>
                  <w:marTop w:val="0"/>
                  <w:marBottom w:val="0"/>
                  <w:divBdr>
                    <w:top w:val="none" w:sz="0" w:space="0" w:color="auto"/>
                    <w:left w:val="none" w:sz="0" w:space="0" w:color="auto"/>
                    <w:bottom w:val="none" w:sz="0" w:space="0" w:color="auto"/>
                    <w:right w:val="none" w:sz="0" w:space="0" w:color="auto"/>
                  </w:divBdr>
                </w:div>
              </w:divsChild>
            </w:div>
            <w:div w:id="738357624">
              <w:marLeft w:val="0"/>
              <w:marRight w:val="0"/>
              <w:marTop w:val="300"/>
              <w:marBottom w:val="300"/>
              <w:divBdr>
                <w:top w:val="none" w:sz="0" w:space="0" w:color="auto"/>
                <w:left w:val="none" w:sz="0" w:space="0" w:color="auto"/>
                <w:bottom w:val="none" w:sz="0" w:space="0" w:color="auto"/>
                <w:right w:val="none" w:sz="0" w:space="0" w:color="auto"/>
              </w:divBdr>
            </w:div>
            <w:div w:id="740058939">
              <w:marLeft w:val="0"/>
              <w:marRight w:val="0"/>
              <w:marTop w:val="0"/>
              <w:marBottom w:val="0"/>
              <w:divBdr>
                <w:top w:val="none" w:sz="0" w:space="0" w:color="auto"/>
                <w:left w:val="none" w:sz="0" w:space="0" w:color="auto"/>
                <w:bottom w:val="none" w:sz="0" w:space="0" w:color="auto"/>
                <w:right w:val="none" w:sz="0" w:space="0" w:color="auto"/>
              </w:divBdr>
              <w:divsChild>
                <w:div w:id="190387576">
                  <w:marLeft w:val="0"/>
                  <w:marRight w:val="0"/>
                  <w:marTop w:val="0"/>
                  <w:marBottom w:val="0"/>
                  <w:divBdr>
                    <w:top w:val="none" w:sz="0" w:space="0" w:color="auto"/>
                    <w:left w:val="none" w:sz="0" w:space="0" w:color="auto"/>
                    <w:bottom w:val="none" w:sz="0" w:space="0" w:color="auto"/>
                    <w:right w:val="none" w:sz="0" w:space="0" w:color="auto"/>
                  </w:divBdr>
                </w:div>
              </w:divsChild>
            </w:div>
            <w:div w:id="740565715">
              <w:marLeft w:val="0"/>
              <w:marRight w:val="0"/>
              <w:marTop w:val="0"/>
              <w:marBottom w:val="0"/>
              <w:divBdr>
                <w:top w:val="none" w:sz="0" w:space="0" w:color="auto"/>
                <w:left w:val="none" w:sz="0" w:space="0" w:color="auto"/>
                <w:bottom w:val="none" w:sz="0" w:space="0" w:color="auto"/>
                <w:right w:val="none" w:sz="0" w:space="0" w:color="auto"/>
              </w:divBdr>
              <w:divsChild>
                <w:div w:id="854267129">
                  <w:marLeft w:val="0"/>
                  <w:marRight w:val="0"/>
                  <w:marTop w:val="0"/>
                  <w:marBottom w:val="0"/>
                  <w:divBdr>
                    <w:top w:val="none" w:sz="0" w:space="0" w:color="auto"/>
                    <w:left w:val="none" w:sz="0" w:space="0" w:color="auto"/>
                    <w:bottom w:val="none" w:sz="0" w:space="0" w:color="auto"/>
                    <w:right w:val="none" w:sz="0" w:space="0" w:color="auto"/>
                  </w:divBdr>
                </w:div>
              </w:divsChild>
            </w:div>
            <w:div w:id="741215082">
              <w:marLeft w:val="0"/>
              <w:marRight w:val="0"/>
              <w:marTop w:val="0"/>
              <w:marBottom w:val="0"/>
              <w:divBdr>
                <w:top w:val="none" w:sz="0" w:space="0" w:color="auto"/>
                <w:left w:val="none" w:sz="0" w:space="0" w:color="auto"/>
                <w:bottom w:val="none" w:sz="0" w:space="0" w:color="auto"/>
                <w:right w:val="none" w:sz="0" w:space="0" w:color="auto"/>
              </w:divBdr>
              <w:divsChild>
                <w:div w:id="41682845">
                  <w:marLeft w:val="0"/>
                  <w:marRight w:val="0"/>
                  <w:marTop w:val="0"/>
                  <w:marBottom w:val="0"/>
                  <w:divBdr>
                    <w:top w:val="none" w:sz="0" w:space="0" w:color="auto"/>
                    <w:left w:val="none" w:sz="0" w:space="0" w:color="auto"/>
                    <w:bottom w:val="none" w:sz="0" w:space="0" w:color="auto"/>
                    <w:right w:val="none" w:sz="0" w:space="0" w:color="auto"/>
                  </w:divBdr>
                </w:div>
              </w:divsChild>
            </w:div>
            <w:div w:id="741409384">
              <w:marLeft w:val="0"/>
              <w:marRight w:val="0"/>
              <w:marTop w:val="300"/>
              <w:marBottom w:val="300"/>
              <w:divBdr>
                <w:top w:val="none" w:sz="0" w:space="0" w:color="auto"/>
                <w:left w:val="none" w:sz="0" w:space="0" w:color="auto"/>
                <w:bottom w:val="none" w:sz="0" w:space="0" w:color="auto"/>
                <w:right w:val="none" w:sz="0" w:space="0" w:color="auto"/>
              </w:divBdr>
            </w:div>
            <w:div w:id="741833638">
              <w:marLeft w:val="0"/>
              <w:marRight w:val="0"/>
              <w:marTop w:val="0"/>
              <w:marBottom w:val="0"/>
              <w:divBdr>
                <w:top w:val="none" w:sz="0" w:space="0" w:color="auto"/>
                <w:left w:val="none" w:sz="0" w:space="0" w:color="auto"/>
                <w:bottom w:val="none" w:sz="0" w:space="0" w:color="auto"/>
                <w:right w:val="none" w:sz="0" w:space="0" w:color="auto"/>
              </w:divBdr>
              <w:divsChild>
                <w:div w:id="78530906">
                  <w:marLeft w:val="0"/>
                  <w:marRight w:val="0"/>
                  <w:marTop w:val="0"/>
                  <w:marBottom w:val="0"/>
                  <w:divBdr>
                    <w:top w:val="none" w:sz="0" w:space="0" w:color="auto"/>
                    <w:left w:val="none" w:sz="0" w:space="0" w:color="auto"/>
                    <w:bottom w:val="none" w:sz="0" w:space="0" w:color="auto"/>
                    <w:right w:val="none" w:sz="0" w:space="0" w:color="auto"/>
                  </w:divBdr>
                </w:div>
              </w:divsChild>
            </w:div>
            <w:div w:id="742458796">
              <w:marLeft w:val="0"/>
              <w:marRight w:val="0"/>
              <w:marTop w:val="0"/>
              <w:marBottom w:val="0"/>
              <w:divBdr>
                <w:top w:val="none" w:sz="0" w:space="0" w:color="auto"/>
                <w:left w:val="none" w:sz="0" w:space="0" w:color="auto"/>
                <w:bottom w:val="none" w:sz="0" w:space="0" w:color="auto"/>
                <w:right w:val="none" w:sz="0" w:space="0" w:color="auto"/>
              </w:divBdr>
              <w:divsChild>
                <w:div w:id="1751124450">
                  <w:marLeft w:val="0"/>
                  <w:marRight w:val="0"/>
                  <w:marTop w:val="0"/>
                  <w:marBottom w:val="0"/>
                  <w:divBdr>
                    <w:top w:val="none" w:sz="0" w:space="0" w:color="auto"/>
                    <w:left w:val="none" w:sz="0" w:space="0" w:color="auto"/>
                    <w:bottom w:val="none" w:sz="0" w:space="0" w:color="auto"/>
                    <w:right w:val="none" w:sz="0" w:space="0" w:color="auto"/>
                  </w:divBdr>
                </w:div>
              </w:divsChild>
            </w:div>
            <w:div w:id="742873596">
              <w:marLeft w:val="0"/>
              <w:marRight w:val="0"/>
              <w:marTop w:val="300"/>
              <w:marBottom w:val="300"/>
              <w:divBdr>
                <w:top w:val="none" w:sz="0" w:space="0" w:color="auto"/>
                <w:left w:val="none" w:sz="0" w:space="0" w:color="auto"/>
                <w:bottom w:val="none" w:sz="0" w:space="0" w:color="auto"/>
                <w:right w:val="none" w:sz="0" w:space="0" w:color="auto"/>
              </w:divBdr>
            </w:div>
            <w:div w:id="743720699">
              <w:marLeft w:val="0"/>
              <w:marRight w:val="0"/>
              <w:marTop w:val="300"/>
              <w:marBottom w:val="300"/>
              <w:divBdr>
                <w:top w:val="none" w:sz="0" w:space="0" w:color="auto"/>
                <w:left w:val="none" w:sz="0" w:space="0" w:color="auto"/>
                <w:bottom w:val="none" w:sz="0" w:space="0" w:color="auto"/>
                <w:right w:val="none" w:sz="0" w:space="0" w:color="auto"/>
              </w:divBdr>
            </w:div>
            <w:div w:id="744885524">
              <w:marLeft w:val="0"/>
              <w:marRight w:val="0"/>
              <w:marTop w:val="0"/>
              <w:marBottom w:val="0"/>
              <w:divBdr>
                <w:top w:val="none" w:sz="0" w:space="0" w:color="auto"/>
                <w:left w:val="none" w:sz="0" w:space="0" w:color="auto"/>
                <w:bottom w:val="none" w:sz="0" w:space="0" w:color="auto"/>
                <w:right w:val="none" w:sz="0" w:space="0" w:color="auto"/>
              </w:divBdr>
              <w:divsChild>
                <w:div w:id="251281857">
                  <w:marLeft w:val="0"/>
                  <w:marRight w:val="0"/>
                  <w:marTop w:val="0"/>
                  <w:marBottom w:val="0"/>
                  <w:divBdr>
                    <w:top w:val="none" w:sz="0" w:space="0" w:color="auto"/>
                    <w:left w:val="none" w:sz="0" w:space="0" w:color="auto"/>
                    <w:bottom w:val="none" w:sz="0" w:space="0" w:color="auto"/>
                    <w:right w:val="none" w:sz="0" w:space="0" w:color="auto"/>
                  </w:divBdr>
                </w:div>
              </w:divsChild>
            </w:div>
            <w:div w:id="746000782">
              <w:marLeft w:val="0"/>
              <w:marRight w:val="0"/>
              <w:marTop w:val="300"/>
              <w:marBottom w:val="300"/>
              <w:divBdr>
                <w:top w:val="none" w:sz="0" w:space="0" w:color="auto"/>
                <w:left w:val="none" w:sz="0" w:space="0" w:color="auto"/>
                <w:bottom w:val="none" w:sz="0" w:space="0" w:color="auto"/>
                <w:right w:val="none" w:sz="0" w:space="0" w:color="auto"/>
              </w:divBdr>
            </w:div>
            <w:div w:id="747969596">
              <w:marLeft w:val="0"/>
              <w:marRight w:val="0"/>
              <w:marTop w:val="0"/>
              <w:marBottom w:val="0"/>
              <w:divBdr>
                <w:top w:val="none" w:sz="0" w:space="0" w:color="auto"/>
                <w:left w:val="none" w:sz="0" w:space="0" w:color="auto"/>
                <w:bottom w:val="none" w:sz="0" w:space="0" w:color="auto"/>
                <w:right w:val="none" w:sz="0" w:space="0" w:color="auto"/>
              </w:divBdr>
              <w:divsChild>
                <w:div w:id="1502164717">
                  <w:marLeft w:val="0"/>
                  <w:marRight w:val="0"/>
                  <w:marTop w:val="0"/>
                  <w:marBottom w:val="0"/>
                  <w:divBdr>
                    <w:top w:val="none" w:sz="0" w:space="0" w:color="auto"/>
                    <w:left w:val="none" w:sz="0" w:space="0" w:color="auto"/>
                    <w:bottom w:val="none" w:sz="0" w:space="0" w:color="auto"/>
                    <w:right w:val="none" w:sz="0" w:space="0" w:color="auto"/>
                  </w:divBdr>
                </w:div>
              </w:divsChild>
            </w:div>
            <w:div w:id="748160037">
              <w:marLeft w:val="0"/>
              <w:marRight w:val="0"/>
              <w:marTop w:val="0"/>
              <w:marBottom w:val="0"/>
              <w:divBdr>
                <w:top w:val="none" w:sz="0" w:space="0" w:color="auto"/>
                <w:left w:val="none" w:sz="0" w:space="0" w:color="auto"/>
                <w:bottom w:val="none" w:sz="0" w:space="0" w:color="auto"/>
                <w:right w:val="none" w:sz="0" w:space="0" w:color="auto"/>
              </w:divBdr>
              <w:divsChild>
                <w:div w:id="104930277">
                  <w:marLeft w:val="0"/>
                  <w:marRight w:val="0"/>
                  <w:marTop w:val="0"/>
                  <w:marBottom w:val="0"/>
                  <w:divBdr>
                    <w:top w:val="none" w:sz="0" w:space="0" w:color="auto"/>
                    <w:left w:val="none" w:sz="0" w:space="0" w:color="auto"/>
                    <w:bottom w:val="none" w:sz="0" w:space="0" w:color="auto"/>
                    <w:right w:val="none" w:sz="0" w:space="0" w:color="auto"/>
                  </w:divBdr>
                </w:div>
              </w:divsChild>
            </w:div>
            <w:div w:id="748617866">
              <w:marLeft w:val="0"/>
              <w:marRight w:val="0"/>
              <w:marTop w:val="0"/>
              <w:marBottom w:val="0"/>
              <w:divBdr>
                <w:top w:val="none" w:sz="0" w:space="0" w:color="auto"/>
                <w:left w:val="none" w:sz="0" w:space="0" w:color="auto"/>
                <w:bottom w:val="none" w:sz="0" w:space="0" w:color="auto"/>
                <w:right w:val="none" w:sz="0" w:space="0" w:color="auto"/>
              </w:divBdr>
              <w:divsChild>
                <w:div w:id="963736839">
                  <w:marLeft w:val="0"/>
                  <w:marRight w:val="0"/>
                  <w:marTop w:val="0"/>
                  <w:marBottom w:val="0"/>
                  <w:divBdr>
                    <w:top w:val="none" w:sz="0" w:space="0" w:color="auto"/>
                    <w:left w:val="none" w:sz="0" w:space="0" w:color="auto"/>
                    <w:bottom w:val="none" w:sz="0" w:space="0" w:color="auto"/>
                    <w:right w:val="none" w:sz="0" w:space="0" w:color="auto"/>
                  </w:divBdr>
                </w:div>
              </w:divsChild>
            </w:div>
            <w:div w:id="749473611">
              <w:marLeft w:val="0"/>
              <w:marRight w:val="0"/>
              <w:marTop w:val="300"/>
              <w:marBottom w:val="300"/>
              <w:divBdr>
                <w:top w:val="none" w:sz="0" w:space="0" w:color="auto"/>
                <w:left w:val="none" w:sz="0" w:space="0" w:color="auto"/>
                <w:bottom w:val="none" w:sz="0" w:space="0" w:color="auto"/>
                <w:right w:val="none" w:sz="0" w:space="0" w:color="auto"/>
              </w:divBdr>
            </w:div>
            <w:div w:id="749618078">
              <w:marLeft w:val="0"/>
              <w:marRight w:val="0"/>
              <w:marTop w:val="0"/>
              <w:marBottom w:val="0"/>
              <w:divBdr>
                <w:top w:val="none" w:sz="0" w:space="0" w:color="auto"/>
                <w:left w:val="none" w:sz="0" w:space="0" w:color="auto"/>
                <w:bottom w:val="none" w:sz="0" w:space="0" w:color="auto"/>
                <w:right w:val="none" w:sz="0" w:space="0" w:color="auto"/>
              </w:divBdr>
              <w:divsChild>
                <w:div w:id="556667486">
                  <w:marLeft w:val="0"/>
                  <w:marRight w:val="0"/>
                  <w:marTop w:val="0"/>
                  <w:marBottom w:val="0"/>
                  <w:divBdr>
                    <w:top w:val="none" w:sz="0" w:space="0" w:color="auto"/>
                    <w:left w:val="none" w:sz="0" w:space="0" w:color="auto"/>
                    <w:bottom w:val="none" w:sz="0" w:space="0" w:color="auto"/>
                    <w:right w:val="none" w:sz="0" w:space="0" w:color="auto"/>
                  </w:divBdr>
                </w:div>
              </w:divsChild>
            </w:div>
            <w:div w:id="749620251">
              <w:marLeft w:val="0"/>
              <w:marRight w:val="0"/>
              <w:marTop w:val="300"/>
              <w:marBottom w:val="300"/>
              <w:divBdr>
                <w:top w:val="none" w:sz="0" w:space="0" w:color="auto"/>
                <w:left w:val="none" w:sz="0" w:space="0" w:color="auto"/>
                <w:bottom w:val="none" w:sz="0" w:space="0" w:color="auto"/>
                <w:right w:val="none" w:sz="0" w:space="0" w:color="auto"/>
              </w:divBdr>
            </w:div>
            <w:div w:id="750394422">
              <w:marLeft w:val="0"/>
              <w:marRight w:val="0"/>
              <w:marTop w:val="0"/>
              <w:marBottom w:val="0"/>
              <w:divBdr>
                <w:top w:val="none" w:sz="0" w:space="0" w:color="auto"/>
                <w:left w:val="none" w:sz="0" w:space="0" w:color="auto"/>
                <w:bottom w:val="none" w:sz="0" w:space="0" w:color="auto"/>
                <w:right w:val="none" w:sz="0" w:space="0" w:color="auto"/>
              </w:divBdr>
              <w:divsChild>
                <w:div w:id="941381449">
                  <w:marLeft w:val="0"/>
                  <w:marRight w:val="0"/>
                  <w:marTop w:val="0"/>
                  <w:marBottom w:val="0"/>
                  <w:divBdr>
                    <w:top w:val="none" w:sz="0" w:space="0" w:color="auto"/>
                    <w:left w:val="none" w:sz="0" w:space="0" w:color="auto"/>
                    <w:bottom w:val="none" w:sz="0" w:space="0" w:color="auto"/>
                    <w:right w:val="none" w:sz="0" w:space="0" w:color="auto"/>
                  </w:divBdr>
                </w:div>
              </w:divsChild>
            </w:div>
            <w:div w:id="750467669">
              <w:marLeft w:val="0"/>
              <w:marRight w:val="0"/>
              <w:marTop w:val="0"/>
              <w:marBottom w:val="0"/>
              <w:divBdr>
                <w:top w:val="none" w:sz="0" w:space="0" w:color="auto"/>
                <w:left w:val="none" w:sz="0" w:space="0" w:color="auto"/>
                <w:bottom w:val="none" w:sz="0" w:space="0" w:color="auto"/>
                <w:right w:val="none" w:sz="0" w:space="0" w:color="auto"/>
              </w:divBdr>
              <w:divsChild>
                <w:div w:id="464126253">
                  <w:marLeft w:val="0"/>
                  <w:marRight w:val="0"/>
                  <w:marTop w:val="0"/>
                  <w:marBottom w:val="0"/>
                  <w:divBdr>
                    <w:top w:val="none" w:sz="0" w:space="0" w:color="auto"/>
                    <w:left w:val="none" w:sz="0" w:space="0" w:color="auto"/>
                    <w:bottom w:val="none" w:sz="0" w:space="0" w:color="auto"/>
                    <w:right w:val="none" w:sz="0" w:space="0" w:color="auto"/>
                  </w:divBdr>
                </w:div>
              </w:divsChild>
            </w:div>
            <w:div w:id="751508374">
              <w:marLeft w:val="0"/>
              <w:marRight w:val="0"/>
              <w:marTop w:val="0"/>
              <w:marBottom w:val="0"/>
              <w:divBdr>
                <w:top w:val="none" w:sz="0" w:space="0" w:color="auto"/>
                <w:left w:val="none" w:sz="0" w:space="0" w:color="auto"/>
                <w:bottom w:val="none" w:sz="0" w:space="0" w:color="auto"/>
                <w:right w:val="none" w:sz="0" w:space="0" w:color="auto"/>
              </w:divBdr>
              <w:divsChild>
                <w:div w:id="1706445377">
                  <w:marLeft w:val="0"/>
                  <w:marRight w:val="0"/>
                  <w:marTop w:val="0"/>
                  <w:marBottom w:val="0"/>
                  <w:divBdr>
                    <w:top w:val="none" w:sz="0" w:space="0" w:color="auto"/>
                    <w:left w:val="none" w:sz="0" w:space="0" w:color="auto"/>
                    <w:bottom w:val="none" w:sz="0" w:space="0" w:color="auto"/>
                    <w:right w:val="none" w:sz="0" w:space="0" w:color="auto"/>
                  </w:divBdr>
                </w:div>
              </w:divsChild>
            </w:div>
            <w:div w:id="753624501">
              <w:marLeft w:val="0"/>
              <w:marRight w:val="0"/>
              <w:marTop w:val="0"/>
              <w:marBottom w:val="0"/>
              <w:divBdr>
                <w:top w:val="none" w:sz="0" w:space="0" w:color="auto"/>
                <w:left w:val="none" w:sz="0" w:space="0" w:color="auto"/>
                <w:bottom w:val="none" w:sz="0" w:space="0" w:color="auto"/>
                <w:right w:val="none" w:sz="0" w:space="0" w:color="auto"/>
              </w:divBdr>
              <w:divsChild>
                <w:div w:id="1385253474">
                  <w:marLeft w:val="0"/>
                  <w:marRight w:val="0"/>
                  <w:marTop w:val="0"/>
                  <w:marBottom w:val="0"/>
                  <w:divBdr>
                    <w:top w:val="none" w:sz="0" w:space="0" w:color="auto"/>
                    <w:left w:val="none" w:sz="0" w:space="0" w:color="auto"/>
                    <w:bottom w:val="none" w:sz="0" w:space="0" w:color="auto"/>
                    <w:right w:val="none" w:sz="0" w:space="0" w:color="auto"/>
                  </w:divBdr>
                </w:div>
              </w:divsChild>
            </w:div>
            <w:div w:id="754975749">
              <w:marLeft w:val="0"/>
              <w:marRight w:val="0"/>
              <w:marTop w:val="0"/>
              <w:marBottom w:val="0"/>
              <w:divBdr>
                <w:top w:val="none" w:sz="0" w:space="0" w:color="auto"/>
                <w:left w:val="none" w:sz="0" w:space="0" w:color="auto"/>
                <w:bottom w:val="none" w:sz="0" w:space="0" w:color="auto"/>
                <w:right w:val="none" w:sz="0" w:space="0" w:color="auto"/>
              </w:divBdr>
              <w:divsChild>
                <w:div w:id="1932926886">
                  <w:marLeft w:val="0"/>
                  <w:marRight w:val="0"/>
                  <w:marTop w:val="0"/>
                  <w:marBottom w:val="0"/>
                  <w:divBdr>
                    <w:top w:val="none" w:sz="0" w:space="0" w:color="auto"/>
                    <w:left w:val="none" w:sz="0" w:space="0" w:color="auto"/>
                    <w:bottom w:val="none" w:sz="0" w:space="0" w:color="auto"/>
                    <w:right w:val="none" w:sz="0" w:space="0" w:color="auto"/>
                  </w:divBdr>
                </w:div>
              </w:divsChild>
            </w:div>
            <w:div w:id="755440375">
              <w:marLeft w:val="0"/>
              <w:marRight w:val="0"/>
              <w:marTop w:val="0"/>
              <w:marBottom w:val="0"/>
              <w:divBdr>
                <w:top w:val="none" w:sz="0" w:space="0" w:color="auto"/>
                <w:left w:val="none" w:sz="0" w:space="0" w:color="auto"/>
                <w:bottom w:val="none" w:sz="0" w:space="0" w:color="auto"/>
                <w:right w:val="none" w:sz="0" w:space="0" w:color="auto"/>
              </w:divBdr>
              <w:divsChild>
                <w:div w:id="16086946">
                  <w:marLeft w:val="0"/>
                  <w:marRight w:val="0"/>
                  <w:marTop w:val="0"/>
                  <w:marBottom w:val="0"/>
                  <w:divBdr>
                    <w:top w:val="none" w:sz="0" w:space="0" w:color="auto"/>
                    <w:left w:val="none" w:sz="0" w:space="0" w:color="auto"/>
                    <w:bottom w:val="none" w:sz="0" w:space="0" w:color="auto"/>
                    <w:right w:val="none" w:sz="0" w:space="0" w:color="auto"/>
                  </w:divBdr>
                </w:div>
              </w:divsChild>
            </w:div>
            <w:div w:id="755706254">
              <w:marLeft w:val="0"/>
              <w:marRight w:val="0"/>
              <w:marTop w:val="300"/>
              <w:marBottom w:val="300"/>
              <w:divBdr>
                <w:top w:val="none" w:sz="0" w:space="0" w:color="auto"/>
                <w:left w:val="none" w:sz="0" w:space="0" w:color="auto"/>
                <w:bottom w:val="none" w:sz="0" w:space="0" w:color="auto"/>
                <w:right w:val="none" w:sz="0" w:space="0" w:color="auto"/>
              </w:divBdr>
            </w:div>
            <w:div w:id="757673729">
              <w:marLeft w:val="0"/>
              <w:marRight w:val="0"/>
              <w:marTop w:val="0"/>
              <w:marBottom w:val="0"/>
              <w:divBdr>
                <w:top w:val="none" w:sz="0" w:space="0" w:color="auto"/>
                <w:left w:val="none" w:sz="0" w:space="0" w:color="auto"/>
                <w:bottom w:val="none" w:sz="0" w:space="0" w:color="auto"/>
                <w:right w:val="none" w:sz="0" w:space="0" w:color="auto"/>
              </w:divBdr>
              <w:divsChild>
                <w:div w:id="2020812627">
                  <w:marLeft w:val="0"/>
                  <w:marRight w:val="0"/>
                  <w:marTop w:val="0"/>
                  <w:marBottom w:val="0"/>
                  <w:divBdr>
                    <w:top w:val="none" w:sz="0" w:space="0" w:color="auto"/>
                    <w:left w:val="none" w:sz="0" w:space="0" w:color="auto"/>
                    <w:bottom w:val="none" w:sz="0" w:space="0" w:color="auto"/>
                    <w:right w:val="none" w:sz="0" w:space="0" w:color="auto"/>
                  </w:divBdr>
                </w:div>
              </w:divsChild>
            </w:div>
            <w:div w:id="760217999">
              <w:marLeft w:val="0"/>
              <w:marRight w:val="0"/>
              <w:marTop w:val="0"/>
              <w:marBottom w:val="0"/>
              <w:divBdr>
                <w:top w:val="none" w:sz="0" w:space="0" w:color="auto"/>
                <w:left w:val="none" w:sz="0" w:space="0" w:color="auto"/>
                <w:bottom w:val="none" w:sz="0" w:space="0" w:color="auto"/>
                <w:right w:val="none" w:sz="0" w:space="0" w:color="auto"/>
              </w:divBdr>
              <w:divsChild>
                <w:div w:id="1961718286">
                  <w:marLeft w:val="0"/>
                  <w:marRight w:val="0"/>
                  <w:marTop w:val="0"/>
                  <w:marBottom w:val="0"/>
                  <w:divBdr>
                    <w:top w:val="none" w:sz="0" w:space="0" w:color="auto"/>
                    <w:left w:val="none" w:sz="0" w:space="0" w:color="auto"/>
                    <w:bottom w:val="none" w:sz="0" w:space="0" w:color="auto"/>
                    <w:right w:val="none" w:sz="0" w:space="0" w:color="auto"/>
                  </w:divBdr>
                </w:div>
              </w:divsChild>
            </w:div>
            <w:div w:id="760375443">
              <w:marLeft w:val="0"/>
              <w:marRight w:val="0"/>
              <w:marTop w:val="0"/>
              <w:marBottom w:val="0"/>
              <w:divBdr>
                <w:top w:val="none" w:sz="0" w:space="0" w:color="auto"/>
                <w:left w:val="none" w:sz="0" w:space="0" w:color="auto"/>
                <w:bottom w:val="none" w:sz="0" w:space="0" w:color="auto"/>
                <w:right w:val="none" w:sz="0" w:space="0" w:color="auto"/>
              </w:divBdr>
              <w:divsChild>
                <w:div w:id="67240654">
                  <w:marLeft w:val="0"/>
                  <w:marRight w:val="0"/>
                  <w:marTop w:val="0"/>
                  <w:marBottom w:val="0"/>
                  <w:divBdr>
                    <w:top w:val="none" w:sz="0" w:space="0" w:color="auto"/>
                    <w:left w:val="none" w:sz="0" w:space="0" w:color="auto"/>
                    <w:bottom w:val="none" w:sz="0" w:space="0" w:color="auto"/>
                    <w:right w:val="none" w:sz="0" w:space="0" w:color="auto"/>
                  </w:divBdr>
                </w:div>
              </w:divsChild>
            </w:div>
            <w:div w:id="760874438">
              <w:marLeft w:val="0"/>
              <w:marRight w:val="0"/>
              <w:marTop w:val="0"/>
              <w:marBottom w:val="0"/>
              <w:divBdr>
                <w:top w:val="none" w:sz="0" w:space="0" w:color="auto"/>
                <w:left w:val="none" w:sz="0" w:space="0" w:color="auto"/>
                <w:bottom w:val="none" w:sz="0" w:space="0" w:color="auto"/>
                <w:right w:val="none" w:sz="0" w:space="0" w:color="auto"/>
              </w:divBdr>
              <w:divsChild>
                <w:div w:id="481386554">
                  <w:marLeft w:val="0"/>
                  <w:marRight w:val="0"/>
                  <w:marTop w:val="0"/>
                  <w:marBottom w:val="0"/>
                  <w:divBdr>
                    <w:top w:val="none" w:sz="0" w:space="0" w:color="auto"/>
                    <w:left w:val="none" w:sz="0" w:space="0" w:color="auto"/>
                    <w:bottom w:val="none" w:sz="0" w:space="0" w:color="auto"/>
                    <w:right w:val="none" w:sz="0" w:space="0" w:color="auto"/>
                  </w:divBdr>
                </w:div>
              </w:divsChild>
            </w:div>
            <w:div w:id="762722083">
              <w:marLeft w:val="0"/>
              <w:marRight w:val="0"/>
              <w:marTop w:val="0"/>
              <w:marBottom w:val="0"/>
              <w:divBdr>
                <w:top w:val="none" w:sz="0" w:space="0" w:color="auto"/>
                <w:left w:val="none" w:sz="0" w:space="0" w:color="auto"/>
                <w:bottom w:val="none" w:sz="0" w:space="0" w:color="auto"/>
                <w:right w:val="none" w:sz="0" w:space="0" w:color="auto"/>
              </w:divBdr>
              <w:divsChild>
                <w:div w:id="202249662">
                  <w:marLeft w:val="0"/>
                  <w:marRight w:val="0"/>
                  <w:marTop w:val="0"/>
                  <w:marBottom w:val="0"/>
                  <w:divBdr>
                    <w:top w:val="none" w:sz="0" w:space="0" w:color="auto"/>
                    <w:left w:val="none" w:sz="0" w:space="0" w:color="auto"/>
                    <w:bottom w:val="none" w:sz="0" w:space="0" w:color="auto"/>
                    <w:right w:val="none" w:sz="0" w:space="0" w:color="auto"/>
                  </w:divBdr>
                </w:div>
              </w:divsChild>
            </w:div>
            <w:div w:id="763497253">
              <w:marLeft w:val="0"/>
              <w:marRight w:val="0"/>
              <w:marTop w:val="0"/>
              <w:marBottom w:val="0"/>
              <w:divBdr>
                <w:top w:val="none" w:sz="0" w:space="0" w:color="auto"/>
                <w:left w:val="none" w:sz="0" w:space="0" w:color="auto"/>
                <w:bottom w:val="none" w:sz="0" w:space="0" w:color="auto"/>
                <w:right w:val="none" w:sz="0" w:space="0" w:color="auto"/>
              </w:divBdr>
              <w:divsChild>
                <w:div w:id="722555858">
                  <w:marLeft w:val="0"/>
                  <w:marRight w:val="0"/>
                  <w:marTop w:val="0"/>
                  <w:marBottom w:val="0"/>
                  <w:divBdr>
                    <w:top w:val="none" w:sz="0" w:space="0" w:color="auto"/>
                    <w:left w:val="none" w:sz="0" w:space="0" w:color="auto"/>
                    <w:bottom w:val="none" w:sz="0" w:space="0" w:color="auto"/>
                    <w:right w:val="none" w:sz="0" w:space="0" w:color="auto"/>
                  </w:divBdr>
                </w:div>
              </w:divsChild>
            </w:div>
            <w:div w:id="763574625">
              <w:marLeft w:val="0"/>
              <w:marRight w:val="0"/>
              <w:marTop w:val="0"/>
              <w:marBottom w:val="0"/>
              <w:divBdr>
                <w:top w:val="none" w:sz="0" w:space="0" w:color="auto"/>
                <w:left w:val="none" w:sz="0" w:space="0" w:color="auto"/>
                <w:bottom w:val="none" w:sz="0" w:space="0" w:color="auto"/>
                <w:right w:val="none" w:sz="0" w:space="0" w:color="auto"/>
              </w:divBdr>
              <w:divsChild>
                <w:div w:id="341666207">
                  <w:marLeft w:val="0"/>
                  <w:marRight w:val="0"/>
                  <w:marTop w:val="0"/>
                  <w:marBottom w:val="0"/>
                  <w:divBdr>
                    <w:top w:val="none" w:sz="0" w:space="0" w:color="auto"/>
                    <w:left w:val="none" w:sz="0" w:space="0" w:color="auto"/>
                    <w:bottom w:val="none" w:sz="0" w:space="0" w:color="auto"/>
                    <w:right w:val="none" w:sz="0" w:space="0" w:color="auto"/>
                  </w:divBdr>
                </w:div>
              </w:divsChild>
            </w:div>
            <w:div w:id="765926453">
              <w:marLeft w:val="0"/>
              <w:marRight w:val="0"/>
              <w:marTop w:val="0"/>
              <w:marBottom w:val="0"/>
              <w:divBdr>
                <w:top w:val="none" w:sz="0" w:space="0" w:color="auto"/>
                <w:left w:val="none" w:sz="0" w:space="0" w:color="auto"/>
                <w:bottom w:val="none" w:sz="0" w:space="0" w:color="auto"/>
                <w:right w:val="none" w:sz="0" w:space="0" w:color="auto"/>
              </w:divBdr>
              <w:divsChild>
                <w:div w:id="2126001020">
                  <w:marLeft w:val="0"/>
                  <w:marRight w:val="0"/>
                  <w:marTop w:val="0"/>
                  <w:marBottom w:val="0"/>
                  <w:divBdr>
                    <w:top w:val="none" w:sz="0" w:space="0" w:color="auto"/>
                    <w:left w:val="none" w:sz="0" w:space="0" w:color="auto"/>
                    <w:bottom w:val="none" w:sz="0" w:space="0" w:color="auto"/>
                    <w:right w:val="none" w:sz="0" w:space="0" w:color="auto"/>
                  </w:divBdr>
                </w:div>
              </w:divsChild>
            </w:div>
            <w:div w:id="771053749">
              <w:marLeft w:val="0"/>
              <w:marRight w:val="0"/>
              <w:marTop w:val="0"/>
              <w:marBottom w:val="0"/>
              <w:divBdr>
                <w:top w:val="none" w:sz="0" w:space="0" w:color="auto"/>
                <w:left w:val="none" w:sz="0" w:space="0" w:color="auto"/>
                <w:bottom w:val="none" w:sz="0" w:space="0" w:color="auto"/>
                <w:right w:val="none" w:sz="0" w:space="0" w:color="auto"/>
              </w:divBdr>
              <w:divsChild>
                <w:div w:id="1564945722">
                  <w:marLeft w:val="0"/>
                  <w:marRight w:val="0"/>
                  <w:marTop w:val="0"/>
                  <w:marBottom w:val="0"/>
                  <w:divBdr>
                    <w:top w:val="none" w:sz="0" w:space="0" w:color="auto"/>
                    <w:left w:val="none" w:sz="0" w:space="0" w:color="auto"/>
                    <w:bottom w:val="none" w:sz="0" w:space="0" w:color="auto"/>
                    <w:right w:val="none" w:sz="0" w:space="0" w:color="auto"/>
                  </w:divBdr>
                </w:div>
              </w:divsChild>
            </w:div>
            <w:div w:id="771825706">
              <w:marLeft w:val="0"/>
              <w:marRight w:val="0"/>
              <w:marTop w:val="0"/>
              <w:marBottom w:val="0"/>
              <w:divBdr>
                <w:top w:val="none" w:sz="0" w:space="0" w:color="auto"/>
                <w:left w:val="none" w:sz="0" w:space="0" w:color="auto"/>
                <w:bottom w:val="none" w:sz="0" w:space="0" w:color="auto"/>
                <w:right w:val="none" w:sz="0" w:space="0" w:color="auto"/>
              </w:divBdr>
              <w:divsChild>
                <w:div w:id="1336954663">
                  <w:marLeft w:val="0"/>
                  <w:marRight w:val="0"/>
                  <w:marTop w:val="0"/>
                  <w:marBottom w:val="0"/>
                  <w:divBdr>
                    <w:top w:val="none" w:sz="0" w:space="0" w:color="auto"/>
                    <w:left w:val="none" w:sz="0" w:space="0" w:color="auto"/>
                    <w:bottom w:val="none" w:sz="0" w:space="0" w:color="auto"/>
                    <w:right w:val="none" w:sz="0" w:space="0" w:color="auto"/>
                  </w:divBdr>
                </w:div>
              </w:divsChild>
            </w:div>
            <w:div w:id="778842170">
              <w:marLeft w:val="0"/>
              <w:marRight w:val="0"/>
              <w:marTop w:val="0"/>
              <w:marBottom w:val="0"/>
              <w:divBdr>
                <w:top w:val="none" w:sz="0" w:space="0" w:color="auto"/>
                <w:left w:val="none" w:sz="0" w:space="0" w:color="auto"/>
                <w:bottom w:val="none" w:sz="0" w:space="0" w:color="auto"/>
                <w:right w:val="none" w:sz="0" w:space="0" w:color="auto"/>
              </w:divBdr>
              <w:divsChild>
                <w:div w:id="515584879">
                  <w:marLeft w:val="0"/>
                  <w:marRight w:val="0"/>
                  <w:marTop w:val="0"/>
                  <w:marBottom w:val="0"/>
                  <w:divBdr>
                    <w:top w:val="none" w:sz="0" w:space="0" w:color="auto"/>
                    <w:left w:val="none" w:sz="0" w:space="0" w:color="auto"/>
                    <w:bottom w:val="none" w:sz="0" w:space="0" w:color="auto"/>
                    <w:right w:val="none" w:sz="0" w:space="0" w:color="auto"/>
                  </w:divBdr>
                </w:div>
              </w:divsChild>
            </w:div>
            <w:div w:id="779836912">
              <w:marLeft w:val="0"/>
              <w:marRight w:val="0"/>
              <w:marTop w:val="300"/>
              <w:marBottom w:val="300"/>
              <w:divBdr>
                <w:top w:val="none" w:sz="0" w:space="0" w:color="auto"/>
                <w:left w:val="none" w:sz="0" w:space="0" w:color="auto"/>
                <w:bottom w:val="none" w:sz="0" w:space="0" w:color="auto"/>
                <w:right w:val="none" w:sz="0" w:space="0" w:color="auto"/>
              </w:divBdr>
            </w:div>
            <w:div w:id="779957861">
              <w:marLeft w:val="0"/>
              <w:marRight w:val="0"/>
              <w:marTop w:val="0"/>
              <w:marBottom w:val="0"/>
              <w:divBdr>
                <w:top w:val="none" w:sz="0" w:space="0" w:color="auto"/>
                <w:left w:val="none" w:sz="0" w:space="0" w:color="auto"/>
                <w:bottom w:val="none" w:sz="0" w:space="0" w:color="auto"/>
                <w:right w:val="none" w:sz="0" w:space="0" w:color="auto"/>
              </w:divBdr>
              <w:divsChild>
                <w:div w:id="681206492">
                  <w:marLeft w:val="0"/>
                  <w:marRight w:val="0"/>
                  <w:marTop w:val="0"/>
                  <w:marBottom w:val="0"/>
                  <w:divBdr>
                    <w:top w:val="none" w:sz="0" w:space="0" w:color="auto"/>
                    <w:left w:val="none" w:sz="0" w:space="0" w:color="auto"/>
                    <w:bottom w:val="none" w:sz="0" w:space="0" w:color="auto"/>
                    <w:right w:val="none" w:sz="0" w:space="0" w:color="auto"/>
                  </w:divBdr>
                </w:div>
              </w:divsChild>
            </w:div>
            <w:div w:id="784035684">
              <w:marLeft w:val="0"/>
              <w:marRight w:val="0"/>
              <w:marTop w:val="0"/>
              <w:marBottom w:val="0"/>
              <w:divBdr>
                <w:top w:val="none" w:sz="0" w:space="0" w:color="auto"/>
                <w:left w:val="none" w:sz="0" w:space="0" w:color="auto"/>
                <w:bottom w:val="none" w:sz="0" w:space="0" w:color="auto"/>
                <w:right w:val="none" w:sz="0" w:space="0" w:color="auto"/>
              </w:divBdr>
              <w:divsChild>
                <w:div w:id="265774131">
                  <w:marLeft w:val="0"/>
                  <w:marRight w:val="0"/>
                  <w:marTop w:val="0"/>
                  <w:marBottom w:val="0"/>
                  <w:divBdr>
                    <w:top w:val="none" w:sz="0" w:space="0" w:color="auto"/>
                    <w:left w:val="none" w:sz="0" w:space="0" w:color="auto"/>
                    <w:bottom w:val="none" w:sz="0" w:space="0" w:color="auto"/>
                    <w:right w:val="none" w:sz="0" w:space="0" w:color="auto"/>
                  </w:divBdr>
                </w:div>
              </w:divsChild>
            </w:div>
            <w:div w:id="784352054">
              <w:marLeft w:val="0"/>
              <w:marRight w:val="0"/>
              <w:marTop w:val="300"/>
              <w:marBottom w:val="300"/>
              <w:divBdr>
                <w:top w:val="none" w:sz="0" w:space="0" w:color="auto"/>
                <w:left w:val="none" w:sz="0" w:space="0" w:color="auto"/>
                <w:bottom w:val="none" w:sz="0" w:space="0" w:color="auto"/>
                <w:right w:val="none" w:sz="0" w:space="0" w:color="auto"/>
              </w:divBdr>
            </w:div>
            <w:div w:id="784545115">
              <w:marLeft w:val="0"/>
              <w:marRight w:val="0"/>
              <w:marTop w:val="0"/>
              <w:marBottom w:val="0"/>
              <w:divBdr>
                <w:top w:val="none" w:sz="0" w:space="0" w:color="auto"/>
                <w:left w:val="none" w:sz="0" w:space="0" w:color="auto"/>
                <w:bottom w:val="none" w:sz="0" w:space="0" w:color="auto"/>
                <w:right w:val="none" w:sz="0" w:space="0" w:color="auto"/>
              </w:divBdr>
              <w:divsChild>
                <w:div w:id="797844113">
                  <w:marLeft w:val="0"/>
                  <w:marRight w:val="0"/>
                  <w:marTop w:val="0"/>
                  <w:marBottom w:val="0"/>
                  <w:divBdr>
                    <w:top w:val="none" w:sz="0" w:space="0" w:color="auto"/>
                    <w:left w:val="none" w:sz="0" w:space="0" w:color="auto"/>
                    <w:bottom w:val="none" w:sz="0" w:space="0" w:color="auto"/>
                    <w:right w:val="none" w:sz="0" w:space="0" w:color="auto"/>
                  </w:divBdr>
                </w:div>
              </w:divsChild>
            </w:div>
            <w:div w:id="784808497">
              <w:marLeft w:val="0"/>
              <w:marRight w:val="0"/>
              <w:marTop w:val="0"/>
              <w:marBottom w:val="0"/>
              <w:divBdr>
                <w:top w:val="none" w:sz="0" w:space="0" w:color="auto"/>
                <w:left w:val="none" w:sz="0" w:space="0" w:color="auto"/>
                <w:bottom w:val="none" w:sz="0" w:space="0" w:color="auto"/>
                <w:right w:val="none" w:sz="0" w:space="0" w:color="auto"/>
              </w:divBdr>
              <w:divsChild>
                <w:div w:id="554855760">
                  <w:marLeft w:val="0"/>
                  <w:marRight w:val="0"/>
                  <w:marTop w:val="0"/>
                  <w:marBottom w:val="0"/>
                  <w:divBdr>
                    <w:top w:val="none" w:sz="0" w:space="0" w:color="auto"/>
                    <w:left w:val="none" w:sz="0" w:space="0" w:color="auto"/>
                    <w:bottom w:val="none" w:sz="0" w:space="0" w:color="auto"/>
                    <w:right w:val="none" w:sz="0" w:space="0" w:color="auto"/>
                  </w:divBdr>
                </w:div>
              </w:divsChild>
            </w:div>
            <w:div w:id="787435879">
              <w:marLeft w:val="0"/>
              <w:marRight w:val="0"/>
              <w:marTop w:val="0"/>
              <w:marBottom w:val="0"/>
              <w:divBdr>
                <w:top w:val="none" w:sz="0" w:space="0" w:color="auto"/>
                <w:left w:val="none" w:sz="0" w:space="0" w:color="auto"/>
                <w:bottom w:val="none" w:sz="0" w:space="0" w:color="auto"/>
                <w:right w:val="none" w:sz="0" w:space="0" w:color="auto"/>
              </w:divBdr>
              <w:divsChild>
                <w:div w:id="1063025167">
                  <w:marLeft w:val="0"/>
                  <w:marRight w:val="0"/>
                  <w:marTop w:val="0"/>
                  <w:marBottom w:val="0"/>
                  <w:divBdr>
                    <w:top w:val="none" w:sz="0" w:space="0" w:color="auto"/>
                    <w:left w:val="none" w:sz="0" w:space="0" w:color="auto"/>
                    <w:bottom w:val="none" w:sz="0" w:space="0" w:color="auto"/>
                    <w:right w:val="none" w:sz="0" w:space="0" w:color="auto"/>
                  </w:divBdr>
                </w:div>
              </w:divsChild>
            </w:div>
            <w:div w:id="787509125">
              <w:marLeft w:val="0"/>
              <w:marRight w:val="0"/>
              <w:marTop w:val="0"/>
              <w:marBottom w:val="0"/>
              <w:divBdr>
                <w:top w:val="none" w:sz="0" w:space="0" w:color="auto"/>
                <w:left w:val="none" w:sz="0" w:space="0" w:color="auto"/>
                <w:bottom w:val="none" w:sz="0" w:space="0" w:color="auto"/>
                <w:right w:val="none" w:sz="0" w:space="0" w:color="auto"/>
              </w:divBdr>
              <w:divsChild>
                <w:div w:id="165443333">
                  <w:marLeft w:val="0"/>
                  <w:marRight w:val="0"/>
                  <w:marTop w:val="0"/>
                  <w:marBottom w:val="0"/>
                  <w:divBdr>
                    <w:top w:val="none" w:sz="0" w:space="0" w:color="auto"/>
                    <w:left w:val="none" w:sz="0" w:space="0" w:color="auto"/>
                    <w:bottom w:val="none" w:sz="0" w:space="0" w:color="auto"/>
                    <w:right w:val="none" w:sz="0" w:space="0" w:color="auto"/>
                  </w:divBdr>
                </w:div>
              </w:divsChild>
            </w:div>
            <w:div w:id="787699075">
              <w:marLeft w:val="0"/>
              <w:marRight w:val="0"/>
              <w:marTop w:val="0"/>
              <w:marBottom w:val="0"/>
              <w:divBdr>
                <w:top w:val="none" w:sz="0" w:space="0" w:color="auto"/>
                <w:left w:val="none" w:sz="0" w:space="0" w:color="auto"/>
                <w:bottom w:val="none" w:sz="0" w:space="0" w:color="auto"/>
                <w:right w:val="none" w:sz="0" w:space="0" w:color="auto"/>
              </w:divBdr>
              <w:divsChild>
                <w:div w:id="381903530">
                  <w:marLeft w:val="0"/>
                  <w:marRight w:val="0"/>
                  <w:marTop w:val="0"/>
                  <w:marBottom w:val="0"/>
                  <w:divBdr>
                    <w:top w:val="none" w:sz="0" w:space="0" w:color="auto"/>
                    <w:left w:val="none" w:sz="0" w:space="0" w:color="auto"/>
                    <w:bottom w:val="none" w:sz="0" w:space="0" w:color="auto"/>
                    <w:right w:val="none" w:sz="0" w:space="0" w:color="auto"/>
                  </w:divBdr>
                </w:div>
              </w:divsChild>
            </w:div>
            <w:div w:id="790126062">
              <w:marLeft w:val="0"/>
              <w:marRight w:val="0"/>
              <w:marTop w:val="300"/>
              <w:marBottom w:val="300"/>
              <w:divBdr>
                <w:top w:val="none" w:sz="0" w:space="0" w:color="auto"/>
                <w:left w:val="none" w:sz="0" w:space="0" w:color="auto"/>
                <w:bottom w:val="none" w:sz="0" w:space="0" w:color="auto"/>
                <w:right w:val="none" w:sz="0" w:space="0" w:color="auto"/>
              </w:divBdr>
            </w:div>
            <w:div w:id="790587795">
              <w:marLeft w:val="0"/>
              <w:marRight w:val="0"/>
              <w:marTop w:val="0"/>
              <w:marBottom w:val="0"/>
              <w:divBdr>
                <w:top w:val="none" w:sz="0" w:space="0" w:color="auto"/>
                <w:left w:val="none" w:sz="0" w:space="0" w:color="auto"/>
                <w:bottom w:val="none" w:sz="0" w:space="0" w:color="auto"/>
                <w:right w:val="none" w:sz="0" w:space="0" w:color="auto"/>
              </w:divBdr>
              <w:divsChild>
                <w:div w:id="1272857813">
                  <w:marLeft w:val="0"/>
                  <w:marRight w:val="0"/>
                  <w:marTop w:val="0"/>
                  <w:marBottom w:val="0"/>
                  <w:divBdr>
                    <w:top w:val="none" w:sz="0" w:space="0" w:color="auto"/>
                    <w:left w:val="none" w:sz="0" w:space="0" w:color="auto"/>
                    <w:bottom w:val="none" w:sz="0" w:space="0" w:color="auto"/>
                    <w:right w:val="none" w:sz="0" w:space="0" w:color="auto"/>
                  </w:divBdr>
                </w:div>
              </w:divsChild>
            </w:div>
            <w:div w:id="791244853">
              <w:marLeft w:val="0"/>
              <w:marRight w:val="0"/>
              <w:marTop w:val="0"/>
              <w:marBottom w:val="0"/>
              <w:divBdr>
                <w:top w:val="none" w:sz="0" w:space="0" w:color="auto"/>
                <w:left w:val="none" w:sz="0" w:space="0" w:color="auto"/>
                <w:bottom w:val="none" w:sz="0" w:space="0" w:color="auto"/>
                <w:right w:val="none" w:sz="0" w:space="0" w:color="auto"/>
              </w:divBdr>
              <w:divsChild>
                <w:div w:id="1408917915">
                  <w:marLeft w:val="0"/>
                  <w:marRight w:val="0"/>
                  <w:marTop w:val="0"/>
                  <w:marBottom w:val="0"/>
                  <w:divBdr>
                    <w:top w:val="none" w:sz="0" w:space="0" w:color="auto"/>
                    <w:left w:val="none" w:sz="0" w:space="0" w:color="auto"/>
                    <w:bottom w:val="none" w:sz="0" w:space="0" w:color="auto"/>
                    <w:right w:val="none" w:sz="0" w:space="0" w:color="auto"/>
                  </w:divBdr>
                </w:div>
              </w:divsChild>
            </w:div>
            <w:div w:id="793060108">
              <w:marLeft w:val="0"/>
              <w:marRight w:val="0"/>
              <w:marTop w:val="0"/>
              <w:marBottom w:val="0"/>
              <w:divBdr>
                <w:top w:val="none" w:sz="0" w:space="0" w:color="auto"/>
                <w:left w:val="none" w:sz="0" w:space="0" w:color="auto"/>
                <w:bottom w:val="none" w:sz="0" w:space="0" w:color="auto"/>
                <w:right w:val="none" w:sz="0" w:space="0" w:color="auto"/>
              </w:divBdr>
              <w:divsChild>
                <w:div w:id="1992634623">
                  <w:marLeft w:val="0"/>
                  <w:marRight w:val="0"/>
                  <w:marTop w:val="0"/>
                  <w:marBottom w:val="0"/>
                  <w:divBdr>
                    <w:top w:val="none" w:sz="0" w:space="0" w:color="auto"/>
                    <w:left w:val="none" w:sz="0" w:space="0" w:color="auto"/>
                    <w:bottom w:val="none" w:sz="0" w:space="0" w:color="auto"/>
                    <w:right w:val="none" w:sz="0" w:space="0" w:color="auto"/>
                  </w:divBdr>
                </w:div>
              </w:divsChild>
            </w:div>
            <w:div w:id="794057569">
              <w:marLeft w:val="0"/>
              <w:marRight w:val="0"/>
              <w:marTop w:val="0"/>
              <w:marBottom w:val="0"/>
              <w:divBdr>
                <w:top w:val="none" w:sz="0" w:space="0" w:color="auto"/>
                <w:left w:val="none" w:sz="0" w:space="0" w:color="auto"/>
                <w:bottom w:val="none" w:sz="0" w:space="0" w:color="auto"/>
                <w:right w:val="none" w:sz="0" w:space="0" w:color="auto"/>
              </w:divBdr>
              <w:divsChild>
                <w:div w:id="1950117880">
                  <w:marLeft w:val="0"/>
                  <w:marRight w:val="0"/>
                  <w:marTop w:val="0"/>
                  <w:marBottom w:val="0"/>
                  <w:divBdr>
                    <w:top w:val="none" w:sz="0" w:space="0" w:color="auto"/>
                    <w:left w:val="none" w:sz="0" w:space="0" w:color="auto"/>
                    <w:bottom w:val="none" w:sz="0" w:space="0" w:color="auto"/>
                    <w:right w:val="none" w:sz="0" w:space="0" w:color="auto"/>
                  </w:divBdr>
                </w:div>
              </w:divsChild>
            </w:div>
            <w:div w:id="794984332">
              <w:marLeft w:val="0"/>
              <w:marRight w:val="0"/>
              <w:marTop w:val="0"/>
              <w:marBottom w:val="0"/>
              <w:divBdr>
                <w:top w:val="none" w:sz="0" w:space="0" w:color="auto"/>
                <w:left w:val="none" w:sz="0" w:space="0" w:color="auto"/>
                <w:bottom w:val="none" w:sz="0" w:space="0" w:color="auto"/>
                <w:right w:val="none" w:sz="0" w:space="0" w:color="auto"/>
              </w:divBdr>
              <w:divsChild>
                <w:div w:id="676008052">
                  <w:marLeft w:val="0"/>
                  <w:marRight w:val="0"/>
                  <w:marTop w:val="0"/>
                  <w:marBottom w:val="0"/>
                  <w:divBdr>
                    <w:top w:val="none" w:sz="0" w:space="0" w:color="auto"/>
                    <w:left w:val="none" w:sz="0" w:space="0" w:color="auto"/>
                    <w:bottom w:val="none" w:sz="0" w:space="0" w:color="auto"/>
                    <w:right w:val="none" w:sz="0" w:space="0" w:color="auto"/>
                  </w:divBdr>
                </w:div>
              </w:divsChild>
            </w:div>
            <w:div w:id="795412511">
              <w:marLeft w:val="0"/>
              <w:marRight w:val="0"/>
              <w:marTop w:val="0"/>
              <w:marBottom w:val="0"/>
              <w:divBdr>
                <w:top w:val="none" w:sz="0" w:space="0" w:color="auto"/>
                <w:left w:val="none" w:sz="0" w:space="0" w:color="auto"/>
                <w:bottom w:val="none" w:sz="0" w:space="0" w:color="auto"/>
                <w:right w:val="none" w:sz="0" w:space="0" w:color="auto"/>
              </w:divBdr>
              <w:divsChild>
                <w:div w:id="980382522">
                  <w:marLeft w:val="0"/>
                  <w:marRight w:val="0"/>
                  <w:marTop w:val="0"/>
                  <w:marBottom w:val="0"/>
                  <w:divBdr>
                    <w:top w:val="none" w:sz="0" w:space="0" w:color="auto"/>
                    <w:left w:val="none" w:sz="0" w:space="0" w:color="auto"/>
                    <w:bottom w:val="none" w:sz="0" w:space="0" w:color="auto"/>
                    <w:right w:val="none" w:sz="0" w:space="0" w:color="auto"/>
                  </w:divBdr>
                </w:div>
              </w:divsChild>
            </w:div>
            <w:div w:id="795834045">
              <w:marLeft w:val="0"/>
              <w:marRight w:val="0"/>
              <w:marTop w:val="0"/>
              <w:marBottom w:val="0"/>
              <w:divBdr>
                <w:top w:val="none" w:sz="0" w:space="0" w:color="auto"/>
                <w:left w:val="none" w:sz="0" w:space="0" w:color="auto"/>
                <w:bottom w:val="none" w:sz="0" w:space="0" w:color="auto"/>
                <w:right w:val="none" w:sz="0" w:space="0" w:color="auto"/>
              </w:divBdr>
              <w:divsChild>
                <w:div w:id="544220671">
                  <w:marLeft w:val="0"/>
                  <w:marRight w:val="0"/>
                  <w:marTop w:val="0"/>
                  <w:marBottom w:val="0"/>
                  <w:divBdr>
                    <w:top w:val="none" w:sz="0" w:space="0" w:color="auto"/>
                    <w:left w:val="none" w:sz="0" w:space="0" w:color="auto"/>
                    <w:bottom w:val="none" w:sz="0" w:space="0" w:color="auto"/>
                    <w:right w:val="none" w:sz="0" w:space="0" w:color="auto"/>
                  </w:divBdr>
                </w:div>
              </w:divsChild>
            </w:div>
            <w:div w:id="798302195">
              <w:marLeft w:val="0"/>
              <w:marRight w:val="0"/>
              <w:marTop w:val="300"/>
              <w:marBottom w:val="300"/>
              <w:divBdr>
                <w:top w:val="none" w:sz="0" w:space="0" w:color="auto"/>
                <w:left w:val="none" w:sz="0" w:space="0" w:color="auto"/>
                <w:bottom w:val="none" w:sz="0" w:space="0" w:color="auto"/>
                <w:right w:val="none" w:sz="0" w:space="0" w:color="auto"/>
              </w:divBdr>
            </w:div>
            <w:div w:id="798962929">
              <w:marLeft w:val="0"/>
              <w:marRight w:val="0"/>
              <w:marTop w:val="0"/>
              <w:marBottom w:val="0"/>
              <w:divBdr>
                <w:top w:val="none" w:sz="0" w:space="0" w:color="auto"/>
                <w:left w:val="none" w:sz="0" w:space="0" w:color="auto"/>
                <w:bottom w:val="none" w:sz="0" w:space="0" w:color="auto"/>
                <w:right w:val="none" w:sz="0" w:space="0" w:color="auto"/>
              </w:divBdr>
              <w:divsChild>
                <w:div w:id="1532840726">
                  <w:marLeft w:val="0"/>
                  <w:marRight w:val="0"/>
                  <w:marTop w:val="0"/>
                  <w:marBottom w:val="0"/>
                  <w:divBdr>
                    <w:top w:val="none" w:sz="0" w:space="0" w:color="auto"/>
                    <w:left w:val="none" w:sz="0" w:space="0" w:color="auto"/>
                    <w:bottom w:val="none" w:sz="0" w:space="0" w:color="auto"/>
                    <w:right w:val="none" w:sz="0" w:space="0" w:color="auto"/>
                  </w:divBdr>
                  <w:divsChild>
                    <w:div w:id="51106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535336">
              <w:marLeft w:val="0"/>
              <w:marRight w:val="0"/>
              <w:marTop w:val="300"/>
              <w:marBottom w:val="300"/>
              <w:divBdr>
                <w:top w:val="none" w:sz="0" w:space="0" w:color="auto"/>
                <w:left w:val="none" w:sz="0" w:space="0" w:color="auto"/>
                <w:bottom w:val="none" w:sz="0" w:space="0" w:color="auto"/>
                <w:right w:val="none" w:sz="0" w:space="0" w:color="auto"/>
              </w:divBdr>
            </w:div>
            <w:div w:id="800880807">
              <w:marLeft w:val="0"/>
              <w:marRight w:val="0"/>
              <w:marTop w:val="0"/>
              <w:marBottom w:val="0"/>
              <w:divBdr>
                <w:top w:val="none" w:sz="0" w:space="0" w:color="auto"/>
                <w:left w:val="none" w:sz="0" w:space="0" w:color="auto"/>
                <w:bottom w:val="none" w:sz="0" w:space="0" w:color="auto"/>
                <w:right w:val="none" w:sz="0" w:space="0" w:color="auto"/>
              </w:divBdr>
              <w:divsChild>
                <w:div w:id="77142900">
                  <w:marLeft w:val="0"/>
                  <w:marRight w:val="0"/>
                  <w:marTop w:val="0"/>
                  <w:marBottom w:val="0"/>
                  <w:divBdr>
                    <w:top w:val="none" w:sz="0" w:space="0" w:color="auto"/>
                    <w:left w:val="none" w:sz="0" w:space="0" w:color="auto"/>
                    <w:bottom w:val="none" w:sz="0" w:space="0" w:color="auto"/>
                    <w:right w:val="none" w:sz="0" w:space="0" w:color="auto"/>
                  </w:divBdr>
                </w:div>
              </w:divsChild>
            </w:div>
            <w:div w:id="801078993">
              <w:marLeft w:val="0"/>
              <w:marRight w:val="0"/>
              <w:marTop w:val="0"/>
              <w:marBottom w:val="0"/>
              <w:divBdr>
                <w:top w:val="none" w:sz="0" w:space="0" w:color="auto"/>
                <w:left w:val="none" w:sz="0" w:space="0" w:color="auto"/>
                <w:bottom w:val="none" w:sz="0" w:space="0" w:color="auto"/>
                <w:right w:val="none" w:sz="0" w:space="0" w:color="auto"/>
              </w:divBdr>
              <w:divsChild>
                <w:div w:id="1994675404">
                  <w:marLeft w:val="0"/>
                  <w:marRight w:val="0"/>
                  <w:marTop w:val="0"/>
                  <w:marBottom w:val="0"/>
                  <w:divBdr>
                    <w:top w:val="none" w:sz="0" w:space="0" w:color="auto"/>
                    <w:left w:val="none" w:sz="0" w:space="0" w:color="auto"/>
                    <w:bottom w:val="none" w:sz="0" w:space="0" w:color="auto"/>
                    <w:right w:val="none" w:sz="0" w:space="0" w:color="auto"/>
                  </w:divBdr>
                </w:div>
              </w:divsChild>
            </w:div>
            <w:div w:id="801655499">
              <w:marLeft w:val="0"/>
              <w:marRight w:val="0"/>
              <w:marTop w:val="0"/>
              <w:marBottom w:val="0"/>
              <w:divBdr>
                <w:top w:val="none" w:sz="0" w:space="0" w:color="auto"/>
                <w:left w:val="none" w:sz="0" w:space="0" w:color="auto"/>
                <w:bottom w:val="none" w:sz="0" w:space="0" w:color="auto"/>
                <w:right w:val="none" w:sz="0" w:space="0" w:color="auto"/>
              </w:divBdr>
              <w:divsChild>
                <w:div w:id="1409882702">
                  <w:marLeft w:val="0"/>
                  <w:marRight w:val="0"/>
                  <w:marTop w:val="0"/>
                  <w:marBottom w:val="0"/>
                  <w:divBdr>
                    <w:top w:val="none" w:sz="0" w:space="0" w:color="auto"/>
                    <w:left w:val="none" w:sz="0" w:space="0" w:color="auto"/>
                    <w:bottom w:val="none" w:sz="0" w:space="0" w:color="auto"/>
                    <w:right w:val="none" w:sz="0" w:space="0" w:color="auto"/>
                  </w:divBdr>
                </w:div>
              </w:divsChild>
            </w:div>
            <w:div w:id="801773466">
              <w:marLeft w:val="0"/>
              <w:marRight w:val="0"/>
              <w:marTop w:val="0"/>
              <w:marBottom w:val="0"/>
              <w:divBdr>
                <w:top w:val="none" w:sz="0" w:space="0" w:color="auto"/>
                <w:left w:val="none" w:sz="0" w:space="0" w:color="auto"/>
                <w:bottom w:val="none" w:sz="0" w:space="0" w:color="auto"/>
                <w:right w:val="none" w:sz="0" w:space="0" w:color="auto"/>
              </w:divBdr>
              <w:divsChild>
                <w:div w:id="976376095">
                  <w:marLeft w:val="0"/>
                  <w:marRight w:val="0"/>
                  <w:marTop w:val="0"/>
                  <w:marBottom w:val="0"/>
                  <w:divBdr>
                    <w:top w:val="none" w:sz="0" w:space="0" w:color="auto"/>
                    <w:left w:val="none" w:sz="0" w:space="0" w:color="auto"/>
                    <w:bottom w:val="none" w:sz="0" w:space="0" w:color="auto"/>
                    <w:right w:val="none" w:sz="0" w:space="0" w:color="auto"/>
                  </w:divBdr>
                </w:div>
              </w:divsChild>
            </w:div>
            <w:div w:id="803696565">
              <w:marLeft w:val="0"/>
              <w:marRight w:val="0"/>
              <w:marTop w:val="300"/>
              <w:marBottom w:val="300"/>
              <w:divBdr>
                <w:top w:val="none" w:sz="0" w:space="0" w:color="auto"/>
                <w:left w:val="none" w:sz="0" w:space="0" w:color="auto"/>
                <w:bottom w:val="none" w:sz="0" w:space="0" w:color="auto"/>
                <w:right w:val="none" w:sz="0" w:space="0" w:color="auto"/>
              </w:divBdr>
            </w:div>
            <w:div w:id="804081971">
              <w:marLeft w:val="0"/>
              <w:marRight w:val="0"/>
              <w:marTop w:val="0"/>
              <w:marBottom w:val="0"/>
              <w:divBdr>
                <w:top w:val="none" w:sz="0" w:space="0" w:color="auto"/>
                <w:left w:val="none" w:sz="0" w:space="0" w:color="auto"/>
                <w:bottom w:val="none" w:sz="0" w:space="0" w:color="auto"/>
                <w:right w:val="none" w:sz="0" w:space="0" w:color="auto"/>
              </w:divBdr>
              <w:divsChild>
                <w:div w:id="466164422">
                  <w:marLeft w:val="0"/>
                  <w:marRight w:val="0"/>
                  <w:marTop w:val="0"/>
                  <w:marBottom w:val="0"/>
                  <w:divBdr>
                    <w:top w:val="none" w:sz="0" w:space="0" w:color="auto"/>
                    <w:left w:val="none" w:sz="0" w:space="0" w:color="auto"/>
                    <w:bottom w:val="none" w:sz="0" w:space="0" w:color="auto"/>
                    <w:right w:val="none" w:sz="0" w:space="0" w:color="auto"/>
                  </w:divBdr>
                </w:div>
              </w:divsChild>
            </w:div>
            <w:div w:id="805507030">
              <w:marLeft w:val="0"/>
              <w:marRight w:val="0"/>
              <w:marTop w:val="0"/>
              <w:marBottom w:val="0"/>
              <w:divBdr>
                <w:top w:val="none" w:sz="0" w:space="0" w:color="auto"/>
                <w:left w:val="none" w:sz="0" w:space="0" w:color="auto"/>
                <w:bottom w:val="none" w:sz="0" w:space="0" w:color="auto"/>
                <w:right w:val="none" w:sz="0" w:space="0" w:color="auto"/>
              </w:divBdr>
              <w:divsChild>
                <w:div w:id="478229302">
                  <w:marLeft w:val="0"/>
                  <w:marRight w:val="0"/>
                  <w:marTop w:val="0"/>
                  <w:marBottom w:val="0"/>
                  <w:divBdr>
                    <w:top w:val="none" w:sz="0" w:space="0" w:color="auto"/>
                    <w:left w:val="none" w:sz="0" w:space="0" w:color="auto"/>
                    <w:bottom w:val="none" w:sz="0" w:space="0" w:color="auto"/>
                    <w:right w:val="none" w:sz="0" w:space="0" w:color="auto"/>
                  </w:divBdr>
                </w:div>
              </w:divsChild>
            </w:div>
            <w:div w:id="805701651">
              <w:marLeft w:val="0"/>
              <w:marRight w:val="0"/>
              <w:marTop w:val="0"/>
              <w:marBottom w:val="0"/>
              <w:divBdr>
                <w:top w:val="none" w:sz="0" w:space="0" w:color="auto"/>
                <w:left w:val="none" w:sz="0" w:space="0" w:color="auto"/>
                <w:bottom w:val="none" w:sz="0" w:space="0" w:color="auto"/>
                <w:right w:val="none" w:sz="0" w:space="0" w:color="auto"/>
              </w:divBdr>
              <w:divsChild>
                <w:div w:id="1770198479">
                  <w:marLeft w:val="0"/>
                  <w:marRight w:val="0"/>
                  <w:marTop w:val="0"/>
                  <w:marBottom w:val="0"/>
                  <w:divBdr>
                    <w:top w:val="none" w:sz="0" w:space="0" w:color="auto"/>
                    <w:left w:val="none" w:sz="0" w:space="0" w:color="auto"/>
                    <w:bottom w:val="none" w:sz="0" w:space="0" w:color="auto"/>
                    <w:right w:val="none" w:sz="0" w:space="0" w:color="auto"/>
                  </w:divBdr>
                </w:div>
              </w:divsChild>
            </w:div>
            <w:div w:id="805902384">
              <w:marLeft w:val="0"/>
              <w:marRight w:val="0"/>
              <w:marTop w:val="0"/>
              <w:marBottom w:val="0"/>
              <w:divBdr>
                <w:top w:val="none" w:sz="0" w:space="0" w:color="auto"/>
                <w:left w:val="none" w:sz="0" w:space="0" w:color="auto"/>
                <w:bottom w:val="none" w:sz="0" w:space="0" w:color="auto"/>
                <w:right w:val="none" w:sz="0" w:space="0" w:color="auto"/>
              </w:divBdr>
              <w:divsChild>
                <w:div w:id="1297493683">
                  <w:marLeft w:val="0"/>
                  <w:marRight w:val="0"/>
                  <w:marTop w:val="0"/>
                  <w:marBottom w:val="0"/>
                  <w:divBdr>
                    <w:top w:val="none" w:sz="0" w:space="0" w:color="auto"/>
                    <w:left w:val="none" w:sz="0" w:space="0" w:color="auto"/>
                    <w:bottom w:val="none" w:sz="0" w:space="0" w:color="auto"/>
                    <w:right w:val="none" w:sz="0" w:space="0" w:color="auto"/>
                  </w:divBdr>
                </w:div>
              </w:divsChild>
            </w:div>
            <w:div w:id="805977851">
              <w:marLeft w:val="0"/>
              <w:marRight w:val="0"/>
              <w:marTop w:val="300"/>
              <w:marBottom w:val="300"/>
              <w:divBdr>
                <w:top w:val="none" w:sz="0" w:space="0" w:color="auto"/>
                <w:left w:val="none" w:sz="0" w:space="0" w:color="auto"/>
                <w:bottom w:val="none" w:sz="0" w:space="0" w:color="auto"/>
                <w:right w:val="none" w:sz="0" w:space="0" w:color="auto"/>
              </w:divBdr>
            </w:div>
            <w:div w:id="811681227">
              <w:marLeft w:val="0"/>
              <w:marRight w:val="0"/>
              <w:marTop w:val="300"/>
              <w:marBottom w:val="300"/>
              <w:divBdr>
                <w:top w:val="none" w:sz="0" w:space="0" w:color="auto"/>
                <w:left w:val="none" w:sz="0" w:space="0" w:color="auto"/>
                <w:bottom w:val="none" w:sz="0" w:space="0" w:color="auto"/>
                <w:right w:val="none" w:sz="0" w:space="0" w:color="auto"/>
              </w:divBdr>
            </w:div>
            <w:div w:id="811825860">
              <w:marLeft w:val="0"/>
              <w:marRight w:val="0"/>
              <w:marTop w:val="0"/>
              <w:marBottom w:val="0"/>
              <w:divBdr>
                <w:top w:val="none" w:sz="0" w:space="0" w:color="auto"/>
                <w:left w:val="none" w:sz="0" w:space="0" w:color="auto"/>
                <w:bottom w:val="none" w:sz="0" w:space="0" w:color="auto"/>
                <w:right w:val="none" w:sz="0" w:space="0" w:color="auto"/>
              </w:divBdr>
              <w:divsChild>
                <w:div w:id="1853910282">
                  <w:marLeft w:val="0"/>
                  <w:marRight w:val="0"/>
                  <w:marTop w:val="0"/>
                  <w:marBottom w:val="0"/>
                  <w:divBdr>
                    <w:top w:val="none" w:sz="0" w:space="0" w:color="auto"/>
                    <w:left w:val="none" w:sz="0" w:space="0" w:color="auto"/>
                    <w:bottom w:val="none" w:sz="0" w:space="0" w:color="auto"/>
                    <w:right w:val="none" w:sz="0" w:space="0" w:color="auto"/>
                  </w:divBdr>
                </w:div>
              </w:divsChild>
            </w:div>
            <w:div w:id="814034002">
              <w:marLeft w:val="0"/>
              <w:marRight w:val="0"/>
              <w:marTop w:val="0"/>
              <w:marBottom w:val="0"/>
              <w:divBdr>
                <w:top w:val="none" w:sz="0" w:space="0" w:color="auto"/>
                <w:left w:val="none" w:sz="0" w:space="0" w:color="auto"/>
                <w:bottom w:val="none" w:sz="0" w:space="0" w:color="auto"/>
                <w:right w:val="none" w:sz="0" w:space="0" w:color="auto"/>
              </w:divBdr>
              <w:divsChild>
                <w:div w:id="1604608885">
                  <w:marLeft w:val="0"/>
                  <w:marRight w:val="0"/>
                  <w:marTop w:val="0"/>
                  <w:marBottom w:val="0"/>
                  <w:divBdr>
                    <w:top w:val="none" w:sz="0" w:space="0" w:color="auto"/>
                    <w:left w:val="none" w:sz="0" w:space="0" w:color="auto"/>
                    <w:bottom w:val="none" w:sz="0" w:space="0" w:color="auto"/>
                    <w:right w:val="none" w:sz="0" w:space="0" w:color="auto"/>
                  </w:divBdr>
                </w:div>
              </w:divsChild>
            </w:div>
            <w:div w:id="815029177">
              <w:marLeft w:val="0"/>
              <w:marRight w:val="0"/>
              <w:marTop w:val="0"/>
              <w:marBottom w:val="0"/>
              <w:divBdr>
                <w:top w:val="none" w:sz="0" w:space="0" w:color="auto"/>
                <w:left w:val="none" w:sz="0" w:space="0" w:color="auto"/>
                <w:bottom w:val="none" w:sz="0" w:space="0" w:color="auto"/>
                <w:right w:val="none" w:sz="0" w:space="0" w:color="auto"/>
              </w:divBdr>
              <w:divsChild>
                <w:div w:id="989016255">
                  <w:marLeft w:val="0"/>
                  <w:marRight w:val="0"/>
                  <w:marTop w:val="0"/>
                  <w:marBottom w:val="0"/>
                  <w:divBdr>
                    <w:top w:val="none" w:sz="0" w:space="0" w:color="auto"/>
                    <w:left w:val="none" w:sz="0" w:space="0" w:color="auto"/>
                    <w:bottom w:val="none" w:sz="0" w:space="0" w:color="auto"/>
                    <w:right w:val="none" w:sz="0" w:space="0" w:color="auto"/>
                  </w:divBdr>
                </w:div>
              </w:divsChild>
            </w:div>
            <w:div w:id="815993963">
              <w:marLeft w:val="0"/>
              <w:marRight w:val="0"/>
              <w:marTop w:val="300"/>
              <w:marBottom w:val="300"/>
              <w:divBdr>
                <w:top w:val="none" w:sz="0" w:space="0" w:color="auto"/>
                <w:left w:val="none" w:sz="0" w:space="0" w:color="auto"/>
                <w:bottom w:val="none" w:sz="0" w:space="0" w:color="auto"/>
                <w:right w:val="none" w:sz="0" w:space="0" w:color="auto"/>
              </w:divBdr>
            </w:div>
            <w:div w:id="816074993">
              <w:marLeft w:val="0"/>
              <w:marRight w:val="0"/>
              <w:marTop w:val="0"/>
              <w:marBottom w:val="0"/>
              <w:divBdr>
                <w:top w:val="none" w:sz="0" w:space="0" w:color="auto"/>
                <w:left w:val="none" w:sz="0" w:space="0" w:color="auto"/>
                <w:bottom w:val="none" w:sz="0" w:space="0" w:color="auto"/>
                <w:right w:val="none" w:sz="0" w:space="0" w:color="auto"/>
              </w:divBdr>
              <w:divsChild>
                <w:div w:id="528109518">
                  <w:marLeft w:val="0"/>
                  <w:marRight w:val="0"/>
                  <w:marTop w:val="0"/>
                  <w:marBottom w:val="0"/>
                  <w:divBdr>
                    <w:top w:val="none" w:sz="0" w:space="0" w:color="auto"/>
                    <w:left w:val="none" w:sz="0" w:space="0" w:color="auto"/>
                    <w:bottom w:val="none" w:sz="0" w:space="0" w:color="auto"/>
                    <w:right w:val="none" w:sz="0" w:space="0" w:color="auto"/>
                  </w:divBdr>
                </w:div>
              </w:divsChild>
            </w:div>
            <w:div w:id="816915430">
              <w:marLeft w:val="0"/>
              <w:marRight w:val="0"/>
              <w:marTop w:val="0"/>
              <w:marBottom w:val="0"/>
              <w:divBdr>
                <w:top w:val="none" w:sz="0" w:space="0" w:color="auto"/>
                <w:left w:val="none" w:sz="0" w:space="0" w:color="auto"/>
                <w:bottom w:val="none" w:sz="0" w:space="0" w:color="auto"/>
                <w:right w:val="none" w:sz="0" w:space="0" w:color="auto"/>
              </w:divBdr>
              <w:divsChild>
                <w:div w:id="524562760">
                  <w:marLeft w:val="0"/>
                  <w:marRight w:val="0"/>
                  <w:marTop w:val="0"/>
                  <w:marBottom w:val="0"/>
                  <w:divBdr>
                    <w:top w:val="none" w:sz="0" w:space="0" w:color="auto"/>
                    <w:left w:val="none" w:sz="0" w:space="0" w:color="auto"/>
                    <w:bottom w:val="none" w:sz="0" w:space="0" w:color="auto"/>
                    <w:right w:val="none" w:sz="0" w:space="0" w:color="auto"/>
                  </w:divBdr>
                </w:div>
              </w:divsChild>
            </w:div>
            <w:div w:id="816992816">
              <w:marLeft w:val="0"/>
              <w:marRight w:val="0"/>
              <w:marTop w:val="0"/>
              <w:marBottom w:val="0"/>
              <w:divBdr>
                <w:top w:val="none" w:sz="0" w:space="0" w:color="auto"/>
                <w:left w:val="none" w:sz="0" w:space="0" w:color="auto"/>
                <w:bottom w:val="none" w:sz="0" w:space="0" w:color="auto"/>
                <w:right w:val="none" w:sz="0" w:space="0" w:color="auto"/>
              </w:divBdr>
              <w:divsChild>
                <w:div w:id="1523057462">
                  <w:marLeft w:val="0"/>
                  <w:marRight w:val="0"/>
                  <w:marTop w:val="0"/>
                  <w:marBottom w:val="0"/>
                  <w:divBdr>
                    <w:top w:val="none" w:sz="0" w:space="0" w:color="auto"/>
                    <w:left w:val="none" w:sz="0" w:space="0" w:color="auto"/>
                    <w:bottom w:val="none" w:sz="0" w:space="0" w:color="auto"/>
                    <w:right w:val="none" w:sz="0" w:space="0" w:color="auto"/>
                  </w:divBdr>
                </w:div>
              </w:divsChild>
            </w:div>
            <w:div w:id="818496574">
              <w:marLeft w:val="0"/>
              <w:marRight w:val="0"/>
              <w:marTop w:val="0"/>
              <w:marBottom w:val="0"/>
              <w:divBdr>
                <w:top w:val="none" w:sz="0" w:space="0" w:color="auto"/>
                <w:left w:val="none" w:sz="0" w:space="0" w:color="auto"/>
                <w:bottom w:val="none" w:sz="0" w:space="0" w:color="auto"/>
                <w:right w:val="none" w:sz="0" w:space="0" w:color="auto"/>
              </w:divBdr>
              <w:divsChild>
                <w:div w:id="635570525">
                  <w:marLeft w:val="0"/>
                  <w:marRight w:val="0"/>
                  <w:marTop w:val="0"/>
                  <w:marBottom w:val="0"/>
                  <w:divBdr>
                    <w:top w:val="none" w:sz="0" w:space="0" w:color="auto"/>
                    <w:left w:val="none" w:sz="0" w:space="0" w:color="auto"/>
                    <w:bottom w:val="none" w:sz="0" w:space="0" w:color="auto"/>
                    <w:right w:val="none" w:sz="0" w:space="0" w:color="auto"/>
                  </w:divBdr>
                </w:div>
              </w:divsChild>
            </w:div>
            <w:div w:id="818497973">
              <w:marLeft w:val="0"/>
              <w:marRight w:val="0"/>
              <w:marTop w:val="0"/>
              <w:marBottom w:val="0"/>
              <w:divBdr>
                <w:top w:val="none" w:sz="0" w:space="0" w:color="auto"/>
                <w:left w:val="none" w:sz="0" w:space="0" w:color="auto"/>
                <w:bottom w:val="none" w:sz="0" w:space="0" w:color="auto"/>
                <w:right w:val="none" w:sz="0" w:space="0" w:color="auto"/>
              </w:divBdr>
              <w:divsChild>
                <w:div w:id="713625365">
                  <w:marLeft w:val="0"/>
                  <w:marRight w:val="0"/>
                  <w:marTop w:val="0"/>
                  <w:marBottom w:val="0"/>
                  <w:divBdr>
                    <w:top w:val="none" w:sz="0" w:space="0" w:color="auto"/>
                    <w:left w:val="none" w:sz="0" w:space="0" w:color="auto"/>
                    <w:bottom w:val="none" w:sz="0" w:space="0" w:color="auto"/>
                    <w:right w:val="none" w:sz="0" w:space="0" w:color="auto"/>
                  </w:divBdr>
                </w:div>
              </w:divsChild>
            </w:div>
            <w:div w:id="819268879">
              <w:marLeft w:val="0"/>
              <w:marRight w:val="0"/>
              <w:marTop w:val="0"/>
              <w:marBottom w:val="0"/>
              <w:divBdr>
                <w:top w:val="none" w:sz="0" w:space="0" w:color="auto"/>
                <w:left w:val="none" w:sz="0" w:space="0" w:color="auto"/>
                <w:bottom w:val="none" w:sz="0" w:space="0" w:color="auto"/>
                <w:right w:val="none" w:sz="0" w:space="0" w:color="auto"/>
              </w:divBdr>
              <w:divsChild>
                <w:div w:id="1250116924">
                  <w:marLeft w:val="0"/>
                  <w:marRight w:val="0"/>
                  <w:marTop w:val="0"/>
                  <w:marBottom w:val="0"/>
                  <w:divBdr>
                    <w:top w:val="none" w:sz="0" w:space="0" w:color="auto"/>
                    <w:left w:val="none" w:sz="0" w:space="0" w:color="auto"/>
                    <w:bottom w:val="none" w:sz="0" w:space="0" w:color="auto"/>
                    <w:right w:val="none" w:sz="0" w:space="0" w:color="auto"/>
                  </w:divBdr>
                </w:div>
              </w:divsChild>
            </w:div>
            <w:div w:id="820804980">
              <w:marLeft w:val="0"/>
              <w:marRight w:val="0"/>
              <w:marTop w:val="0"/>
              <w:marBottom w:val="0"/>
              <w:divBdr>
                <w:top w:val="none" w:sz="0" w:space="0" w:color="auto"/>
                <w:left w:val="none" w:sz="0" w:space="0" w:color="auto"/>
                <w:bottom w:val="none" w:sz="0" w:space="0" w:color="auto"/>
                <w:right w:val="none" w:sz="0" w:space="0" w:color="auto"/>
              </w:divBdr>
              <w:divsChild>
                <w:div w:id="313685945">
                  <w:marLeft w:val="0"/>
                  <w:marRight w:val="0"/>
                  <w:marTop w:val="0"/>
                  <w:marBottom w:val="0"/>
                  <w:divBdr>
                    <w:top w:val="none" w:sz="0" w:space="0" w:color="auto"/>
                    <w:left w:val="none" w:sz="0" w:space="0" w:color="auto"/>
                    <w:bottom w:val="none" w:sz="0" w:space="0" w:color="auto"/>
                    <w:right w:val="none" w:sz="0" w:space="0" w:color="auto"/>
                  </w:divBdr>
                </w:div>
              </w:divsChild>
            </w:div>
            <w:div w:id="821386272">
              <w:marLeft w:val="0"/>
              <w:marRight w:val="0"/>
              <w:marTop w:val="0"/>
              <w:marBottom w:val="0"/>
              <w:divBdr>
                <w:top w:val="none" w:sz="0" w:space="0" w:color="auto"/>
                <w:left w:val="none" w:sz="0" w:space="0" w:color="auto"/>
                <w:bottom w:val="none" w:sz="0" w:space="0" w:color="auto"/>
                <w:right w:val="none" w:sz="0" w:space="0" w:color="auto"/>
              </w:divBdr>
              <w:divsChild>
                <w:div w:id="80488435">
                  <w:marLeft w:val="0"/>
                  <w:marRight w:val="0"/>
                  <w:marTop w:val="0"/>
                  <w:marBottom w:val="0"/>
                  <w:divBdr>
                    <w:top w:val="none" w:sz="0" w:space="0" w:color="auto"/>
                    <w:left w:val="none" w:sz="0" w:space="0" w:color="auto"/>
                    <w:bottom w:val="none" w:sz="0" w:space="0" w:color="auto"/>
                    <w:right w:val="none" w:sz="0" w:space="0" w:color="auto"/>
                  </w:divBdr>
                </w:div>
              </w:divsChild>
            </w:div>
            <w:div w:id="822744405">
              <w:marLeft w:val="0"/>
              <w:marRight w:val="0"/>
              <w:marTop w:val="0"/>
              <w:marBottom w:val="0"/>
              <w:divBdr>
                <w:top w:val="none" w:sz="0" w:space="0" w:color="auto"/>
                <w:left w:val="none" w:sz="0" w:space="0" w:color="auto"/>
                <w:bottom w:val="none" w:sz="0" w:space="0" w:color="auto"/>
                <w:right w:val="none" w:sz="0" w:space="0" w:color="auto"/>
              </w:divBdr>
              <w:divsChild>
                <w:div w:id="1947271306">
                  <w:marLeft w:val="0"/>
                  <w:marRight w:val="0"/>
                  <w:marTop w:val="0"/>
                  <w:marBottom w:val="0"/>
                  <w:divBdr>
                    <w:top w:val="none" w:sz="0" w:space="0" w:color="auto"/>
                    <w:left w:val="none" w:sz="0" w:space="0" w:color="auto"/>
                    <w:bottom w:val="none" w:sz="0" w:space="0" w:color="auto"/>
                    <w:right w:val="none" w:sz="0" w:space="0" w:color="auto"/>
                  </w:divBdr>
                </w:div>
              </w:divsChild>
            </w:div>
            <w:div w:id="823013098">
              <w:marLeft w:val="0"/>
              <w:marRight w:val="0"/>
              <w:marTop w:val="300"/>
              <w:marBottom w:val="300"/>
              <w:divBdr>
                <w:top w:val="none" w:sz="0" w:space="0" w:color="auto"/>
                <w:left w:val="none" w:sz="0" w:space="0" w:color="auto"/>
                <w:bottom w:val="none" w:sz="0" w:space="0" w:color="auto"/>
                <w:right w:val="none" w:sz="0" w:space="0" w:color="auto"/>
              </w:divBdr>
            </w:div>
            <w:div w:id="824787054">
              <w:marLeft w:val="0"/>
              <w:marRight w:val="0"/>
              <w:marTop w:val="0"/>
              <w:marBottom w:val="0"/>
              <w:divBdr>
                <w:top w:val="none" w:sz="0" w:space="0" w:color="auto"/>
                <w:left w:val="none" w:sz="0" w:space="0" w:color="auto"/>
                <w:bottom w:val="none" w:sz="0" w:space="0" w:color="auto"/>
                <w:right w:val="none" w:sz="0" w:space="0" w:color="auto"/>
              </w:divBdr>
              <w:divsChild>
                <w:div w:id="324552477">
                  <w:marLeft w:val="0"/>
                  <w:marRight w:val="0"/>
                  <w:marTop w:val="0"/>
                  <w:marBottom w:val="0"/>
                  <w:divBdr>
                    <w:top w:val="none" w:sz="0" w:space="0" w:color="auto"/>
                    <w:left w:val="none" w:sz="0" w:space="0" w:color="auto"/>
                    <w:bottom w:val="none" w:sz="0" w:space="0" w:color="auto"/>
                    <w:right w:val="none" w:sz="0" w:space="0" w:color="auto"/>
                  </w:divBdr>
                </w:div>
              </w:divsChild>
            </w:div>
            <w:div w:id="825048940">
              <w:marLeft w:val="0"/>
              <w:marRight w:val="0"/>
              <w:marTop w:val="0"/>
              <w:marBottom w:val="0"/>
              <w:divBdr>
                <w:top w:val="none" w:sz="0" w:space="0" w:color="auto"/>
                <w:left w:val="none" w:sz="0" w:space="0" w:color="auto"/>
                <w:bottom w:val="none" w:sz="0" w:space="0" w:color="auto"/>
                <w:right w:val="none" w:sz="0" w:space="0" w:color="auto"/>
              </w:divBdr>
              <w:divsChild>
                <w:div w:id="112872121">
                  <w:marLeft w:val="0"/>
                  <w:marRight w:val="0"/>
                  <w:marTop w:val="0"/>
                  <w:marBottom w:val="0"/>
                  <w:divBdr>
                    <w:top w:val="none" w:sz="0" w:space="0" w:color="auto"/>
                    <w:left w:val="none" w:sz="0" w:space="0" w:color="auto"/>
                    <w:bottom w:val="none" w:sz="0" w:space="0" w:color="auto"/>
                    <w:right w:val="none" w:sz="0" w:space="0" w:color="auto"/>
                  </w:divBdr>
                </w:div>
              </w:divsChild>
            </w:div>
            <w:div w:id="830482268">
              <w:marLeft w:val="0"/>
              <w:marRight w:val="0"/>
              <w:marTop w:val="0"/>
              <w:marBottom w:val="0"/>
              <w:divBdr>
                <w:top w:val="none" w:sz="0" w:space="0" w:color="auto"/>
                <w:left w:val="none" w:sz="0" w:space="0" w:color="auto"/>
                <w:bottom w:val="none" w:sz="0" w:space="0" w:color="auto"/>
                <w:right w:val="none" w:sz="0" w:space="0" w:color="auto"/>
              </w:divBdr>
              <w:divsChild>
                <w:div w:id="734740032">
                  <w:marLeft w:val="0"/>
                  <w:marRight w:val="0"/>
                  <w:marTop w:val="0"/>
                  <w:marBottom w:val="0"/>
                  <w:divBdr>
                    <w:top w:val="none" w:sz="0" w:space="0" w:color="auto"/>
                    <w:left w:val="none" w:sz="0" w:space="0" w:color="auto"/>
                    <w:bottom w:val="none" w:sz="0" w:space="0" w:color="auto"/>
                    <w:right w:val="none" w:sz="0" w:space="0" w:color="auto"/>
                  </w:divBdr>
                </w:div>
              </w:divsChild>
            </w:div>
            <w:div w:id="830558570">
              <w:marLeft w:val="0"/>
              <w:marRight w:val="0"/>
              <w:marTop w:val="0"/>
              <w:marBottom w:val="0"/>
              <w:divBdr>
                <w:top w:val="none" w:sz="0" w:space="0" w:color="auto"/>
                <w:left w:val="none" w:sz="0" w:space="0" w:color="auto"/>
                <w:bottom w:val="none" w:sz="0" w:space="0" w:color="auto"/>
                <w:right w:val="none" w:sz="0" w:space="0" w:color="auto"/>
              </w:divBdr>
              <w:divsChild>
                <w:div w:id="553739005">
                  <w:marLeft w:val="0"/>
                  <w:marRight w:val="0"/>
                  <w:marTop w:val="0"/>
                  <w:marBottom w:val="0"/>
                  <w:divBdr>
                    <w:top w:val="none" w:sz="0" w:space="0" w:color="auto"/>
                    <w:left w:val="none" w:sz="0" w:space="0" w:color="auto"/>
                    <w:bottom w:val="none" w:sz="0" w:space="0" w:color="auto"/>
                    <w:right w:val="none" w:sz="0" w:space="0" w:color="auto"/>
                  </w:divBdr>
                </w:div>
              </w:divsChild>
            </w:div>
            <w:div w:id="830951106">
              <w:marLeft w:val="0"/>
              <w:marRight w:val="0"/>
              <w:marTop w:val="0"/>
              <w:marBottom w:val="0"/>
              <w:divBdr>
                <w:top w:val="none" w:sz="0" w:space="0" w:color="auto"/>
                <w:left w:val="none" w:sz="0" w:space="0" w:color="auto"/>
                <w:bottom w:val="none" w:sz="0" w:space="0" w:color="auto"/>
                <w:right w:val="none" w:sz="0" w:space="0" w:color="auto"/>
              </w:divBdr>
              <w:divsChild>
                <w:div w:id="1162359075">
                  <w:marLeft w:val="0"/>
                  <w:marRight w:val="0"/>
                  <w:marTop w:val="0"/>
                  <w:marBottom w:val="0"/>
                  <w:divBdr>
                    <w:top w:val="none" w:sz="0" w:space="0" w:color="auto"/>
                    <w:left w:val="none" w:sz="0" w:space="0" w:color="auto"/>
                    <w:bottom w:val="none" w:sz="0" w:space="0" w:color="auto"/>
                    <w:right w:val="none" w:sz="0" w:space="0" w:color="auto"/>
                  </w:divBdr>
                </w:div>
              </w:divsChild>
            </w:div>
            <w:div w:id="831026986">
              <w:marLeft w:val="0"/>
              <w:marRight w:val="0"/>
              <w:marTop w:val="0"/>
              <w:marBottom w:val="0"/>
              <w:divBdr>
                <w:top w:val="none" w:sz="0" w:space="0" w:color="auto"/>
                <w:left w:val="none" w:sz="0" w:space="0" w:color="auto"/>
                <w:bottom w:val="none" w:sz="0" w:space="0" w:color="auto"/>
                <w:right w:val="none" w:sz="0" w:space="0" w:color="auto"/>
              </w:divBdr>
              <w:divsChild>
                <w:div w:id="5641022">
                  <w:marLeft w:val="0"/>
                  <w:marRight w:val="0"/>
                  <w:marTop w:val="0"/>
                  <w:marBottom w:val="0"/>
                  <w:divBdr>
                    <w:top w:val="none" w:sz="0" w:space="0" w:color="auto"/>
                    <w:left w:val="none" w:sz="0" w:space="0" w:color="auto"/>
                    <w:bottom w:val="none" w:sz="0" w:space="0" w:color="auto"/>
                    <w:right w:val="none" w:sz="0" w:space="0" w:color="auto"/>
                  </w:divBdr>
                </w:div>
              </w:divsChild>
            </w:div>
            <w:div w:id="832838864">
              <w:marLeft w:val="0"/>
              <w:marRight w:val="0"/>
              <w:marTop w:val="0"/>
              <w:marBottom w:val="0"/>
              <w:divBdr>
                <w:top w:val="none" w:sz="0" w:space="0" w:color="auto"/>
                <w:left w:val="none" w:sz="0" w:space="0" w:color="auto"/>
                <w:bottom w:val="none" w:sz="0" w:space="0" w:color="auto"/>
                <w:right w:val="none" w:sz="0" w:space="0" w:color="auto"/>
              </w:divBdr>
              <w:divsChild>
                <w:div w:id="1815487155">
                  <w:marLeft w:val="0"/>
                  <w:marRight w:val="0"/>
                  <w:marTop w:val="0"/>
                  <w:marBottom w:val="0"/>
                  <w:divBdr>
                    <w:top w:val="none" w:sz="0" w:space="0" w:color="auto"/>
                    <w:left w:val="none" w:sz="0" w:space="0" w:color="auto"/>
                    <w:bottom w:val="none" w:sz="0" w:space="0" w:color="auto"/>
                    <w:right w:val="none" w:sz="0" w:space="0" w:color="auto"/>
                  </w:divBdr>
                </w:div>
              </w:divsChild>
            </w:div>
            <w:div w:id="834347454">
              <w:marLeft w:val="0"/>
              <w:marRight w:val="0"/>
              <w:marTop w:val="0"/>
              <w:marBottom w:val="0"/>
              <w:divBdr>
                <w:top w:val="none" w:sz="0" w:space="0" w:color="auto"/>
                <w:left w:val="none" w:sz="0" w:space="0" w:color="auto"/>
                <w:bottom w:val="none" w:sz="0" w:space="0" w:color="auto"/>
                <w:right w:val="none" w:sz="0" w:space="0" w:color="auto"/>
              </w:divBdr>
              <w:divsChild>
                <w:div w:id="1464277502">
                  <w:marLeft w:val="0"/>
                  <w:marRight w:val="0"/>
                  <w:marTop w:val="0"/>
                  <w:marBottom w:val="0"/>
                  <w:divBdr>
                    <w:top w:val="none" w:sz="0" w:space="0" w:color="auto"/>
                    <w:left w:val="none" w:sz="0" w:space="0" w:color="auto"/>
                    <w:bottom w:val="none" w:sz="0" w:space="0" w:color="auto"/>
                    <w:right w:val="none" w:sz="0" w:space="0" w:color="auto"/>
                  </w:divBdr>
                </w:div>
              </w:divsChild>
            </w:div>
            <w:div w:id="834567380">
              <w:marLeft w:val="0"/>
              <w:marRight w:val="0"/>
              <w:marTop w:val="0"/>
              <w:marBottom w:val="0"/>
              <w:divBdr>
                <w:top w:val="none" w:sz="0" w:space="0" w:color="auto"/>
                <w:left w:val="none" w:sz="0" w:space="0" w:color="auto"/>
                <w:bottom w:val="none" w:sz="0" w:space="0" w:color="auto"/>
                <w:right w:val="none" w:sz="0" w:space="0" w:color="auto"/>
              </w:divBdr>
              <w:divsChild>
                <w:div w:id="613555403">
                  <w:marLeft w:val="0"/>
                  <w:marRight w:val="0"/>
                  <w:marTop w:val="0"/>
                  <w:marBottom w:val="0"/>
                  <w:divBdr>
                    <w:top w:val="none" w:sz="0" w:space="0" w:color="auto"/>
                    <w:left w:val="none" w:sz="0" w:space="0" w:color="auto"/>
                    <w:bottom w:val="none" w:sz="0" w:space="0" w:color="auto"/>
                    <w:right w:val="none" w:sz="0" w:space="0" w:color="auto"/>
                  </w:divBdr>
                </w:div>
              </w:divsChild>
            </w:div>
            <w:div w:id="834803461">
              <w:marLeft w:val="0"/>
              <w:marRight w:val="0"/>
              <w:marTop w:val="300"/>
              <w:marBottom w:val="300"/>
              <w:divBdr>
                <w:top w:val="none" w:sz="0" w:space="0" w:color="auto"/>
                <w:left w:val="none" w:sz="0" w:space="0" w:color="auto"/>
                <w:bottom w:val="none" w:sz="0" w:space="0" w:color="auto"/>
                <w:right w:val="none" w:sz="0" w:space="0" w:color="auto"/>
              </w:divBdr>
            </w:div>
            <w:div w:id="835388044">
              <w:marLeft w:val="0"/>
              <w:marRight w:val="0"/>
              <w:marTop w:val="0"/>
              <w:marBottom w:val="0"/>
              <w:divBdr>
                <w:top w:val="none" w:sz="0" w:space="0" w:color="auto"/>
                <w:left w:val="none" w:sz="0" w:space="0" w:color="auto"/>
                <w:bottom w:val="none" w:sz="0" w:space="0" w:color="auto"/>
                <w:right w:val="none" w:sz="0" w:space="0" w:color="auto"/>
              </w:divBdr>
              <w:divsChild>
                <w:div w:id="315455688">
                  <w:marLeft w:val="0"/>
                  <w:marRight w:val="0"/>
                  <w:marTop w:val="0"/>
                  <w:marBottom w:val="0"/>
                  <w:divBdr>
                    <w:top w:val="none" w:sz="0" w:space="0" w:color="auto"/>
                    <w:left w:val="none" w:sz="0" w:space="0" w:color="auto"/>
                    <w:bottom w:val="none" w:sz="0" w:space="0" w:color="auto"/>
                    <w:right w:val="none" w:sz="0" w:space="0" w:color="auto"/>
                  </w:divBdr>
                </w:div>
              </w:divsChild>
            </w:div>
            <w:div w:id="836462376">
              <w:marLeft w:val="0"/>
              <w:marRight w:val="0"/>
              <w:marTop w:val="0"/>
              <w:marBottom w:val="0"/>
              <w:divBdr>
                <w:top w:val="none" w:sz="0" w:space="0" w:color="auto"/>
                <w:left w:val="none" w:sz="0" w:space="0" w:color="auto"/>
                <w:bottom w:val="none" w:sz="0" w:space="0" w:color="auto"/>
                <w:right w:val="none" w:sz="0" w:space="0" w:color="auto"/>
              </w:divBdr>
              <w:divsChild>
                <w:div w:id="1583291268">
                  <w:marLeft w:val="0"/>
                  <w:marRight w:val="0"/>
                  <w:marTop w:val="0"/>
                  <w:marBottom w:val="0"/>
                  <w:divBdr>
                    <w:top w:val="none" w:sz="0" w:space="0" w:color="auto"/>
                    <w:left w:val="none" w:sz="0" w:space="0" w:color="auto"/>
                    <w:bottom w:val="none" w:sz="0" w:space="0" w:color="auto"/>
                    <w:right w:val="none" w:sz="0" w:space="0" w:color="auto"/>
                  </w:divBdr>
                </w:div>
              </w:divsChild>
            </w:div>
            <w:div w:id="838039600">
              <w:marLeft w:val="0"/>
              <w:marRight w:val="0"/>
              <w:marTop w:val="0"/>
              <w:marBottom w:val="0"/>
              <w:divBdr>
                <w:top w:val="none" w:sz="0" w:space="0" w:color="auto"/>
                <w:left w:val="none" w:sz="0" w:space="0" w:color="auto"/>
                <w:bottom w:val="none" w:sz="0" w:space="0" w:color="auto"/>
                <w:right w:val="none" w:sz="0" w:space="0" w:color="auto"/>
              </w:divBdr>
              <w:divsChild>
                <w:div w:id="1717777763">
                  <w:marLeft w:val="0"/>
                  <w:marRight w:val="0"/>
                  <w:marTop w:val="0"/>
                  <w:marBottom w:val="0"/>
                  <w:divBdr>
                    <w:top w:val="none" w:sz="0" w:space="0" w:color="auto"/>
                    <w:left w:val="none" w:sz="0" w:space="0" w:color="auto"/>
                    <w:bottom w:val="none" w:sz="0" w:space="0" w:color="auto"/>
                    <w:right w:val="none" w:sz="0" w:space="0" w:color="auto"/>
                  </w:divBdr>
                </w:div>
              </w:divsChild>
            </w:div>
            <w:div w:id="839078594">
              <w:marLeft w:val="0"/>
              <w:marRight w:val="0"/>
              <w:marTop w:val="0"/>
              <w:marBottom w:val="0"/>
              <w:divBdr>
                <w:top w:val="none" w:sz="0" w:space="0" w:color="auto"/>
                <w:left w:val="none" w:sz="0" w:space="0" w:color="auto"/>
                <w:bottom w:val="none" w:sz="0" w:space="0" w:color="auto"/>
                <w:right w:val="none" w:sz="0" w:space="0" w:color="auto"/>
              </w:divBdr>
              <w:divsChild>
                <w:div w:id="812719975">
                  <w:marLeft w:val="0"/>
                  <w:marRight w:val="0"/>
                  <w:marTop w:val="0"/>
                  <w:marBottom w:val="0"/>
                  <w:divBdr>
                    <w:top w:val="none" w:sz="0" w:space="0" w:color="auto"/>
                    <w:left w:val="none" w:sz="0" w:space="0" w:color="auto"/>
                    <w:bottom w:val="none" w:sz="0" w:space="0" w:color="auto"/>
                    <w:right w:val="none" w:sz="0" w:space="0" w:color="auto"/>
                  </w:divBdr>
                </w:div>
              </w:divsChild>
            </w:div>
            <w:div w:id="840655518">
              <w:marLeft w:val="0"/>
              <w:marRight w:val="0"/>
              <w:marTop w:val="300"/>
              <w:marBottom w:val="300"/>
              <w:divBdr>
                <w:top w:val="none" w:sz="0" w:space="0" w:color="auto"/>
                <w:left w:val="none" w:sz="0" w:space="0" w:color="auto"/>
                <w:bottom w:val="none" w:sz="0" w:space="0" w:color="auto"/>
                <w:right w:val="none" w:sz="0" w:space="0" w:color="auto"/>
              </w:divBdr>
            </w:div>
            <w:div w:id="841508247">
              <w:marLeft w:val="0"/>
              <w:marRight w:val="0"/>
              <w:marTop w:val="0"/>
              <w:marBottom w:val="0"/>
              <w:divBdr>
                <w:top w:val="none" w:sz="0" w:space="0" w:color="auto"/>
                <w:left w:val="none" w:sz="0" w:space="0" w:color="auto"/>
                <w:bottom w:val="none" w:sz="0" w:space="0" w:color="auto"/>
                <w:right w:val="none" w:sz="0" w:space="0" w:color="auto"/>
              </w:divBdr>
              <w:divsChild>
                <w:div w:id="1017465095">
                  <w:marLeft w:val="0"/>
                  <w:marRight w:val="0"/>
                  <w:marTop w:val="0"/>
                  <w:marBottom w:val="0"/>
                  <w:divBdr>
                    <w:top w:val="none" w:sz="0" w:space="0" w:color="auto"/>
                    <w:left w:val="none" w:sz="0" w:space="0" w:color="auto"/>
                    <w:bottom w:val="none" w:sz="0" w:space="0" w:color="auto"/>
                    <w:right w:val="none" w:sz="0" w:space="0" w:color="auto"/>
                  </w:divBdr>
                </w:div>
              </w:divsChild>
            </w:div>
            <w:div w:id="842234873">
              <w:marLeft w:val="0"/>
              <w:marRight w:val="0"/>
              <w:marTop w:val="300"/>
              <w:marBottom w:val="300"/>
              <w:divBdr>
                <w:top w:val="none" w:sz="0" w:space="0" w:color="auto"/>
                <w:left w:val="none" w:sz="0" w:space="0" w:color="auto"/>
                <w:bottom w:val="none" w:sz="0" w:space="0" w:color="auto"/>
                <w:right w:val="none" w:sz="0" w:space="0" w:color="auto"/>
              </w:divBdr>
            </w:div>
            <w:div w:id="843014418">
              <w:marLeft w:val="0"/>
              <w:marRight w:val="0"/>
              <w:marTop w:val="0"/>
              <w:marBottom w:val="0"/>
              <w:divBdr>
                <w:top w:val="none" w:sz="0" w:space="0" w:color="auto"/>
                <w:left w:val="none" w:sz="0" w:space="0" w:color="auto"/>
                <w:bottom w:val="none" w:sz="0" w:space="0" w:color="auto"/>
                <w:right w:val="none" w:sz="0" w:space="0" w:color="auto"/>
              </w:divBdr>
              <w:divsChild>
                <w:div w:id="1024556923">
                  <w:marLeft w:val="0"/>
                  <w:marRight w:val="0"/>
                  <w:marTop w:val="0"/>
                  <w:marBottom w:val="0"/>
                  <w:divBdr>
                    <w:top w:val="none" w:sz="0" w:space="0" w:color="auto"/>
                    <w:left w:val="none" w:sz="0" w:space="0" w:color="auto"/>
                    <w:bottom w:val="none" w:sz="0" w:space="0" w:color="auto"/>
                    <w:right w:val="none" w:sz="0" w:space="0" w:color="auto"/>
                  </w:divBdr>
                </w:div>
              </w:divsChild>
            </w:div>
            <w:div w:id="843469239">
              <w:marLeft w:val="0"/>
              <w:marRight w:val="0"/>
              <w:marTop w:val="0"/>
              <w:marBottom w:val="0"/>
              <w:divBdr>
                <w:top w:val="none" w:sz="0" w:space="0" w:color="auto"/>
                <w:left w:val="none" w:sz="0" w:space="0" w:color="auto"/>
                <w:bottom w:val="none" w:sz="0" w:space="0" w:color="auto"/>
                <w:right w:val="none" w:sz="0" w:space="0" w:color="auto"/>
              </w:divBdr>
              <w:divsChild>
                <w:div w:id="2036416251">
                  <w:marLeft w:val="0"/>
                  <w:marRight w:val="0"/>
                  <w:marTop w:val="0"/>
                  <w:marBottom w:val="0"/>
                  <w:divBdr>
                    <w:top w:val="none" w:sz="0" w:space="0" w:color="auto"/>
                    <w:left w:val="none" w:sz="0" w:space="0" w:color="auto"/>
                    <w:bottom w:val="none" w:sz="0" w:space="0" w:color="auto"/>
                    <w:right w:val="none" w:sz="0" w:space="0" w:color="auto"/>
                  </w:divBdr>
                </w:div>
              </w:divsChild>
            </w:div>
            <w:div w:id="844053110">
              <w:marLeft w:val="0"/>
              <w:marRight w:val="0"/>
              <w:marTop w:val="0"/>
              <w:marBottom w:val="0"/>
              <w:divBdr>
                <w:top w:val="none" w:sz="0" w:space="0" w:color="auto"/>
                <w:left w:val="none" w:sz="0" w:space="0" w:color="auto"/>
                <w:bottom w:val="none" w:sz="0" w:space="0" w:color="auto"/>
                <w:right w:val="none" w:sz="0" w:space="0" w:color="auto"/>
              </w:divBdr>
              <w:divsChild>
                <w:div w:id="1746144655">
                  <w:marLeft w:val="0"/>
                  <w:marRight w:val="0"/>
                  <w:marTop w:val="0"/>
                  <w:marBottom w:val="0"/>
                  <w:divBdr>
                    <w:top w:val="none" w:sz="0" w:space="0" w:color="auto"/>
                    <w:left w:val="none" w:sz="0" w:space="0" w:color="auto"/>
                    <w:bottom w:val="none" w:sz="0" w:space="0" w:color="auto"/>
                    <w:right w:val="none" w:sz="0" w:space="0" w:color="auto"/>
                  </w:divBdr>
                </w:div>
              </w:divsChild>
            </w:div>
            <w:div w:id="850140969">
              <w:marLeft w:val="0"/>
              <w:marRight w:val="0"/>
              <w:marTop w:val="0"/>
              <w:marBottom w:val="0"/>
              <w:divBdr>
                <w:top w:val="none" w:sz="0" w:space="0" w:color="auto"/>
                <w:left w:val="none" w:sz="0" w:space="0" w:color="auto"/>
                <w:bottom w:val="none" w:sz="0" w:space="0" w:color="auto"/>
                <w:right w:val="none" w:sz="0" w:space="0" w:color="auto"/>
              </w:divBdr>
              <w:divsChild>
                <w:div w:id="539099364">
                  <w:marLeft w:val="0"/>
                  <w:marRight w:val="0"/>
                  <w:marTop w:val="0"/>
                  <w:marBottom w:val="0"/>
                  <w:divBdr>
                    <w:top w:val="none" w:sz="0" w:space="0" w:color="auto"/>
                    <w:left w:val="none" w:sz="0" w:space="0" w:color="auto"/>
                    <w:bottom w:val="none" w:sz="0" w:space="0" w:color="auto"/>
                    <w:right w:val="none" w:sz="0" w:space="0" w:color="auto"/>
                  </w:divBdr>
                </w:div>
              </w:divsChild>
            </w:div>
            <w:div w:id="850686780">
              <w:marLeft w:val="0"/>
              <w:marRight w:val="0"/>
              <w:marTop w:val="0"/>
              <w:marBottom w:val="0"/>
              <w:divBdr>
                <w:top w:val="none" w:sz="0" w:space="0" w:color="auto"/>
                <w:left w:val="none" w:sz="0" w:space="0" w:color="auto"/>
                <w:bottom w:val="none" w:sz="0" w:space="0" w:color="auto"/>
                <w:right w:val="none" w:sz="0" w:space="0" w:color="auto"/>
              </w:divBdr>
              <w:divsChild>
                <w:div w:id="2048992153">
                  <w:marLeft w:val="0"/>
                  <w:marRight w:val="0"/>
                  <w:marTop w:val="0"/>
                  <w:marBottom w:val="0"/>
                  <w:divBdr>
                    <w:top w:val="none" w:sz="0" w:space="0" w:color="auto"/>
                    <w:left w:val="none" w:sz="0" w:space="0" w:color="auto"/>
                    <w:bottom w:val="none" w:sz="0" w:space="0" w:color="auto"/>
                    <w:right w:val="none" w:sz="0" w:space="0" w:color="auto"/>
                  </w:divBdr>
                </w:div>
              </w:divsChild>
            </w:div>
            <w:div w:id="850996214">
              <w:marLeft w:val="0"/>
              <w:marRight w:val="0"/>
              <w:marTop w:val="0"/>
              <w:marBottom w:val="0"/>
              <w:divBdr>
                <w:top w:val="none" w:sz="0" w:space="0" w:color="auto"/>
                <w:left w:val="none" w:sz="0" w:space="0" w:color="auto"/>
                <w:bottom w:val="none" w:sz="0" w:space="0" w:color="auto"/>
                <w:right w:val="none" w:sz="0" w:space="0" w:color="auto"/>
              </w:divBdr>
              <w:divsChild>
                <w:div w:id="339309961">
                  <w:marLeft w:val="0"/>
                  <w:marRight w:val="0"/>
                  <w:marTop w:val="0"/>
                  <w:marBottom w:val="0"/>
                  <w:divBdr>
                    <w:top w:val="none" w:sz="0" w:space="0" w:color="auto"/>
                    <w:left w:val="none" w:sz="0" w:space="0" w:color="auto"/>
                    <w:bottom w:val="none" w:sz="0" w:space="0" w:color="auto"/>
                    <w:right w:val="none" w:sz="0" w:space="0" w:color="auto"/>
                  </w:divBdr>
                </w:div>
              </w:divsChild>
            </w:div>
            <w:div w:id="853107345">
              <w:marLeft w:val="0"/>
              <w:marRight w:val="0"/>
              <w:marTop w:val="0"/>
              <w:marBottom w:val="0"/>
              <w:divBdr>
                <w:top w:val="none" w:sz="0" w:space="0" w:color="auto"/>
                <w:left w:val="none" w:sz="0" w:space="0" w:color="auto"/>
                <w:bottom w:val="none" w:sz="0" w:space="0" w:color="auto"/>
                <w:right w:val="none" w:sz="0" w:space="0" w:color="auto"/>
              </w:divBdr>
              <w:divsChild>
                <w:div w:id="421220262">
                  <w:marLeft w:val="0"/>
                  <w:marRight w:val="0"/>
                  <w:marTop w:val="0"/>
                  <w:marBottom w:val="0"/>
                  <w:divBdr>
                    <w:top w:val="none" w:sz="0" w:space="0" w:color="auto"/>
                    <w:left w:val="none" w:sz="0" w:space="0" w:color="auto"/>
                    <w:bottom w:val="none" w:sz="0" w:space="0" w:color="auto"/>
                    <w:right w:val="none" w:sz="0" w:space="0" w:color="auto"/>
                  </w:divBdr>
                </w:div>
              </w:divsChild>
            </w:div>
            <w:div w:id="853613396">
              <w:marLeft w:val="0"/>
              <w:marRight w:val="0"/>
              <w:marTop w:val="0"/>
              <w:marBottom w:val="0"/>
              <w:divBdr>
                <w:top w:val="none" w:sz="0" w:space="0" w:color="auto"/>
                <w:left w:val="none" w:sz="0" w:space="0" w:color="auto"/>
                <w:bottom w:val="none" w:sz="0" w:space="0" w:color="auto"/>
                <w:right w:val="none" w:sz="0" w:space="0" w:color="auto"/>
              </w:divBdr>
              <w:divsChild>
                <w:div w:id="419956237">
                  <w:marLeft w:val="0"/>
                  <w:marRight w:val="0"/>
                  <w:marTop w:val="0"/>
                  <w:marBottom w:val="0"/>
                  <w:divBdr>
                    <w:top w:val="none" w:sz="0" w:space="0" w:color="auto"/>
                    <w:left w:val="none" w:sz="0" w:space="0" w:color="auto"/>
                    <w:bottom w:val="none" w:sz="0" w:space="0" w:color="auto"/>
                    <w:right w:val="none" w:sz="0" w:space="0" w:color="auto"/>
                  </w:divBdr>
                </w:div>
              </w:divsChild>
            </w:div>
            <w:div w:id="853769715">
              <w:marLeft w:val="0"/>
              <w:marRight w:val="0"/>
              <w:marTop w:val="0"/>
              <w:marBottom w:val="0"/>
              <w:divBdr>
                <w:top w:val="none" w:sz="0" w:space="0" w:color="auto"/>
                <w:left w:val="none" w:sz="0" w:space="0" w:color="auto"/>
                <w:bottom w:val="none" w:sz="0" w:space="0" w:color="auto"/>
                <w:right w:val="none" w:sz="0" w:space="0" w:color="auto"/>
              </w:divBdr>
              <w:divsChild>
                <w:div w:id="1594239390">
                  <w:marLeft w:val="0"/>
                  <w:marRight w:val="0"/>
                  <w:marTop w:val="0"/>
                  <w:marBottom w:val="0"/>
                  <w:divBdr>
                    <w:top w:val="none" w:sz="0" w:space="0" w:color="auto"/>
                    <w:left w:val="none" w:sz="0" w:space="0" w:color="auto"/>
                    <w:bottom w:val="none" w:sz="0" w:space="0" w:color="auto"/>
                    <w:right w:val="none" w:sz="0" w:space="0" w:color="auto"/>
                  </w:divBdr>
                </w:div>
              </w:divsChild>
            </w:div>
            <w:div w:id="855655080">
              <w:marLeft w:val="0"/>
              <w:marRight w:val="0"/>
              <w:marTop w:val="0"/>
              <w:marBottom w:val="0"/>
              <w:divBdr>
                <w:top w:val="none" w:sz="0" w:space="0" w:color="auto"/>
                <w:left w:val="none" w:sz="0" w:space="0" w:color="auto"/>
                <w:bottom w:val="none" w:sz="0" w:space="0" w:color="auto"/>
                <w:right w:val="none" w:sz="0" w:space="0" w:color="auto"/>
              </w:divBdr>
              <w:divsChild>
                <w:div w:id="2129280609">
                  <w:marLeft w:val="0"/>
                  <w:marRight w:val="0"/>
                  <w:marTop w:val="0"/>
                  <w:marBottom w:val="0"/>
                  <w:divBdr>
                    <w:top w:val="none" w:sz="0" w:space="0" w:color="auto"/>
                    <w:left w:val="none" w:sz="0" w:space="0" w:color="auto"/>
                    <w:bottom w:val="none" w:sz="0" w:space="0" w:color="auto"/>
                    <w:right w:val="none" w:sz="0" w:space="0" w:color="auto"/>
                  </w:divBdr>
                </w:div>
              </w:divsChild>
            </w:div>
            <w:div w:id="857046334">
              <w:marLeft w:val="0"/>
              <w:marRight w:val="0"/>
              <w:marTop w:val="0"/>
              <w:marBottom w:val="0"/>
              <w:divBdr>
                <w:top w:val="none" w:sz="0" w:space="0" w:color="auto"/>
                <w:left w:val="none" w:sz="0" w:space="0" w:color="auto"/>
                <w:bottom w:val="none" w:sz="0" w:space="0" w:color="auto"/>
                <w:right w:val="none" w:sz="0" w:space="0" w:color="auto"/>
              </w:divBdr>
              <w:divsChild>
                <w:div w:id="1226261310">
                  <w:marLeft w:val="0"/>
                  <w:marRight w:val="0"/>
                  <w:marTop w:val="0"/>
                  <w:marBottom w:val="0"/>
                  <w:divBdr>
                    <w:top w:val="none" w:sz="0" w:space="0" w:color="auto"/>
                    <w:left w:val="none" w:sz="0" w:space="0" w:color="auto"/>
                    <w:bottom w:val="none" w:sz="0" w:space="0" w:color="auto"/>
                    <w:right w:val="none" w:sz="0" w:space="0" w:color="auto"/>
                  </w:divBdr>
                </w:div>
              </w:divsChild>
            </w:div>
            <w:div w:id="860777447">
              <w:marLeft w:val="0"/>
              <w:marRight w:val="0"/>
              <w:marTop w:val="0"/>
              <w:marBottom w:val="0"/>
              <w:divBdr>
                <w:top w:val="none" w:sz="0" w:space="0" w:color="auto"/>
                <w:left w:val="none" w:sz="0" w:space="0" w:color="auto"/>
                <w:bottom w:val="none" w:sz="0" w:space="0" w:color="auto"/>
                <w:right w:val="none" w:sz="0" w:space="0" w:color="auto"/>
              </w:divBdr>
              <w:divsChild>
                <w:div w:id="344871389">
                  <w:marLeft w:val="0"/>
                  <w:marRight w:val="0"/>
                  <w:marTop w:val="0"/>
                  <w:marBottom w:val="0"/>
                  <w:divBdr>
                    <w:top w:val="none" w:sz="0" w:space="0" w:color="auto"/>
                    <w:left w:val="none" w:sz="0" w:space="0" w:color="auto"/>
                    <w:bottom w:val="none" w:sz="0" w:space="0" w:color="auto"/>
                    <w:right w:val="none" w:sz="0" w:space="0" w:color="auto"/>
                  </w:divBdr>
                </w:div>
              </w:divsChild>
            </w:div>
            <w:div w:id="861167993">
              <w:marLeft w:val="0"/>
              <w:marRight w:val="0"/>
              <w:marTop w:val="0"/>
              <w:marBottom w:val="0"/>
              <w:divBdr>
                <w:top w:val="none" w:sz="0" w:space="0" w:color="auto"/>
                <w:left w:val="none" w:sz="0" w:space="0" w:color="auto"/>
                <w:bottom w:val="none" w:sz="0" w:space="0" w:color="auto"/>
                <w:right w:val="none" w:sz="0" w:space="0" w:color="auto"/>
              </w:divBdr>
              <w:divsChild>
                <w:div w:id="422073231">
                  <w:marLeft w:val="0"/>
                  <w:marRight w:val="0"/>
                  <w:marTop w:val="0"/>
                  <w:marBottom w:val="0"/>
                  <w:divBdr>
                    <w:top w:val="none" w:sz="0" w:space="0" w:color="auto"/>
                    <w:left w:val="none" w:sz="0" w:space="0" w:color="auto"/>
                    <w:bottom w:val="none" w:sz="0" w:space="0" w:color="auto"/>
                    <w:right w:val="none" w:sz="0" w:space="0" w:color="auto"/>
                  </w:divBdr>
                </w:div>
              </w:divsChild>
            </w:div>
            <w:div w:id="861282150">
              <w:marLeft w:val="0"/>
              <w:marRight w:val="0"/>
              <w:marTop w:val="300"/>
              <w:marBottom w:val="300"/>
              <w:divBdr>
                <w:top w:val="none" w:sz="0" w:space="0" w:color="auto"/>
                <w:left w:val="none" w:sz="0" w:space="0" w:color="auto"/>
                <w:bottom w:val="none" w:sz="0" w:space="0" w:color="auto"/>
                <w:right w:val="none" w:sz="0" w:space="0" w:color="auto"/>
              </w:divBdr>
            </w:div>
            <w:div w:id="861477925">
              <w:marLeft w:val="0"/>
              <w:marRight w:val="0"/>
              <w:marTop w:val="0"/>
              <w:marBottom w:val="0"/>
              <w:divBdr>
                <w:top w:val="none" w:sz="0" w:space="0" w:color="auto"/>
                <w:left w:val="none" w:sz="0" w:space="0" w:color="auto"/>
                <w:bottom w:val="none" w:sz="0" w:space="0" w:color="auto"/>
                <w:right w:val="none" w:sz="0" w:space="0" w:color="auto"/>
              </w:divBdr>
              <w:divsChild>
                <w:div w:id="660622292">
                  <w:marLeft w:val="0"/>
                  <w:marRight w:val="0"/>
                  <w:marTop w:val="0"/>
                  <w:marBottom w:val="0"/>
                  <w:divBdr>
                    <w:top w:val="none" w:sz="0" w:space="0" w:color="auto"/>
                    <w:left w:val="none" w:sz="0" w:space="0" w:color="auto"/>
                    <w:bottom w:val="none" w:sz="0" w:space="0" w:color="auto"/>
                    <w:right w:val="none" w:sz="0" w:space="0" w:color="auto"/>
                  </w:divBdr>
                </w:div>
              </w:divsChild>
            </w:div>
            <w:div w:id="861743648">
              <w:marLeft w:val="0"/>
              <w:marRight w:val="0"/>
              <w:marTop w:val="0"/>
              <w:marBottom w:val="0"/>
              <w:divBdr>
                <w:top w:val="none" w:sz="0" w:space="0" w:color="auto"/>
                <w:left w:val="none" w:sz="0" w:space="0" w:color="auto"/>
                <w:bottom w:val="none" w:sz="0" w:space="0" w:color="auto"/>
                <w:right w:val="none" w:sz="0" w:space="0" w:color="auto"/>
              </w:divBdr>
              <w:divsChild>
                <w:div w:id="1423987496">
                  <w:marLeft w:val="0"/>
                  <w:marRight w:val="0"/>
                  <w:marTop w:val="0"/>
                  <w:marBottom w:val="0"/>
                  <w:divBdr>
                    <w:top w:val="none" w:sz="0" w:space="0" w:color="auto"/>
                    <w:left w:val="none" w:sz="0" w:space="0" w:color="auto"/>
                    <w:bottom w:val="none" w:sz="0" w:space="0" w:color="auto"/>
                    <w:right w:val="none" w:sz="0" w:space="0" w:color="auto"/>
                  </w:divBdr>
                </w:div>
              </w:divsChild>
            </w:div>
            <w:div w:id="863788997">
              <w:marLeft w:val="0"/>
              <w:marRight w:val="0"/>
              <w:marTop w:val="0"/>
              <w:marBottom w:val="0"/>
              <w:divBdr>
                <w:top w:val="none" w:sz="0" w:space="0" w:color="auto"/>
                <w:left w:val="none" w:sz="0" w:space="0" w:color="auto"/>
                <w:bottom w:val="none" w:sz="0" w:space="0" w:color="auto"/>
                <w:right w:val="none" w:sz="0" w:space="0" w:color="auto"/>
              </w:divBdr>
              <w:divsChild>
                <w:div w:id="804396692">
                  <w:marLeft w:val="0"/>
                  <w:marRight w:val="0"/>
                  <w:marTop w:val="0"/>
                  <w:marBottom w:val="0"/>
                  <w:divBdr>
                    <w:top w:val="none" w:sz="0" w:space="0" w:color="auto"/>
                    <w:left w:val="none" w:sz="0" w:space="0" w:color="auto"/>
                    <w:bottom w:val="none" w:sz="0" w:space="0" w:color="auto"/>
                    <w:right w:val="none" w:sz="0" w:space="0" w:color="auto"/>
                  </w:divBdr>
                </w:div>
              </w:divsChild>
            </w:div>
            <w:div w:id="865018664">
              <w:marLeft w:val="0"/>
              <w:marRight w:val="0"/>
              <w:marTop w:val="0"/>
              <w:marBottom w:val="0"/>
              <w:divBdr>
                <w:top w:val="none" w:sz="0" w:space="0" w:color="auto"/>
                <w:left w:val="none" w:sz="0" w:space="0" w:color="auto"/>
                <w:bottom w:val="none" w:sz="0" w:space="0" w:color="auto"/>
                <w:right w:val="none" w:sz="0" w:space="0" w:color="auto"/>
              </w:divBdr>
              <w:divsChild>
                <w:div w:id="151996015">
                  <w:marLeft w:val="0"/>
                  <w:marRight w:val="0"/>
                  <w:marTop w:val="0"/>
                  <w:marBottom w:val="0"/>
                  <w:divBdr>
                    <w:top w:val="none" w:sz="0" w:space="0" w:color="auto"/>
                    <w:left w:val="none" w:sz="0" w:space="0" w:color="auto"/>
                    <w:bottom w:val="none" w:sz="0" w:space="0" w:color="auto"/>
                    <w:right w:val="none" w:sz="0" w:space="0" w:color="auto"/>
                  </w:divBdr>
                </w:div>
              </w:divsChild>
            </w:div>
            <w:div w:id="865211023">
              <w:marLeft w:val="0"/>
              <w:marRight w:val="0"/>
              <w:marTop w:val="0"/>
              <w:marBottom w:val="0"/>
              <w:divBdr>
                <w:top w:val="none" w:sz="0" w:space="0" w:color="auto"/>
                <w:left w:val="none" w:sz="0" w:space="0" w:color="auto"/>
                <w:bottom w:val="none" w:sz="0" w:space="0" w:color="auto"/>
                <w:right w:val="none" w:sz="0" w:space="0" w:color="auto"/>
              </w:divBdr>
              <w:divsChild>
                <w:div w:id="560604084">
                  <w:marLeft w:val="0"/>
                  <w:marRight w:val="0"/>
                  <w:marTop w:val="0"/>
                  <w:marBottom w:val="0"/>
                  <w:divBdr>
                    <w:top w:val="none" w:sz="0" w:space="0" w:color="auto"/>
                    <w:left w:val="none" w:sz="0" w:space="0" w:color="auto"/>
                    <w:bottom w:val="none" w:sz="0" w:space="0" w:color="auto"/>
                    <w:right w:val="none" w:sz="0" w:space="0" w:color="auto"/>
                  </w:divBdr>
                </w:div>
              </w:divsChild>
            </w:div>
            <w:div w:id="866676812">
              <w:marLeft w:val="0"/>
              <w:marRight w:val="0"/>
              <w:marTop w:val="0"/>
              <w:marBottom w:val="0"/>
              <w:divBdr>
                <w:top w:val="none" w:sz="0" w:space="0" w:color="auto"/>
                <w:left w:val="none" w:sz="0" w:space="0" w:color="auto"/>
                <w:bottom w:val="none" w:sz="0" w:space="0" w:color="auto"/>
                <w:right w:val="none" w:sz="0" w:space="0" w:color="auto"/>
              </w:divBdr>
              <w:divsChild>
                <w:div w:id="1798403018">
                  <w:marLeft w:val="0"/>
                  <w:marRight w:val="0"/>
                  <w:marTop w:val="0"/>
                  <w:marBottom w:val="0"/>
                  <w:divBdr>
                    <w:top w:val="none" w:sz="0" w:space="0" w:color="auto"/>
                    <w:left w:val="none" w:sz="0" w:space="0" w:color="auto"/>
                    <w:bottom w:val="none" w:sz="0" w:space="0" w:color="auto"/>
                    <w:right w:val="none" w:sz="0" w:space="0" w:color="auto"/>
                  </w:divBdr>
                </w:div>
              </w:divsChild>
            </w:div>
            <w:div w:id="867186055">
              <w:marLeft w:val="0"/>
              <w:marRight w:val="0"/>
              <w:marTop w:val="0"/>
              <w:marBottom w:val="0"/>
              <w:divBdr>
                <w:top w:val="none" w:sz="0" w:space="0" w:color="auto"/>
                <w:left w:val="none" w:sz="0" w:space="0" w:color="auto"/>
                <w:bottom w:val="none" w:sz="0" w:space="0" w:color="auto"/>
                <w:right w:val="none" w:sz="0" w:space="0" w:color="auto"/>
              </w:divBdr>
              <w:divsChild>
                <w:div w:id="399597229">
                  <w:marLeft w:val="0"/>
                  <w:marRight w:val="0"/>
                  <w:marTop w:val="0"/>
                  <w:marBottom w:val="0"/>
                  <w:divBdr>
                    <w:top w:val="none" w:sz="0" w:space="0" w:color="auto"/>
                    <w:left w:val="none" w:sz="0" w:space="0" w:color="auto"/>
                    <w:bottom w:val="none" w:sz="0" w:space="0" w:color="auto"/>
                    <w:right w:val="none" w:sz="0" w:space="0" w:color="auto"/>
                  </w:divBdr>
                </w:div>
              </w:divsChild>
            </w:div>
            <w:div w:id="867913090">
              <w:marLeft w:val="0"/>
              <w:marRight w:val="0"/>
              <w:marTop w:val="0"/>
              <w:marBottom w:val="0"/>
              <w:divBdr>
                <w:top w:val="none" w:sz="0" w:space="0" w:color="auto"/>
                <w:left w:val="none" w:sz="0" w:space="0" w:color="auto"/>
                <w:bottom w:val="none" w:sz="0" w:space="0" w:color="auto"/>
                <w:right w:val="none" w:sz="0" w:space="0" w:color="auto"/>
              </w:divBdr>
              <w:divsChild>
                <w:div w:id="944536349">
                  <w:marLeft w:val="0"/>
                  <w:marRight w:val="0"/>
                  <w:marTop w:val="0"/>
                  <w:marBottom w:val="0"/>
                  <w:divBdr>
                    <w:top w:val="none" w:sz="0" w:space="0" w:color="auto"/>
                    <w:left w:val="none" w:sz="0" w:space="0" w:color="auto"/>
                    <w:bottom w:val="none" w:sz="0" w:space="0" w:color="auto"/>
                    <w:right w:val="none" w:sz="0" w:space="0" w:color="auto"/>
                  </w:divBdr>
                </w:div>
              </w:divsChild>
            </w:div>
            <w:div w:id="868297585">
              <w:marLeft w:val="0"/>
              <w:marRight w:val="0"/>
              <w:marTop w:val="0"/>
              <w:marBottom w:val="0"/>
              <w:divBdr>
                <w:top w:val="none" w:sz="0" w:space="0" w:color="auto"/>
                <w:left w:val="none" w:sz="0" w:space="0" w:color="auto"/>
                <w:bottom w:val="none" w:sz="0" w:space="0" w:color="auto"/>
                <w:right w:val="none" w:sz="0" w:space="0" w:color="auto"/>
              </w:divBdr>
              <w:divsChild>
                <w:div w:id="1431392783">
                  <w:marLeft w:val="0"/>
                  <w:marRight w:val="0"/>
                  <w:marTop w:val="0"/>
                  <w:marBottom w:val="0"/>
                  <w:divBdr>
                    <w:top w:val="none" w:sz="0" w:space="0" w:color="auto"/>
                    <w:left w:val="none" w:sz="0" w:space="0" w:color="auto"/>
                    <w:bottom w:val="none" w:sz="0" w:space="0" w:color="auto"/>
                    <w:right w:val="none" w:sz="0" w:space="0" w:color="auto"/>
                  </w:divBdr>
                </w:div>
              </w:divsChild>
            </w:div>
            <w:div w:id="869342199">
              <w:marLeft w:val="0"/>
              <w:marRight w:val="0"/>
              <w:marTop w:val="0"/>
              <w:marBottom w:val="0"/>
              <w:divBdr>
                <w:top w:val="none" w:sz="0" w:space="0" w:color="auto"/>
                <w:left w:val="none" w:sz="0" w:space="0" w:color="auto"/>
                <w:bottom w:val="none" w:sz="0" w:space="0" w:color="auto"/>
                <w:right w:val="none" w:sz="0" w:space="0" w:color="auto"/>
              </w:divBdr>
              <w:divsChild>
                <w:div w:id="1747993416">
                  <w:marLeft w:val="0"/>
                  <w:marRight w:val="0"/>
                  <w:marTop w:val="0"/>
                  <w:marBottom w:val="0"/>
                  <w:divBdr>
                    <w:top w:val="none" w:sz="0" w:space="0" w:color="auto"/>
                    <w:left w:val="none" w:sz="0" w:space="0" w:color="auto"/>
                    <w:bottom w:val="none" w:sz="0" w:space="0" w:color="auto"/>
                    <w:right w:val="none" w:sz="0" w:space="0" w:color="auto"/>
                  </w:divBdr>
                </w:div>
              </w:divsChild>
            </w:div>
            <w:div w:id="870335460">
              <w:marLeft w:val="0"/>
              <w:marRight w:val="0"/>
              <w:marTop w:val="0"/>
              <w:marBottom w:val="0"/>
              <w:divBdr>
                <w:top w:val="none" w:sz="0" w:space="0" w:color="auto"/>
                <w:left w:val="none" w:sz="0" w:space="0" w:color="auto"/>
                <w:bottom w:val="none" w:sz="0" w:space="0" w:color="auto"/>
                <w:right w:val="none" w:sz="0" w:space="0" w:color="auto"/>
              </w:divBdr>
              <w:divsChild>
                <w:div w:id="1001738384">
                  <w:marLeft w:val="0"/>
                  <w:marRight w:val="0"/>
                  <w:marTop w:val="0"/>
                  <w:marBottom w:val="0"/>
                  <w:divBdr>
                    <w:top w:val="none" w:sz="0" w:space="0" w:color="auto"/>
                    <w:left w:val="none" w:sz="0" w:space="0" w:color="auto"/>
                    <w:bottom w:val="none" w:sz="0" w:space="0" w:color="auto"/>
                    <w:right w:val="none" w:sz="0" w:space="0" w:color="auto"/>
                  </w:divBdr>
                </w:div>
              </w:divsChild>
            </w:div>
            <w:div w:id="871116966">
              <w:marLeft w:val="0"/>
              <w:marRight w:val="0"/>
              <w:marTop w:val="0"/>
              <w:marBottom w:val="0"/>
              <w:divBdr>
                <w:top w:val="none" w:sz="0" w:space="0" w:color="auto"/>
                <w:left w:val="none" w:sz="0" w:space="0" w:color="auto"/>
                <w:bottom w:val="none" w:sz="0" w:space="0" w:color="auto"/>
                <w:right w:val="none" w:sz="0" w:space="0" w:color="auto"/>
              </w:divBdr>
              <w:divsChild>
                <w:div w:id="1449739090">
                  <w:marLeft w:val="0"/>
                  <w:marRight w:val="0"/>
                  <w:marTop w:val="0"/>
                  <w:marBottom w:val="0"/>
                  <w:divBdr>
                    <w:top w:val="none" w:sz="0" w:space="0" w:color="auto"/>
                    <w:left w:val="none" w:sz="0" w:space="0" w:color="auto"/>
                    <w:bottom w:val="none" w:sz="0" w:space="0" w:color="auto"/>
                    <w:right w:val="none" w:sz="0" w:space="0" w:color="auto"/>
                  </w:divBdr>
                </w:div>
              </w:divsChild>
            </w:div>
            <w:div w:id="871260130">
              <w:marLeft w:val="0"/>
              <w:marRight w:val="0"/>
              <w:marTop w:val="0"/>
              <w:marBottom w:val="0"/>
              <w:divBdr>
                <w:top w:val="none" w:sz="0" w:space="0" w:color="auto"/>
                <w:left w:val="none" w:sz="0" w:space="0" w:color="auto"/>
                <w:bottom w:val="none" w:sz="0" w:space="0" w:color="auto"/>
                <w:right w:val="none" w:sz="0" w:space="0" w:color="auto"/>
              </w:divBdr>
              <w:divsChild>
                <w:div w:id="1347559861">
                  <w:marLeft w:val="0"/>
                  <w:marRight w:val="0"/>
                  <w:marTop w:val="0"/>
                  <w:marBottom w:val="0"/>
                  <w:divBdr>
                    <w:top w:val="none" w:sz="0" w:space="0" w:color="auto"/>
                    <w:left w:val="none" w:sz="0" w:space="0" w:color="auto"/>
                    <w:bottom w:val="none" w:sz="0" w:space="0" w:color="auto"/>
                    <w:right w:val="none" w:sz="0" w:space="0" w:color="auto"/>
                  </w:divBdr>
                </w:div>
              </w:divsChild>
            </w:div>
            <w:div w:id="871307263">
              <w:marLeft w:val="0"/>
              <w:marRight w:val="0"/>
              <w:marTop w:val="300"/>
              <w:marBottom w:val="300"/>
              <w:divBdr>
                <w:top w:val="none" w:sz="0" w:space="0" w:color="auto"/>
                <w:left w:val="none" w:sz="0" w:space="0" w:color="auto"/>
                <w:bottom w:val="none" w:sz="0" w:space="0" w:color="auto"/>
                <w:right w:val="none" w:sz="0" w:space="0" w:color="auto"/>
              </w:divBdr>
            </w:div>
            <w:div w:id="871891293">
              <w:marLeft w:val="0"/>
              <w:marRight w:val="0"/>
              <w:marTop w:val="0"/>
              <w:marBottom w:val="0"/>
              <w:divBdr>
                <w:top w:val="none" w:sz="0" w:space="0" w:color="auto"/>
                <w:left w:val="none" w:sz="0" w:space="0" w:color="auto"/>
                <w:bottom w:val="none" w:sz="0" w:space="0" w:color="auto"/>
                <w:right w:val="none" w:sz="0" w:space="0" w:color="auto"/>
              </w:divBdr>
              <w:divsChild>
                <w:div w:id="27491508">
                  <w:marLeft w:val="0"/>
                  <w:marRight w:val="0"/>
                  <w:marTop w:val="0"/>
                  <w:marBottom w:val="0"/>
                  <w:divBdr>
                    <w:top w:val="none" w:sz="0" w:space="0" w:color="auto"/>
                    <w:left w:val="none" w:sz="0" w:space="0" w:color="auto"/>
                    <w:bottom w:val="none" w:sz="0" w:space="0" w:color="auto"/>
                    <w:right w:val="none" w:sz="0" w:space="0" w:color="auto"/>
                  </w:divBdr>
                </w:div>
              </w:divsChild>
            </w:div>
            <w:div w:id="873418267">
              <w:marLeft w:val="0"/>
              <w:marRight w:val="0"/>
              <w:marTop w:val="0"/>
              <w:marBottom w:val="0"/>
              <w:divBdr>
                <w:top w:val="none" w:sz="0" w:space="0" w:color="auto"/>
                <w:left w:val="none" w:sz="0" w:space="0" w:color="auto"/>
                <w:bottom w:val="none" w:sz="0" w:space="0" w:color="auto"/>
                <w:right w:val="none" w:sz="0" w:space="0" w:color="auto"/>
              </w:divBdr>
              <w:divsChild>
                <w:div w:id="629550281">
                  <w:marLeft w:val="0"/>
                  <w:marRight w:val="0"/>
                  <w:marTop w:val="0"/>
                  <w:marBottom w:val="0"/>
                  <w:divBdr>
                    <w:top w:val="none" w:sz="0" w:space="0" w:color="auto"/>
                    <w:left w:val="none" w:sz="0" w:space="0" w:color="auto"/>
                    <w:bottom w:val="none" w:sz="0" w:space="0" w:color="auto"/>
                    <w:right w:val="none" w:sz="0" w:space="0" w:color="auto"/>
                  </w:divBdr>
                </w:div>
              </w:divsChild>
            </w:div>
            <w:div w:id="873617085">
              <w:marLeft w:val="0"/>
              <w:marRight w:val="0"/>
              <w:marTop w:val="0"/>
              <w:marBottom w:val="0"/>
              <w:divBdr>
                <w:top w:val="none" w:sz="0" w:space="0" w:color="auto"/>
                <w:left w:val="none" w:sz="0" w:space="0" w:color="auto"/>
                <w:bottom w:val="none" w:sz="0" w:space="0" w:color="auto"/>
                <w:right w:val="none" w:sz="0" w:space="0" w:color="auto"/>
              </w:divBdr>
              <w:divsChild>
                <w:div w:id="1862277573">
                  <w:marLeft w:val="0"/>
                  <w:marRight w:val="0"/>
                  <w:marTop w:val="0"/>
                  <w:marBottom w:val="0"/>
                  <w:divBdr>
                    <w:top w:val="none" w:sz="0" w:space="0" w:color="auto"/>
                    <w:left w:val="none" w:sz="0" w:space="0" w:color="auto"/>
                    <w:bottom w:val="none" w:sz="0" w:space="0" w:color="auto"/>
                    <w:right w:val="none" w:sz="0" w:space="0" w:color="auto"/>
                  </w:divBdr>
                </w:div>
              </w:divsChild>
            </w:div>
            <w:div w:id="873734717">
              <w:marLeft w:val="0"/>
              <w:marRight w:val="0"/>
              <w:marTop w:val="0"/>
              <w:marBottom w:val="0"/>
              <w:divBdr>
                <w:top w:val="none" w:sz="0" w:space="0" w:color="auto"/>
                <w:left w:val="none" w:sz="0" w:space="0" w:color="auto"/>
                <w:bottom w:val="none" w:sz="0" w:space="0" w:color="auto"/>
                <w:right w:val="none" w:sz="0" w:space="0" w:color="auto"/>
              </w:divBdr>
              <w:divsChild>
                <w:div w:id="49424074">
                  <w:marLeft w:val="0"/>
                  <w:marRight w:val="0"/>
                  <w:marTop w:val="0"/>
                  <w:marBottom w:val="0"/>
                  <w:divBdr>
                    <w:top w:val="none" w:sz="0" w:space="0" w:color="auto"/>
                    <w:left w:val="none" w:sz="0" w:space="0" w:color="auto"/>
                    <w:bottom w:val="none" w:sz="0" w:space="0" w:color="auto"/>
                    <w:right w:val="none" w:sz="0" w:space="0" w:color="auto"/>
                  </w:divBdr>
                </w:div>
              </w:divsChild>
            </w:div>
            <w:div w:id="874080841">
              <w:marLeft w:val="0"/>
              <w:marRight w:val="0"/>
              <w:marTop w:val="0"/>
              <w:marBottom w:val="0"/>
              <w:divBdr>
                <w:top w:val="none" w:sz="0" w:space="0" w:color="auto"/>
                <w:left w:val="none" w:sz="0" w:space="0" w:color="auto"/>
                <w:bottom w:val="none" w:sz="0" w:space="0" w:color="auto"/>
                <w:right w:val="none" w:sz="0" w:space="0" w:color="auto"/>
              </w:divBdr>
              <w:divsChild>
                <w:div w:id="256014853">
                  <w:marLeft w:val="0"/>
                  <w:marRight w:val="0"/>
                  <w:marTop w:val="0"/>
                  <w:marBottom w:val="0"/>
                  <w:divBdr>
                    <w:top w:val="none" w:sz="0" w:space="0" w:color="auto"/>
                    <w:left w:val="none" w:sz="0" w:space="0" w:color="auto"/>
                    <w:bottom w:val="none" w:sz="0" w:space="0" w:color="auto"/>
                    <w:right w:val="none" w:sz="0" w:space="0" w:color="auto"/>
                  </w:divBdr>
                </w:div>
              </w:divsChild>
            </w:div>
            <w:div w:id="874737859">
              <w:marLeft w:val="0"/>
              <w:marRight w:val="0"/>
              <w:marTop w:val="300"/>
              <w:marBottom w:val="300"/>
              <w:divBdr>
                <w:top w:val="none" w:sz="0" w:space="0" w:color="auto"/>
                <w:left w:val="none" w:sz="0" w:space="0" w:color="auto"/>
                <w:bottom w:val="none" w:sz="0" w:space="0" w:color="auto"/>
                <w:right w:val="none" w:sz="0" w:space="0" w:color="auto"/>
              </w:divBdr>
            </w:div>
            <w:div w:id="875967750">
              <w:marLeft w:val="0"/>
              <w:marRight w:val="0"/>
              <w:marTop w:val="0"/>
              <w:marBottom w:val="0"/>
              <w:divBdr>
                <w:top w:val="none" w:sz="0" w:space="0" w:color="auto"/>
                <w:left w:val="none" w:sz="0" w:space="0" w:color="auto"/>
                <w:bottom w:val="none" w:sz="0" w:space="0" w:color="auto"/>
                <w:right w:val="none" w:sz="0" w:space="0" w:color="auto"/>
              </w:divBdr>
              <w:divsChild>
                <w:div w:id="1842044756">
                  <w:marLeft w:val="0"/>
                  <w:marRight w:val="0"/>
                  <w:marTop w:val="0"/>
                  <w:marBottom w:val="0"/>
                  <w:divBdr>
                    <w:top w:val="none" w:sz="0" w:space="0" w:color="auto"/>
                    <w:left w:val="none" w:sz="0" w:space="0" w:color="auto"/>
                    <w:bottom w:val="none" w:sz="0" w:space="0" w:color="auto"/>
                    <w:right w:val="none" w:sz="0" w:space="0" w:color="auto"/>
                  </w:divBdr>
                </w:div>
              </w:divsChild>
            </w:div>
            <w:div w:id="875972263">
              <w:marLeft w:val="0"/>
              <w:marRight w:val="0"/>
              <w:marTop w:val="0"/>
              <w:marBottom w:val="0"/>
              <w:divBdr>
                <w:top w:val="none" w:sz="0" w:space="0" w:color="auto"/>
                <w:left w:val="none" w:sz="0" w:space="0" w:color="auto"/>
                <w:bottom w:val="none" w:sz="0" w:space="0" w:color="auto"/>
                <w:right w:val="none" w:sz="0" w:space="0" w:color="auto"/>
              </w:divBdr>
              <w:divsChild>
                <w:div w:id="1232235352">
                  <w:marLeft w:val="0"/>
                  <w:marRight w:val="0"/>
                  <w:marTop w:val="0"/>
                  <w:marBottom w:val="0"/>
                  <w:divBdr>
                    <w:top w:val="none" w:sz="0" w:space="0" w:color="auto"/>
                    <w:left w:val="none" w:sz="0" w:space="0" w:color="auto"/>
                    <w:bottom w:val="none" w:sz="0" w:space="0" w:color="auto"/>
                    <w:right w:val="none" w:sz="0" w:space="0" w:color="auto"/>
                  </w:divBdr>
                </w:div>
              </w:divsChild>
            </w:div>
            <w:div w:id="876426757">
              <w:marLeft w:val="0"/>
              <w:marRight w:val="0"/>
              <w:marTop w:val="0"/>
              <w:marBottom w:val="0"/>
              <w:divBdr>
                <w:top w:val="none" w:sz="0" w:space="0" w:color="auto"/>
                <w:left w:val="none" w:sz="0" w:space="0" w:color="auto"/>
                <w:bottom w:val="none" w:sz="0" w:space="0" w:color="auto"/>
                <w:right w:val="none" w:sz="0" w:space="0" w:color="auto"/>
              </w:divBdr>
              <w:divsChild>
                <w:div w:id="888154893">
                  <w:marLeft w:val="0"/>
                  <w:marRight w:val="0"/>
                  <w:marTop w:val="0"/>
                  <w:marBottom w:val="0"/>
                  <w:divBdr>
                    <w:top w:val="none" w:sz="0" w:space="0" w:color="auto"/>
                    <w:left w:val="none" w:sz="0" w:space="0" w:color="auto"/>
                    <w:bottom w:val="none" w:sz="0" w:space="0" w:color="auto"/>
                    <w:right w:val="none" w:sz="0" w:space="0" w:color="auto"/>
                  </w:divBdr>
                </w:div>
              </w:divsChild>
            </w:div>
            <w:div w:id="876895192">
              <w:marLeft w:val="0"/>
              <w:marRight w:val="0"/>
              <w:marTop w:val="0"/>
              <w:marBottom w:val="0"/>
              <w:divBdr>
                <w:top w:val="none" w:sz="0" w:space="0" w:color="auto"/>
                <w:left w:val="none" w:sz="0" w:space="0" w:color="auto"/>
                <w:bottom w:val="none" w:sz="0" w:space="0" w:color="auto"/>
                <w:right w:val="none" w:sz="0" w:space="0" w:color="auto"/>
              </w:divBdr>
              <w:divsChild>
                <w:div w:id="195119944">
                  <w:marLeft w:val="0"/>
                  <w:marRight w:val="0"/>
                  <w:marTop w:val="0"/>
                  <w:marBottom w:val="0"/>
                  <w:divBdr>
                    <w:top w:val="none" w:sz="0" w:space="0" w:color="auto"/>
                    <w:left w:val="none" w:sz="0" w:space="0" w:color="auto"/>
                    <w:bottom w:val="none" w:sz="0" w:space="0" w:color="auto"/>
                    <w:right w:val="none" w:sz="0" w:space="0" w:color="auto"/>
                  </w:divBdr>
                </w:div>
              </w:divsChild>
            </w:div>
            <w:div w:id="878515523">
              <w:marLeft w:val="0"/>
              <w:marRight w:val="0"/>
              <w:marTop w:val="0"/>
              <w:marBottom w:val="0"/>
              <w:divBdr>
                <w:top w:val="none" w:sz="0" w:space="0" w:color="auto"/>
                <w:left w:val="none" w:sz="0" w:space="0" w:color="auto"/>
                <w:bottom w:val="none" w:sz="0" w:space="0" w:color="auto"/>
                <w:right w:val="none" w:sz="0" w:space="0" w:color="auto"/>
              </w:divBdr>
              <w:divsChild>
                <w:div w:id="2102599133">
                  <w:marLeft w:val="0"/>
                  <w:marRight w:val="0"/>
                  <w:marTop w:val="0"/>
                  <w:marBottom w:val="0"/>
                  <w:divBdr>
                    <w:top w:val="none" w:sz="0" w:space="0" w:color="auto"/>
                    <w:left w:val="none" w:sz="0" w:space="0" w:color="auto"/>
                    <w:bottom w:val="none" w:sz="0" w:space="0" w:color="auto"/>
                    <w:right w:val="none" w:sz="0" w:space="0" w:color="auto"/>
                  </w:divBdr>
                </w:div>
              </w:divsChild>
            </w:div>
            <w:div w:id="878933341">
              <w:marLeft w:val="0"/>
              <w:marRight w:val="0"/>
              <w:marTop w:val="0"/>
              <w:marBottom w:val="0"/>
              <w:divBdr>
                <w:top w:val="none" w:sz="0" w:space="0" w:color="auto"/>
                <w:left w:val="none" w:sz="0" w:space="0" w:color="auto"/>
                <w:bottom w:val="none" w:sz="0" w:space="0" w:color="auto"/>
                <w:right w:val="none" w:sz="0" w:space="0" w:color="auto"/>
              </w:divBdr>
              <w:divsChild>
                <w:div w:id="79720280">
                  <w:marLeft w:val="0"/>
                  <w:marRight w:val="0"/>
                  <w:marTop w:val="0"/>
                  <w:marBottom w:val="0"/>
                  <w:divBdr>
                    <w:top w:val="none" w:sz="0" w:space="0" w:color="auto"/>
                    <w:left w:val="none" w:sz="0" w:space="0" w:color="auto"/>
                    <w:bottom w:val="none" w:sz="0" w:space="0" w:color="auto"/>
                    <w:right w:val="none" w:sz="0" w:space="0" w:color="auto"/>
                  </w:divBdr>
                </w:div>
              </w:divsChild>
            </w:div>
            <w:div w:id="879631242">
              <w:marLeft w:val="0"/>
              <w:marRight w:val="0"/>
              <w:marTop w:val="300"/>
              <w:marBottom w:val="300"/>
              <w:divBdr>
                <w:top w:val="none" w:sz="0" w:space="0" w:color="auto"/>
                <w:left w:val="none" w:sz="0" w:space="0" w:color="auto"/>
                <w:bottom w:val="none" w:sz="0" w:space="0" w:color="auto"/>
                <w:right w:val="none" w:sz="0" w:space="0" w:color="auto"/>
              </w:divBdr>
            </w:div>
            <w:div w:id="879896281">
              <w:marLeft w:val="0"/>
              <w:marRight w:val="0"/>
              <w:marTop w:val="0"/>
              <w:marBottom w:val="0"/>
              <w:divBdr>
                <w:top w:val="none" w:sz="0" w:space="0" w:color="auto"/>
                <w:left w:val="none" w:sz="0" w:space="0" w:color="auto"/>
                <w:bottom w:val="none" w:sz="0" w:space="0" w:color="auto"/>
                <w:right w:val="none" w:sz="0" w:space="0" w:color="auto"/>
              </w:divBdr>
              <w:divsChild>
                <w:div w:id="199898701">
                  <w:marLeft w:val="0"/>
                  <w:marRight w:val="0"/>
                  <w:marTop w:val="0"/>
                  <w:marBottom w:val="0"/>
                  <w:divBdr>
                    <w:top w:val="none" w:sz="0" w:space="0" w:color="auto"/>
                    <w:left w:val="none" w:sz="0" w:space="0" w:color="auto"/>
                    <w:bottom w:val="none" w:sz="0" w:space="0" w:color="auto"/>
                    <w:right w:val="none" w:sz="0" w:space="0" w:color="auto"/>
                  </w:divBdr>
                </w:div>
              </w:divsChild>
            </w:div>
            <w:div w:id="880365048">
              <w:marLeft w:val="0"/>
              <w:marRight w:val="0"/>
              <w:marTop w:val="0"/>
              <w:marBottom w:val="0"/>
              <w:divBdr>
                <w:top w:val="none" w:sz="0" w:space="0" w:color="auto"/>
                <w:left w:val="none" w:sz="0" w:space="0" w:color="auto"/>
                <w:bottom w:val="none" w:sz="0" w:space="0" w:color="auto"/>
                <w:right w:val="none" w:sz="0" w:space="0" w:color="auto"/>
              </w:divBdr>
              <w:divsChild>
                <w:div w:id="442919998">
                  <w:marLeft w:val="0"/>
                  <w:marRight w:val="0"/>
                  <w:marTop w:val="0"/>
                  <w:marBottom w:val="0"/>
                  <w:divBdr>
                    <w:top w:val="none" w:sz="0" w:space="0" w:color="auto"/>
                    <w:left w:val="none" w:sz="0" w:space="0" w:color="auto"/>
                    <w:bottom w:val="none" w:sz="0" w:space="0" w:color="auto"/>
                    <w:right w:val="none" w:sz="0" w:space="0" w:color="auto"/>
                  </w:divBdr>
                </w:div>
              </w:divsChild>
            </w:div>
            <w:div w:id="881477943">
              <w:marLeft w:val="0"/>
              <w:marRight w:val="0"/>
              <w:marTop w:val="0"/>
              <w:marBottom w:val="0"/>
              <w:divBdr>
                <w:top w:val="none" w:sz="0" w:space="0" w:color="auto"/>
                <w:left w:val="none" w:sz="0" w:space="0" w:color="auto"/>
                <w:bottom w:val="none" w:sz="0" w:space="0" w:color="auto"/>
                <w:right w:val="none" w:sz="0" w:space="0" w:color="auto"/>
              </w:divBdr>
              <w:divsChild>
                <w:div w:id="1705204467">
                  <w:marLeft w:val="0"/>
                  <w:marRight w:val="0"/>
                  <w:marTop w:val="0"/>
                  <w:marBottom w:val="0"/>
                  <w:divBdr>
                    <w:top w:val="none" w:sz="0" w:space="0" w:color="auto"/>
                    <w:left w:val="none" w:sz="0" w:space="0" w:color="auto"/>
                    <w:bottom w:val="none" w:sz="0" w:space="0" w:color="auto"/>
                    <w:right w:val="none" w:sz="0" w:space="0" w:color="auto"/>
                  </w:divBdr>
                </w:div>
              </w:divsChild>
            </w:div>
            <w:div w:id="886448919">
              <w:marLeft w:val="0"/>
              <w:marRight w:val="0"/>
              <w:marTop w:val="0"/>
              <w:marBottom w:val="0"/>
              <w:divBdr>
                <w:top w:val="none" w:sz="0" w:space="0" w:color="auto"/>
                <w:left w:val="none" w:sz="0" w:space="0" w:color="auto"/>
                <w:bottom w:val="none" w:sz="0" w:space="0" w:color="auto"/>
                <w:right w:val="none" w:sz="0" w:space="0" w:color="auto"/>
              </w:divBdr>
              <w:divsChild>
                <w:div w:id="1127972480">
                  <w:marLeft w:val="0"/>
                  <w:marRight w:val="0"/>
                  <w:marTop w:val="0"/>
                  <w:marBottom w:val="0"/>
                  <w:divBdr>
                    <w:top w:val="none" w:sz="0" w:space="0" w:color="auto"/>
                    <w:left w:val="none" w:sz="0" w:space="0" w:color="auto"/>
                    <w:bottom w:val="none" w:sz="0" w:space="0" w:color="auto"/>
                    <w:right w:val="none" w:sz="0" w:space="0" w:color="auto"/>
                  </w:divBdr>
                </w:div>
              </w:divsChild>
            </w:div>
            <w:div w:id="886720495">
              <w:marLeft w:val="0"/>
              <w:marRight w:val="0"/>
              <w:marTop w:val="0"/>
              <w:marBottom w:val="0"/>
              <w:divBdr>
                <w:top w:val="none" w:sz="0" w:space="0" w:color="auto"/>
                <w:left w:val="none" w:sz="0" w:space="0" w:color="auto"/>
                <w:bottom w:val="none" w:sz="0" w:space="0" w:color="auto"/>
                <w:right w:val="none" w:sz="0" w:space="0" w:color="auto"/>
              </w:divBdr>
              <w:divsChild>
                <w:div w:id="1781483843">
                  <w:marLeft w:val="0"/>
                  <w:marRight w:val="0"/>
                  <w:marTop w:val="0"/>
                  <w:marBottom w:val="0"/>
                  <w:divBdr>
                    <w:top w:val="none" w:sz="0" w:space="0" w:color="auto"/>
                    <w:left w:val="none" w:sz="0" w:space="0" w:color="auto"/>
                    <w:bottom w:val="none" w:sz="0" w:space="0" w:color="auto"/>
                    <w:right w:val="none" w:sz="0" w:space="0" w:color="auto"/>
                  </w:divBdr>
                </w:div>
              </w:divsChild>
            </w:div>
            <w:div w:id="888223074">
              <w:marLeft w:val="0"/>
              <w:marRight w:val="0"/>
              <w:marTop w:val="0"/>
              <w:marBottom w:val="0"/>
              <w:divBdr>
                <w:top w:val="none" w:sz="0" w:space="0" w:color="auto"/>
                <w:left w:val="none" w:sz="0" w:space="0" w:color="auto"/>
                <w:bottom w:val="none" w:sz="0" w:space="0" w:color="auto"/>
                <w:right w:val="none" w:sz="0" w:space="0" w:color="auto"/>
              </w:divBdr>
              <w:divsChild>
                <w:div w:id="116998417">
                  <w:marLeft w:val="0"/>
                  <w:marRight w:val="0"/>
                  <w:marTop w:val="0"/>
                  <w:marBottom w:val="0"/>
                  <w:divBdr>
                    <w:top w:val="none" w:sz="0" w:space="0" w:color="auto"/>
                    <w:left w:val="none" w:sz="0" w:space="0" w:color="auto"/>
                    <w:bottom w:val="none" w:sz="0" w:space="0" w:color="auto"/>
                    <w:right w:val="none" w:sz="0" w:space="0" w:color="auto"/>
                  </w:divBdr>
                </w:div>
              </w:divsChild>
            </w:div>
            <w:div w:id="888734742">
              <w:marLeft w:val="0"/>
              <w:marRight w:val="0"/>
              <w:marTop w:val="0"/>
              <w:marBottom w:val="0"/>
              <w:divBdr>
                <w:top w:val="none" w:sz="0" w:space="0" w:color="auto"/>
                <w:left w:val="none" w:sz="0" w:space="0" w:color="auto"/>
                <w:bottom w:val="none" w:sz="0" w:space="0" w:color="auto"/>
                <w:right w:val="none" w:sz="0" w:space="0" w:color="auto"/>
              </w:divBdr>
              <w:divsChild>
                <w:div w:id="1967733035">
                  <w:marLeft w:val="0"/>
                  <w:marRight w:val="0"/>
                  <w:marTop w:val="0"/>
                  <w:marBottom w:val="0"/>
                  <w:divBdr>
                    <w:top w:val="none" w:sz="0" w:space="0" w:color="auto"/>
                    <w:left w:val="none" w:sz="0" w:space="0" w:color="auto"/>
                    <w:bottom w:val="none" w:sz="0" w:space="0" w:color="auto"/>
                    <w:right w:val="none" w:sz="0" w:space="0" w:color="auto"/>
                  </w:divBdr>
                </w:div>
              </w:divsChild>
            </w:div>
            <w:div w:id="889919486">
              <w:marLeft w:val="0"/>
              <w:marRight w:val="0"/>
              <w:marTop w:val="0"/>
              <w:marBottom w:val="0"/>
              <w:divBdr>
                <w:top w:val="none" w:sz="0" w:space="0" w:color="auto"/>
                <w:left w:val="none" w:sz="0" w:space="0" w:color="auto"/>
                <w:bottom w:val="none" w:sz="0" w:space="0" w:color="auto"/>
                <w:right w:val="none" w:sz="0" w:space="0" w:color="auto"/>
              </w:divBdr>
              <w:divsChild>
                <w:div w:id="111630063">
                  <w:marLeft w:val="0"/>
                  <w:marRight w:val="0"/>
                  <w:marTop w:val="0"/>
                  <w:marBottom w:val="0"/>
                  <w:divBdr>
                    <w:top w:val="none" w:sz="0" w:space="0" w:color="auto"/>
                    <w:left w:val="none" w:sz="0" w:space="0" w:color="auto"/>
                    <w:bottom w:val="none" w:sz="0" w:space="0" w:color="auto"/>
                    <w:right w:val="none" w:sz="0" w:space="0" w:color="auto"/>
                  </w:divBdr>
                </w:div>
              </w:divsChild>
            </w:div>
            <w:div w:id="890966665">
              <w:marLeft w:val="0"/>
              <w:marRight w:val="0"/>
              <w:marTop w:val="0"/>
              <w:marBottom w:val="0"/>
              <w:divBdr>
                <w:top w:val="none" w:sz="0" w:space="0" w:color="auto"/>
                <w:left w:val="none" w:sz="0" w:space="0" w:color="auto"/>
                <w:bottom w:val="none" w:sz="0" w:space="0" w:color="auto"/>
                <w:right w:val="none" w:sz="0" w:space="0" w:color="auto"/>
              </w:divBdr>
              <w:divsChild>
                <w:div w:id="1863938387">
                  <w:marLeft w:val="0"/>
                  <w:marRight w:val="0"/>
                  <w:marTop w:val="0"/>
                  <w:marBottom w:val="0"/>
                  <w:divBdr>
                    <w:top w:val="none" w:sz="0" w:space="0" w:color="auto"/>
                    <w:left w:val="none" w:sz="0" w:space="0" w:color="auto"/>
                    <w:bottom w:val="none" w:sz="0" w:space="0" w:color="auto"/>
                    <w:right w:val="none" w:sz="0" w:space="0" w:color="auto"/>
                  </w:divBdr>
                </w:div>
              </w:divsChild>
            </w:div>
            <w:div w:id="892034960">
              <w:marLeft w:val="0"/>
              <w:marRight w:val="0"/>
              <w:marTop w:val="0"/>
              <w:marBottom w:val="0"/>
              <w:divBdr>
                <w:top w:val="none" w:sz="0" w:space="0" w:color="auto"/>
                <w:left w:val="none" w:sz="0" w:space="0" w:color="auto"/>
                <w:bottom w:val="none" w:sz="0" w:space="0" w:color="auto"/>
                <w:right w:val="none" w:sz="0" w:space="0" w:color="auto"/>
              </w:divBdr>
              <w:divsChild>
                <w:div w:id="357243227">
                  <w:marLeft w:val="0"/>
                  <w:marRight w:val="0"/>
                  <w:marTop w:val="0"/>
                  <w:marBottom w:val="0"/>
                  <w:divBdr>
                    <w:top w:val="none" w:sz="0" w:space="0" w:color="auto"/>
                    <w:left w:val="none" w:sz="0" w:space="0" w:color="auto"/>
                    <w:bottom w:val="none" w:sz="0" w:space="0" w:color="auto"/>
                    <w:right w:val="none" w:sz="0" w:space="0" w:color="auto"/>
                  </w:divBdr>
                </w:div>
              </w:divsChild>
            </w:div>
            <w:div w:id="894513117">
              <w:marLeft w:val="0"/>
              <w:marRight w:val="0"/>
              <w:marTop w:val="0"/>
              <w:marBottom w:val="0"/>
              <w:divBdr>
                <w:top w:val="none" w:sz="0" w:space="0" w:color="auto"/>
                <w:left w:val="none" w:sz="0" w:space="0" w:color="auto"/>
                <w:bottom w:val="none" w:sz="0" w:space="0" w:color="auto"/>
                <w:right w:val="none" w:sz="0" w:space="0" w:color="auto"/>
              </w:divBdr>
              <w:divsChild>
                <w:div w:id="1268854919">
                  <w:marLeft w:val="0"/>
                  <w:marRight w:val="0"/>
                  <w:marTop w:val="0"/>
                  <w:marBottom w:val="0"/>
                  <w:divBdr>
                    <w:top w:val="none" w:sz="0" w:space="0" w:color="auto"/>
                    <w:left w:val="none" w:sz="0" w:space="0" w:color="auto"/>
                    <w:bottom w:val="none" w:sz="0" w:space="0" w:color="auto"/>
                    <w:right w:val="none" w:sz="0" w:space="0" w:color="auto"/>
                  </w:divBdr>
                </w:div>
              </w:divsChild>
            </w:div>
            <w:div w:id="894584178">
              <w:marLeft w:val="0"/>
              <w:marRight w:val="0"/>
              <w:marTop w:val="300"/>
              <w:marBottom w:val="300"/>
              <w:divBdr>
                <w:top w:val="none" w:sz="0" w:space="0" w:color="auto"/>
                <w:left w:val="none" w:sz="0" w:space="0" w:color="auto"/>
                <w:bottom w:val="none" w:sz="0" w:space="0" w:color="auto"/>
                <w:right w:val="none" w:sz="0" w:space="0" w:color="auto"/>
              </w:divBdr>
            </w:div>
            <w:div w:id="894660520">
              <w:marLeft w:val="0"/>
              <w:marRight w:val="0"/>
              <w:marTop w:val="0"/>
              <w:marBottom w:val="0"/>
              <w:divBdr>
                <w:top w:val="none" w:sz="0" w:space="0" w:color="auto"/>
                <w:left w:val="none" w:sz="0" w:space="0" w:color="auto"/>
                <w:bottom w:val="none" w:sz="0" w:space="0" w:color="auto"/>
                <w:right w:val="none" w:sz="0" w:space="0" w:color="auto"/>
              </w:divBdr>
              <w:divsChild>
                <w:div w:id="855272624">
                  <w:marLeft w:val="0"/>
                  <w:marRight w:val="0"/>
                  <w:marTop w:val="0"/>
                  <w:marBottom w:val="0"/>
                  <w:divBdr>
                    <w:top w:val="none" w:sz="0" w:space="0" w:color="auto"/>
                    <w:left w:val="none" w:sz="0" w:space="0" w:color="auto"/>
                    <w:bottom w:val="none" w:sz="0" w:space="0" w:color="auto"/>
                    <w:right w:val="none" w:sz="0" w:space="0" w:color="auto"/>
                  </w:divBdr>
                </w:div>
              </w:divsChild>
            </w:div>
            <w:div w:id="894703345">
              <w:marLeft w:val="0"/>
              <w:marRight w:val="0"/>
              <w:marTop w:val="300"/>
              <w:marBottom w:val="300"/>
              <w:divBdr>
                <w:top w:val="none" w:sz="0" w:space="0" w:color="auto"/>
                <w:left w:val="none" w:sz="0" w:space="0" w:color="auto"/>
                <w:bottom w:val="none" w:sz="0" w:space="0" w:color="auto"/>
                <w:right w:val="none" w:sz="0" w:space="0" w:color="auto"/>
              </w:divBdr>
            </w:div>
            <w:div w:id="896280009">
              <w:marLeft w:val="0"/>
              <w:marRight w:val="0"/>
              <w:marTop w:val="0"/>
              <w:marBottom w:val="0"/>
              <w:divBdr>
                <w:top w:val="none" w:sz="0" w:space="0" w:color="auto"/>
                <w:left w:val="none" w:sz="0" w:space="0" w:color="auto"/>
                <w:bottom w:val="none" w:sz="0" w:space="0" w:color="auto"/>
                <w:right w:val="none" w:sz="0" w:space="0" w:color="auto"/>
              </w:divBdr>
              <w:divsChild>
                <w:div w:id="395706406">
                  <w:marLeft w:val="0"/>
                  <w:marRight w:val="0"/>
                  <w:marTop w:val="0"/>
                  <w:marBottom w:val="0"/>
                  <w:divBdr>
                    <w:top w:val="none" w:sz="0" w:space="0" w:color="auto"/>
                    <w:left w:val="none" w:sz="0" w:space="0" w:color="auto"/>
                    <w:bottom w:val="none" w:sz="0" w:space="0" w:color="auto"/>
                    <w:right w:val="none" w:sz="0" w:space="0" w:color="auto"/>
                  </w:divBdr>
                </w:div>
              </w:divsChild>
            </w:div>
            <w:div w:id="897083390">
              <w:marLeft w:val="0"/>
              <w:marRight w:val="0"/>
              <w:marTop w:val="300"/>
              <w:marBottom w:val="300"/>
              <w:divBdr>
                <w:top w:val="none" w:sz="0" w:space="0" w:color="auto"/>
                <w:left w:val="none" w:sz="0" w:space="0" w:color="auto"/>
                <w:bottom w:val="none" w:sz="0" w:space="0" w:color="auto"/>
                <w:right w:val="none" w:sz="0" w:space="0" w:color="auto"/>
              </w:divBdr>
            </w:div>
            <w:div w:id="898370371">
              <w:marLeft w:val="0"/>
              <w:marRight w:val="0"/>
              <w:marTop w:val="0"/>
              <w:marBottom w:val="0"/>
              <w:divBdr>
                <w:top w:val="none" w:sz="0" w:space="0" w:color="auto"/>
                <w:left w:val="none" w:sz="0" w:space="0" w:color="auto"/>
                <w:bottom w:val="none" w:sz="0" w:space="0" w:color="auto"/>
                <w:right w:val="none" w:sz="0" w:space="0" w:color="auto"/>
              </w:divBdr>
              <w:divsChild>
                <w:div w:id="1407604917">
                  <w:marLeft w:val="0"/>
                  <w:marRight w:val="0"/>
                  <w:marTop w:val="0"/>
                  <w:marBottom w:val="0"/>
                  <w:divBdr>
                    <w:top w:val="none" w:sz="0" w:space="0" w:color="auto"/>
                    <w:left w:val="none" w:sz="0" w:space="0" w:color="auto"/>
                    <w:bottom w:val="none" w:sz="0" w:space="0" w:color="auto"/>
                    <w:right w:val="none" w:sz="0" w:space="0" w:color="auto"/>
                  </w:divBdr>
                </w:div>
              </w:divsChild>
            </w:div>
            <w:div w:id="898981944">
              <w:marLeft w:val="0"/>
              <w:marRight w:val="0"/>
              <w:marTop w:val="0"/>
              <w:marBottom w:val="0"/>
              <w:divBdr>
                <w:top w:val="none" w:sz="0" w:space="0" w:color="auto"/>
                <w:left w:val="none" w:sz="0" w:space="0" w:color="auto"/>
                <w:bottom w:val="none" w:sz="0" w:space="0" w:color="auto"/>
                <w:right w:val="none" w:sz="0" w:space="0" w:color="auto"/>
              </w:divBdr>
              <w:divsChild>
                <w:div w:id="1751610544">
                  <w:marLeft w:val="0"/>
                  <w:marRight w:val="0"/>
                  <w:marTop w:val="0"/>
                  <w:marBottom w:val="0"/>
                  <w:divBdr>
                    <w:top w:val="none" w:sz="0" w:space="0" w:color="auto"/>
                    <w:left w:val="none" w:sz="0" w:space="0" w:color="auto"/>
                    <w:bottom w:val="none" w:sz="0" w:space="0" w:color="auto"/>
                    <w:right w:val="none" w:sz="0" w:space="0" w:color="auto"/>
                  </w:divBdr>
                </w:div>
              </w:divsChild>
            </w:div>
            <w:div w:id="899024286">
              <w:marLeft w:val="0"/>
              <w:marRight w:val="0"/>
              <w:marTop w:val="0"/>
              <w:marBottom w:val="0"/>
              <w:divBdr>
                <w:top w:val="none" w:sz="0" w:space="0" w:color="auto"/>
                <w:left w:val="none" w:sz="0" w:space="0" w:color="auto"/>
                <w:bottom w:val="none" w:sz="0" w:space="0" w:color="auto"/>
                <w:right w:val="none" w:sz="0" w:space="0" w:color="auto"/>
              </w:divBdr>
              <w:divsChild>
                <w:div w:id="222719772">
                  <w:marLeft w:val="0"/>
                  <w:marRight w:val="0"/>
                  <w:marTop w:val="0"/>
                  <w:marBottom w:val="0"/>
                  <w:divBdr>
                    <w:top w:val="none" w:sz="0" w:space="0" w:color="auto"/>
                    <w:left w:val="none" w:sz="0" w:space="0" w:color="auto"/>
                    <w:bottom w:val="none" w:sz="0" w:space="0" w:color="auto"/>
                    <w:right w:val="none" w:sz="0" w:space="0" w:color="auto"/>
                  </w:divBdr>
                </w:div>
              </w:divsChild>
            </w:div>
            <w:div w:id="901716487">
              <w:marLeft w:val="0"/>
              <w:marRight w:val="0"/>
              <w:marTop w:val="0"/>
              <w:marBottom w:val="0"/>
              <w:divBdr>
                <w:top w:val="none" w:sz="0" w:space="0" w:color="auto"/>
                <w:left w:val="none" w:sz="0" w:space="0" w:color="auto"/>
                <w:bottom w:val="none" w:sz="0" w:space="0" w:color="auto"/>
                <w:right w:val="none" w:sz="0" w:space="0" w:color="auto"/>
              </w:divBdr>
              <w:divsChild>
                <w:div w:id="81756057">
                  <w:marLeft w:val="0"/>
                  <w:marRight w:val="0"/>
                  <w:marTop w:val="0"/>
                  <w:marBottom w:val="0"/>
                  <w:divBdr>
                    <w:top w:val="none" w:sz="0" w:space="0" w:color="auto"/>
                    <w:left w:val="none" w:sz="0" w:space="0" w:color="auto"/>
                    <w:bottom w:val="none" w:sz="0" w:space="0" w:color="auto"/>
                    <w:right w:val="none" w:sz="0" w:space="0" w:color="auto"/>
                  </w:divBdr>
                </w:div>
              </w:divsChild>
            </w:div>
            <w:div w:id="903102984">
              <w:marLeft w:val="0"/>
              <w:marRight w:val="0"/>
              <w:marTop w:val="0"/>
              <w:marBottom w:val="0"/>
              <w:divBdr>
                <w:top w:val="none" w:sz="0" w:space="0" w:color="auto"/>
                <w:left w:val="none" w:sz="0" w:space="0" w:color="auto"/>
                <w:bottom w:val="none" w:sz="0" w:space="0" w:color="auto"/>
                <w:right w:val="none" w:sz="0" w:space="0" w:color="auto"/>
              </w:divBdr>
              <w:divsChild>
                <w:div w:id="1271625354">
                  <w:marLeft w:val="0"/>
                  <w:marRight w:val="0"/>
                  <w:marTop w:val="0"/>
                  <w:marBottom w:val="0"/>
                  <w:divBdr>
                    <w:top w:val="none" w:sz="0" w:space="0" w:color="auto"/>
                    <w:left w:val="none" w:sz="0" w:space="0" w:color="auto"/>
                    <w:bottom w:val="none" w:sz="0" w:space="0" w:color="auto"/>
                    <w:right w:val="none" w:sz="0" w:space="0" w:color="auto"/>
                  </w:divBdr>
                </w:div>
              </w:divsChild>
            </w:div>
            <w:div w:id="903686867">
              <w:marLeft w:val="0"/>
              <w:marRight w:val="0"/>
              <w:marTop w:val="0"/>
              <w:marBottom w:val="0"/>
              <w:divBdr>
                <w:top w:val="none" w:sz="0" w:space="0" w:color="auto"/>
                <w:left w:val="none" w:sz="0" w:space="0" w:color="auto"/>
                <w:bottom w:val="none" w:sz="0" w:space="0" w:color="auto"/>
                <w:right w:val="none" w:sz="0" w:space="0" w:color="auto"/>
              </w:divBdr>
              <w:divsChild>
                <w:div w:id="934704114">
                  <w:marLeft w:val="0"/>
                  <w:marRight w:val="0"/>
                  <w:marTop w:val="0"/>
                  <w:marBottom w:val="0"/>
                  <w:divBdr>
                    <w:top w:val="none" w:sz="0" w:space="0" w:color="auto"/>
                    <w:left w:val="none" w:sz="0" w:space="0" w:color="auto"/>
                    <w:bottom w:val="none" w:sz="0" w:space="0" w:color="auto"/>
                    <w:right w:val="none" w:sz="0" w:space="0" w:color="auto"/>
                  </w:divBdr>
                </w:div>
              </w:divsChild>
            </w:div>
            <w:div w:id="905528614">
              <w:marLeft w:val="0"/>
              <w:marRight w:val="0"/>
              <w:marTop w:val="300"/>
              <w:marBottom w:val="300"/>
              <w:divBdr>
                <w:top w:val="none" w:sz="0" w:space="0" w:color="auto"/>
                <w:left w:val="none" w:sz="0" w:space="0" w:color="auto"/>
                <w:bottom w:val="none" w:sz="0" w:space="0" w:color="auto"/>
                <w:right w:val="none" w:sz="0" w:space="0" w:color="auto"/>
              </w:divBdr>
            </w:div>
            <w:div w:id="905841639">
              <w:marLeft w:val="0"/>
              <w:marRight w:val="0"/>
              <w:marTop w:val="0"/>
              <w:marBottom w:val="0"/>
              <w:divBdr>
                <w:top w:val="none" w:sz="0" w:space="0" w:color="auto"/>
                <w:left w:val="none" w:sz="0" w:space="0" w:color="auto"/>
                <w:bottom w:val="none" w:sz="0" w:space="0" w:color="auto"/>
                <w:right w:val="none" w:sz="0" w:space="0" w:color="auto"/>
              </w:divBdr>
              <w:divsChild>
                <w:div w:id="1828862004">
                  <w:marLeft w:val="0"/>
                  <w:marRight w:val="0"/>
                  <w:marTop w:val="0"/>
                  <w:marBottom w:val="0"/>
                  <w:divBdr>
                    <w:top w:val="none" w:sz="0" w:space="0" w:color="auto"/>
                    <w:left w:val="none" w:sz="0" w:space="0" w:color="auto"/>
                    <w:bottom w:val="none" w:sz="0" w:space="0" w:color="auto"/>
                    <w:right w:val="none" w:sz="0" w:space="0" w:color="auto"/>
                  </w:divBdr>
                </w:div>
              </w:divsChild>
            </w:div>
            <w:div w:id="907153407">
              <w:marLeft w:val="0"/>
              <w:marRight w:val="0"/>
              <w:marTop w:val="0"/>
              <w:marBottom w:val="0"/>
              <w:divBdr>
                <w:top w:val="none" w:sz="0" w:space="0" w:color="auto"/>
                <w:left w:val="none" w:sz="0" w:space="0" w:color="auto"/>
                <w:bottom w:val="none" w:sz="0" w:space="0" w:color="auto"/>
                <w:right w:val="none" w:sz="0" w:space="0" w:color="auto"/>
              </w:divBdr>
              <w:divsChild>
                <w:div w:id="1805611257">
                  <w:marLeft w:val="0"/>
                  <w:marRight w:val="0"/>
                  <w:marTop w:val="0"/>
                  <w:marBottom w:val="0"/>
                  <w:divBdr>
                    <w:top w:val="none" w:sz="0" w:space="0" w:color="auto"/>
                    <w:left w:val="none" w:sz="0" w:space="0" w:color="auto"/>
                    <w:bottom w:val="none" w:sz="0" w:space="0" w:color="auto"/>
                    <w:right w:val="none" w:sz="0" w:space="0" w:color="auto"/>
                  </w:divBdr>
                </w:div>
              </w:divsChild>
            </w:div>
            <w:div w:id="907155279">
              <w:marLeft w:val="0"/>
              <w:marRight w:val="0"/>
              <w:marTop w:val="0"/>
              <w:marBottom w:val="0"/>
              <w:divBdr>
                <w:top w:val="none" w:sz="0" w:space="0" w:color="auto"/>
                <w:left w:val="none" w:sz="0" w:space="0" w:color="auto"/>
                <w:bottom w:val="none" w:sz="0" w:space="0" w:color="auto"/>
                <w:right w:val="none" w:sz="0" w:space="0" w:color="auto"/>
              </w:divBdr>
              <w:divsChild>
                <w:div w:id="819149866">
                  <w:marLeft w:val="0"/>
                  <w:marRight w:val="0"/>
                  <w:marTop w:val="0"/>
                  <w:marBottom w:val="0"/>
                  <w:divBdr>
                    <w:top w:val="none" w:sz="0" w:space="0" w:color="auto"/>
                    <w:left w:val="none" w:sz="0" w:space="0" w:color="auto"/>
                    <w:bottom w:val="none" w:sz="0" w:space="0" w:color="auto"/>
                    <w:right w:val="none" w:sz="0" w:space="0" w:color="auto"/>
                  </w:divBdr>
                </w:div>
              </w:divsChild>
            </w:div>
            <w:div w:id="907957496">
              <w:marLeft w:val="0"/>
              <w:marRight w:val="0"/>
              <w:marTop w:val="0"/>
              <w:marBottom w:val="0"/>
              <w:divBdr>
                <w:top w:val="none" w:sz="0" w:space="0" w:color="auto"/>
                <w:left w:val="none" w:sz="0" w:space="0" w:color="auto"/>
                <w:bottom w:val="none" w:sz="0" w:space="0" w:color="auto"/>
                <w:right w:val="none" w:sz="0" w:space="0" w:color="auto"/>
              </w:divBdr>
              <w:divsChild>
                <w:div w:id="1622110791">
                  <w:marLeft w:val="0"/>
                  <w:marRight w:val="0"/>
                  <w:marTop w:val="0"/>
                  <w:marBottom w:val="0"/>
                  <w:divBdr>
                    <w:top w:val="none" w:sz="0" w:space="0" w:color="auto"/>
                    <w:left w:val="none" w:sz="0" w:space="0" w:color="auto"/>
                    <w:bottom w:val="none" w:sz="0" w:space="0" w:color="auto"/>
                    <w:right w:val="none" w:sz="0" w:space="0" w:color="auto"/>
                  </w:divBdr>
                </w:div>
              </w:divsChild>
            </w:div>
            <w:div w:id="910697479">
              <w:marLeft w:val="0"/>
              <w:marRight w:val="0"/>
              <w:marTop w:val="0"/>
              <w:marBottom w:val="0"/>
              <w:divBdr>
                <w:top w:val="none" w:sz="0" w:space="0" w:color="auto"/>
                <w:left w:val="none" w:sz="0" w:space="0" w:color="auto"/>
                <w:bottom w:val="none" w:sz="0" w:space="0" w:color="auto"/>
                <w:right w:val="none" w:sz="0" w:space="0" w:color="auto"/>
              </w:divBdr>
              <w:divsChild>
                <w:div w:id="188184742">
                  <w:marLeft w:val="0"/>
                  <w:marRight w:val="0"/>
                  <w:marTop w:val="0"/>
                  <w:marBottom w:val="0"/>
                  <w:divBdr>
                    <w:top w:val="none" w:sz="0" w:space="0" w:color="auto"/>
                    <w:left w:val="none" w:sz="0" w:space="0" w:color="auto"/>
                    <w:bottom w:val="none" w:sz="0" w:space="0" w:color="auto"/>
                    <w:right w:val="none" w:sz="0" w:space="0" w:color="auto"/>
                  </w:divBdr>
                </w:div>
              </w:divsChild>
            </w:div>
            <w:div w:id="911549518">
              <w:marLeft w:val="0"/>
              <w:marRight w:val="0"/>
              <w:marTop w:val="300"/>
              <w:marBottom w:val="300"/>
              <w:divBdr>
                <w:top w:val="none" w:sz="0" w:space="0" w:color="auto"/>
                <w:left w:val="none" w:sz="0" w:space="0" w:color="auto"/>
                <w:bottom w:val="none" w:sz="0" w:space="0" w:color="auto"/>
                <w:right w:val="none" w:sz="0" w:space="0" w:color="auto"/>
              </w:divBdr>
            </w:div>
            <w:div w:id="913125743">
              <w:marLeft w:val="0"/>
              <w:marRight w:val="0"/>
              <w:marTop w:val="0"/>
              <w:marBottom w:val="0"/>
              <w:divBdr>
                <w:top w:val="none" w:sz="0" w:space="0" w:color="auto"/>
                <w:left w:val="none" w:sz="0" w:space="0" w:color="auto"/>
                <w:bottom w:val="none" w:sz="0" w:space="0" w:color="auto"/>
                <w:right w:val="none" w:sz="0" w:space="0" w:color="auto"/>
              </w:divBdr>
              <w:divsChild>
                <w:div w:id="1333920409">
                  <w:marLeft w:val="0"/>
                  <w:marRight w:val="0"/>
                  <w:marTop w:val="0"/>
                  <w:marBottom w:val="0"/>
                  <w:divBdr>
                    <w:top w:val="none" w:sz="0" w:space="0" w:color="auto"/>
                    <w:left w:val="none" w:sz="0" w:space="0" w:color="auto"/>
                    <w:bottom w:val="none" w:sz="0" w:space="0" w:color="auto"/>
                    <w:right w:val="none" w:sz="0" w:space="0" w:color="auto"/>
                  </w:divBdr>
                </w:div>
              </w:divsChild>
            </w:div>
            <w:div w:id="913776564">
              <w:marLeft w:val="0"/>
              <w:marRight w:val="0"/>
              <w:marTop w:val="0"/>
              <w:marBottom w:val="0"/>
              <w:divBdr>
                <w:top w:val="none" w:sz="0" w:space="0" w:color="auto"/>
                <w:left w:val="none" w:sz="0" w:space="0" w:color="auto"/>
                <w:bottom w:val="none" w:sz="0" w:space="0" w:color="auto"/>
                <w:right w:val="none" w:sz="0" w:space="0" w:color="auto"/>
              </w:divBdr>
              <w:divsChild>
                <w:div w:id="1443502046">
                  <w:marLeft w:val="0"/>
                  <w:marRight w:val="0"/>
                  <w:marTop w:val="0"/>
                  <w:marBottom w:val="0"/>
                  <w:divBdr>
                    <w:top w:val="none" w:sz="0" w:space="0" w:color="auto"/>
                    <w:left w:val="none" w:sz="0" w:space="0" w:color="auto"/>
                    <w:bottom w:val="none" w:sz="0" w:space="0" w:color="auto"/>
                    <w:right w:val="none" w:sz="0" w:space="0" w:color="auto"/>
                  </w:divBdr>
                </w:div>
              </w:divsChild>
            </w:div>
            <w:div w:id="915675660">
              <w:marLeft w:val="0"/>
              <w:marRight w:val="0"/>
              <w:marTop w:val="0"/>
              <w:marBottom w:val="0"/>
              <w:divBdr>
                <w:top w:val="none" w:sz="0" w:space="0" w:color="auto"/>
                <w:left w:val="none" w:sz="0" w:space="0" w:color="auto"/>
                <w:bottom w:val="none" w:sz="0" w:space="0" w:color="auto"/>
                <w:right w:val="none" w:sz="0" w:space="0" w:color="auto"/>
              </w:divBdr>
              <w:divsChild>
                <w:div w:id="234126266">
                  <w:marLeft w:val="0"/>
                  <w:marRight w:val="0"/>
                  <w:marTop w:val="0"/>
                  <w:marBottom w:val="0"/>
                  <w:divBdr>
                    <w:top w:val="none" w:sz="0" w:space="0" w:color="auto"/>
                    <w:left w:val="none" w:sz="0" w:space="0" w:color="auto"/>
                    <w:bottom w:val="none" w:sz="0" w:space="0" w:color="auto"/>
                    <w:right w:val="none" w:sz="0" w:space="0" w:color="auto"/>
                  </w:divBdr>
                </w:div>
              </w:divsChild>
            </w:div>
            <w:div w:id="915749208">
              <w:marLeft w:val="0"/>
              <w:marRight w:val="0"/>
              <w:marTop w:val="0"/>
              <w:marBottom w:val="0"/>
              <w:divBdr>
                <w:top w:val="none" w:sz="0" w:space="0" w:color="auto"/>
                <w:left w:val="none" w:sz="0" w:space="0" w:color="auto"/>
                <w:bottom w:val="none" w:sz="0" w:space="0" w:color="auto"/>
                <w:right w:val="none" w:sz="0" w:space="0" w:color="auto"/>
              </w:divBdr>
              <w:divsChild>
                <w:div w:id="527184661">
                  <w:marLeft w:val="0"/>
                  <w:marRight w:val="0"/>
                  <w:marTop w:val="0"/>
                  <w:marBottom w:val="0"/>
                  <w:divBdr>
                    <w:top w:val="none" w:sz="0" w:space="0" w:color="auto"/>
                    <w:left w:val="none" w:sz="0" w:space="0" w:color="auto"/>
                    <w:bottom w:val="none" w:sz="0" w:space="0" w:color="auto"/>
                    <w:right w:val="none" w:sz="0" w:space="0" w:color="auto"/>
                  </w:divBdr>
                </w:div>
              </w:divsChild>
            </w:div>
            <w:div w:id="916480483">
              <w:marLeft w:val="0"/>
              <w:marRight w:val="0"/>
              <w:marTop w:val="0"/>
              <w:marBottom w:val="0"/>
              <w:divBdr>
                <w:top w:val="none" w:sz="0" w:space="0" w:color="auto"/>
                <w:left w:val="none" w:sz="0" w:space="0" w:color="auto"/>
                <w:bottom w:val="none" w:sz="0" w:space="0" w:color="auto"/>
                <w:right w:val="none" w:sz="0" w:space="0" w:color="auto"/>
              </w:divBdr>
              <w:divsChild>
                <w:div w:id="1407610342">
                  <w:marLeft w:val="0"/>
                  <w:marRight w:val="0"/>
                  <w:marTop w:val="0"/>
                  <w:marBottom w:val="0"/>
                  <w:divBdr>
                    <w:top w:val="none" w:sz="0" w:space="0" w:color="auto"/>
                    <w:left w:val="none" w:sz="0" w:space="0" w:color="auto"/>
                    <w:bottom w:val="none" w:sz="0" w:space="0" w:color="auto"/>
                    <w:right w:val="none" w:sz="0" w:space="0" w:color="auto"/>
                  </w:divBdr>
                </w:div>
              </w:divsChild>
            </w:div>
            <w:div w:id="917636195">
              <w:marLeft w:val="0"/>
              <w:marRight w:val="0"/>
              <w:marTop w:val="0"/>
              <w:marBottom w:val="0"/>
              <w:divBdr>
                <w:top w:val="none" w:sz="0" w:space="0" w:color="auto"/>
                <w:left w:val="none" w:sz="0" w:space="0" w:color="auto"/>
                <w:bottom w:val="none" w:sz="0" w:space="0" w:color="auto"/>
                <w:right w:val="none" w:sz="0" w:space="0" w:color="auto"/>
              </w:divBdr>
              <w:divsChild>
                <w:div w:id="596986830">
                  <w:marLeft w:val="0"/>
                  <w:marRight w:val="0"/>
                  <w:marTop w:val="0"/>
                  <w:marBottom w:val="0"/>
                  <w:divBdr>
                    <w:top w:val="none" w:sz="0" w:space="0" w:color="auto"/>
                    <w:left w:val="none" w:sz="0" w:space="0" w:color="auto"/>
                    <w:bottom w:val="none" w:sz="0" w:space="0" w:color="auto"/>
                    <w:right w:val="none" w:sz="0" w:space="0" w:color="auto"/>
                  </w:divBdr>
                </w:div>
              </w:divsChild>
            </w:div>
            <w:div w:id="918291650">
              <w:marLeft w:val="0"/>
              <w:marRight w:val="0"/>
              <w:marTop w:val="0"/>
              <w:marBottom w:val="0"/>
              <w:divBdr>
                <w:top w:val="none" w:sz="0" w:space="0" w:color="auto"/>
                <w:left w:val="none" w:sz="0" w:space="0" w:color="auto"/>
                <w:bottom w:val="none" w:sz="0" w:space="0" w:color="auto"/>
                <w:right w:val="none" w:sz="0" w:space="0" w:color="auto"/>
              </w:divBdr>
              <w:divsChild>
                <w:div w:id="1312172203">
                  <w:marLeft w:val="0"/>
                  <w:marRight w:val="0"/>
                  <w:marTop w:val="0"/>
                  <w:marBottom w:val="0"/>
                  <w:divBdr>
                    <w:top w:val="none" w:sz="0" w:space="0" w:color="auto"/>
                    <w:left w:val="none" w:sz="0" w:space="0" w:color="auto"/>
                    <w:bottom w:val="none" w:sz="0" w:space="0" w:color="auto"/>
                    <w:right w:val="none" w:sz="0" w:space="0" w:color="auto"/>
                  </w:divBdr>
                </w:div>
              </w:divsChild>
            </w:div>
            <w:div w:id="919676658">
              <w:marLeft w:val="0"/>
              <w:marRight w:val="0"/>
              <w:marTop w:val="0"/>
              <w:marBottom w:val="0"/>
              <w:divBdr>
                <w:top w:val="none" w:sz="0" w:space="0" w:color="auto"/>
                <w:left w:val="none" w:sz="0" w:space="0" w:color="auto"/>
                <w:bottom w:val="none" w:sz="0" w:space="0" w:color="auto"/>
                <w:right w:val="none" w:sz="0" w:space="0" w:color="auto"/>
              </w:divBdr>
              <w:divsChild>
                <w:div w:id="1501264335">
                  <w:marLeft w:val="0"/>
                  <w:marRight w:val="0"/>
                  <w:marTop w:val="0"/>
                  <w:marBottom w:val="0"/>
                  <w:divBdr>
                    <w:top w:val="none" w:sz="0" w:space="0" w:color="auto"/>
                    <w:left w:val="none" w:sz="0" w:space="0" w:color="auto"/>
                    <w:bottom w:val="none" w:sz="0" w:space="0" w:color="auto"/>
                    <w:right w:val="none" w:sz="0" w:space="0" w:color="auto"/>
                  </w:divBdr>
                </w:div>
              </w:divsChild>
            </w:div>
            <w:div w:id="921792885">
              <w:marLeft w:val="0"/>
              <w:marRight w:val="0"/>
              <w:marTop w:val="0"/>
              <w:marBottom w:val="0"/>
              <w:divBdr>
                <w:top w:val="none" w:sz="0" w:space="0" w:color="auto"/>
                <w:left w:val="none" w:sz="0" w:space="0" w:color="auto"/>
                <w:bottom w:val="none" w:sz="0" w:space="0" w:color="auto"/>
                <w:right w:val="none" w:sz="0" w:space="0" w:color="auto"/>
              </w:divBdr>
              <w:divsChild>
                <w:div w:id="102655188">
                  <w:marLeft w:val="0"/>
                  <w:marRight w:val="0"/>
                  <w:marTop w:val="0"/>
                  <w:marBottom w:val="0"/>
                  <w:divBdr>
                    <w:top w:val="none" w:sz="0" w:space="0" w:color="auto"/>
                    <w:left w:val="none" w:sz="0" w:space="0" w:color="auto"/>
                    <w:bottom w:val="none" w:sz="0" w:space="0" w:color="auto"/>
                    <w:right w:val="none" w:sz="0" w:space="0" w:color="auto"/>
                  </w:divBdr>
                </w:div>
              </w:divsChild>
            </w:div>
            <w:div w:id="922300851">
              <w:marLeft w:val="0"/>
              <w:marRight w:val="0"/>
              <w:marTop w:val="0"/>
              <w:marBottom w:val="0"/>
              <w:divBdr>
                <w:top w:val="none" w:sz="0" w:space="0" w:color="auto"/>
                <w:left w:val="none" w:sz="0" w:space="0" w:color="auto"/>
                <w:bottom w:val="none" w:sz="0" w:space="0" w:color="auto"/>
                <w:right w:val="none" w:sz="0" w:space="0" w:color="auto"/>
              </w:divBdr>
              <w:divsChild>
                <w:div w:id="1150513892">
                  <w:marLeft w:val="0"/>
                  <w:marRight w:val="0"/>
                  <w:marTop w:val="0"/>
                  <w:marBottom w:val="0"/>
                  <w:divBdr>
                    <w:top w:val="none" w:sz="0" w:space="0" w:color="auto"/>
                    <w:left w:val="none" w:sz="0" w:space="0" w:color="auto"/>
                    <w:bottom w:val="none" w:sz="0" w:space="0" w:color="auto"/>
                    <w:right w:val="none" w:sz="0" w:space="0" w:color="auto"/>
                  </w:divBdr>
                </w:div>
              </w:divsChild>
            </w:div>
            <w:div w:id="923221988">
              <w:marLeft w:val="0"/>
              <w:marRight w:val="0"/>
              <w:marTop w:val="0"/>
              <w:marBottom w:val="0"/>
              <w:divBdr>
                <w:top w:val="none" w:sz="0" w:space="0" w:color="auto"/>
                <w:left w:val="none" w:sz="0" w:space="0" w:color="auto"/>
                <w:bottom w:val="none" w:sz="0" w:space="0" w:color="auto"/>
                <w:right w:val="none" w:sz="0" w:space="0" w:color="auto"/>
              </w:divBdr>
              <w:divsChild>
                <w:div w:id="691954399">
                  <w:marLeft w:val="0"/>
                  <w:marRight w:val="0"/>
                  <w:marTop w:val="0"/>
                  <w:marBottom w:val="0"/>
                  <w:divBdr>
                    <w:top w:val="none" w:sz="0" w:space="0" w:color="auto"/>
                    <w:left w:val="none" w:sz="0" w:space="0" w:color="auto"/>
                    <w:bottom w:val="none" w:sz="0" w:space="0" w:color="auto"/>
                    <w:right w:val="none" w:sz="0" w:space="0" w:color="auto"/>
                  </w:divBdr>
                </w:div>
              </w:divsChild>
            </w:div>
            <w:div w:id="923538639">
              <w:marLeft w:val="0"/>
              <w:marRight w:val="0"/>
              <w:marTop w:val="0"/>
              <w:marBottom w:val="0"/>
              <w:divBdr>
                <w:top w:val="none" w:sz="0" w:space="0" w:color="auto"/>
                <w:left w:val="none" w:sz="0" w:space="0" w:color="auto"/>
                <w:bottom w:val="none" w:sz="0" w:space="0" w:color="auto"/>
                <w:right w:val="none" w:sz="0" w:space="0" w:color="auto"/>
              </w:divBdr>
              <w:divsChild>
                <w:div w:id="195778080">
                  <w:marLeft w:val="0"/>
                  <w:marRight w:val="0"/>
                  <w:marTop w:val="0"/>
                  <w:marBottom w:val="0"/>
                  <w:divBdr>
                    <w:top w:val="none" w:sz="0" w:space="0" w:color="auto"/>
                    <w:left w:val="none" w:sz="0" w:space="0" w:color="auto"/>
                    <w:bottom w:val="none" w:sz="0" w:space="0" w:color="auto"/>
                    <w:right w:val="none" w:sz="0" w:space="0" w:color="auto"/>
                  </w:divBdr>
                </w:div>
              </w:divsChild>
            </w:div>
            <w:div w:id="925847815">
              <w:marLeft w:val="0"/>
              <w:marRight w:val="0"/>
              <w:marTop w:val="0"/>
              <w:marBottom w:val="0"/>
              <w:divBdr>
                <w:top w:val="none" w:sz="0" w:space="0" w:color="auto"/>
                <w:left w:val="none" w:sz="0" w:space="0" w:color="auto"/>
                <w:bottom w:val="none" w:sz="0" w:space="0" w:color="auto"/>
                <w:right w:val="none" w:sz="0" w:space="0" w:color="auto"/>
              </w:divBdr>
              <w:divsChild>
                <w:div w:id="2020034289">
                  <w:marLeft w:val="0"/>
                  <w:marRight w:val="0"/>
                  <w:marTop w:val="0"/>
                  <w:marBottom w:val="0"/>
                  <w:divBdr>
                    <w:top w:val="none" w:sz="0" w:space="0" w:color="auto"/>
                    <w:left w:val="none" w:sz="0" w:space="0" w:color="auto"/>
                    <w:bottom w:val="none" w:sz="0" w:space="0" w:color="auto"/>
                    <w:right w:val="none" w:sz="0" w:space="0" w:color="auto"/>
                  </w:divBdr>
                </w:div>
              </w:divsChild>
            </w:div>
            <w:div w:id="927008152">
              <w:marLeft w:val="0"/>
              <w:marRight w:val="0"/>
              <w:marTop w:val="0"/>
              <w:marBottom w:val="0"/>
              <w:divBdr>
                <w:top w:val="none" w:sz="0" w:space="0" w:color="auto"/>
                <w:left w:val="none" w:sz="0" w:space="0" w:color="auto"/>
                <w:bottom w:val="none" w:sz="0" w:space="0" w:color="auto"/>
                <w:right w:val="none" w:sz="0" w:space="0" w:color="auto"/>
              </w:divBdr>
              <w:divsChild>
                <w:div w:id="176772524">
                  <w:marLeft w:val="0"/>
                  <w:marRight w:val="0"/>
                  <w:marTop w:val="0"/>
                  <w:marBottom w:val="0"/>
                  <w:divBdr>
                    <w:top w:val="none" w:sz="0" w:space="0" w:color="auto"/>
                    <w:left w:val="none" w:sz="0" w:space="0" w:color="auto"/>
                    <w:bottom w:val="none" w:sz="0" w:space="0" w:color="auto"/>
                    <w:right w:val="none" w:sz="0" w:space="0" w:color="auto"/>
                  </w:divBdr>
                </w:div>
              </w:divsChild>
            </w:div>
            <w:div w:id="927807357">
              <w:marLeft w:val="0"/>
              <w:marRight w:val="0"/>
              <w:marTop w:val="0"/>
              <w:marBottom w:val="0"/>
              <w:divBdr>
                <w:top w:val="none" w:sz="0" w:space="0" w:color="auto"/>
                <w:left w:val="none" w:sz="0" w:space="0" w:color="auto"/>
                <w:bottom w:val="none" w:sz="0" w:space="0" w:color="auto"/>
                <w:right w:val="none" w:sz="0" w:space="0" w:color="auto"/>
              </w:divBdr>
              <w:divsChild>
                <w:div w:id="404764410">
                  <w:marLeft w:val="0"/>
                  <w:marRight w:val="0"/>
                  <w:marTop w:val="0"/>
                  <w:marBottom w:val="0"/>
                  <w:divBdr>
                    <w:top w:val="none" w:sz="0" w:space="0" w:color="auto"/>
                    <w:left w:val="none" w:sz="0" w:space="0" w:color="auto"/>
                    <w:bottom w:val="none" w:sz="0" w:space="0" w:color="auto"/>
                    <w:right w:val="none" w:sz="0" w:space="0" w:color="auto"/>
                  </w:divBdr>
                </w:div>
              </w:divsChild>
            </w:div>
            <w:div w:id="929965850">
              <w:marLeft w:val="0"/>
              <w:marRight w:val="0"/>
              <w:marTop w:val="0"/>
              <w:marBottom w:val="0"/>
              <w:divBdr>
                <w:top w:val="none" w:sz="0" w:space="0" w:color="auto"/>
                <w:left w:val="none" w:sz="0" w:space="0" w:color="auto"/>
                <w:bottom w:val="none" w:sz="0" w:space="0" w:color="auto"/>
                <w:right w:val="none" w:sz="0" w:space="0" w:color="auto"/>
              </w:divBdr>
              <w:divsChild>
                <w:div w:id="1065302999">
                  <w:marLeft w:val="0"/>
                  <w:marRight w:val="0"/>
                  <w:marTop w:val="0"/>
                  <w:marBottom w:val="0"/>
                  <w:divBdr>
                    <w:top w:val="none" w:sz="0" w:space="0" w:color="auto"/>
                    <w:left w:val="none" w:sz="0" w:space="0" w:color="auto"/>
                    <w:bottom w:val="none" w:sz="0" w:space="0" w:color="auto"/>
                    <w:right w:val="none" w:sz="0" w:space="0" w:color="auto"/>
                  </w:divBdr>
                </w:div>
              </w:divsChild>
            </w:div>
            <w:div w:id="930309497">
              <w:marLeft w:val="0"/>
              <w:marRight w:val="0"/>
              <w:marTop w:val="0"/>
              <w:marBottom w:val="0"/>
              <w:divBdr>
                <w:top w:val="none" w:sz="0" w:space="0" w:color="auto"/>
                <w:left w:val="none" w:sz="0" w:space="0" w:color="auto"/>
                <w:bottom w:val="none" w:sz="0" w:space="0" w:color="auto"/>
                <w:right w:val="none" w:sz="0" w:space="0" w:color="auto"/>
              </w:divBdr>
              <w:divsChild>
                <w:div w:id="1265722186">
                  <w:marLeft w:val="0"/>
                  <w:marRight w:val="0"/>
                  <w:marTop w:val="0"/>
                  <w:marBottom w:val="0"/>
                  <w:divBdr>
                    <w:top w:val="none" w:sz="0" w:space="0" w:color="auto"/>
                    <w:left w:val="none" w:sz="0" w:space="0" w:color="auto"/>
                    <w:bottom w:val="none" w:sz="0" w:space="0" w:color="auto"/>
                    <w:right w:val="none" w:sz="0" w:space="0" w:color="auto"/>
                  </w:divBdr>
                </w:div>
              </w:divsChild>
            </w:div>
            <w:div w:id="932006697">
              <w:marLeft w:val="0"/>
              <w:marRight w:val="0"/>
              <w:marTop w:val="300"/>
              <w:marBottom w:val="300"/>
              <w:divBdr>
                <w:top w:val="none" w:sz="0" w:space="0" w:color="auto"/>
                <w:left w:val="none" w:sz="0" w:space="0" w:color="auto"/>
                <w:bottom w:val="none" w:sz="0" w:space="0" w:color="auto"/>
                <w:right w:val="none" w:sz="0" w:space="0" w:color="auto"/>
              </w:divBdr>
            </w:div>
            <w:div w:id="932324555">
              <w:marLeft w:val="0"/>
              <w:marRight w:val="0"/>
              <w:marTop w:val="0"/>
              <w:marBottom w:val="0"/>
              <w:divBdr>
                <w:top w:val="none" w:sz="0" w:space="0" w:color="auto"/>
                <w:left w:val="none" w:sz="0" w:space="0" w:color="auto"/>
                <w:bottom w:val="none" w:sz="0" w:space="0" w:color="auto"/>
                <w:right w:val="none" w:sz="0" w:space="0" w:color="auto"/>
              </w:divBdr>
              <w:divsChild>
                <w:div w:id="1289167409">
                  <w:marLeft w:val="0"/>
                  <w:marRight w:val="0"/>
                  <w:marTop w:val="0"/>
                  <w:marBottom w:val="0"/>
                  <w:divBdr>
                    <w:top w:val="none" w:sz="0" w:space="0" w:color="auto"/>
                    <w:left w:val="none" w:sz="0" w:space="0" w:color="auto"/>
                    <w:bottom w:val="none" w:sz="0" w:space="0" w:color="auto"/>
                    <w:right w:val="none" w:sz="0" w:space="0" w:color="auto"/>
                  </w:divBdr>
                </w:div>
              </w:divsChild>
            </w:div>
            <w:div w:id="932738717">
              <w:marLeft w:val="0"/>
              <w:marRight w:val="0"/>
              <w:marTop w:val="0"/>
              <w:marBottom w:val="0"/>
              <w:divBdr>
                <w:top w:val="none" w:sz="0" w:space="0" w:color="auto"/>
                <w:left w:val="none" w:sz="0" w:space="0" w:color="auto"/>
                <w:bottom w:val="none" w:sz="0" w:space="0" w:color="auto"/>
                <w:right w:val="none" w:sz="0" w:space="0" w:color="auto"/>
              </w:divBdr>
              <w:divsChild>
                <w:div w:id="1181628258">
                  <w:marLeft w:val="0"/>
                  <w:marRight w:val="0"/>
                  <w:marTop w:val="0"/>
                  <w:marBottom w:val="0"/>
                  <w:divBdr>
                    <w:top w:val="none" w:sz="0" w:space="0" w:color="auto"/>
                    <w:left w:val="none" w:sz="0" w:space="0" w:color="auto"/>
                    <w:bottom w:val="none" w:sz="0" w:space="0" w:color="auto"/>
                    <w:right w:val="none" w:sz="0" w:space="0" w:color="auto"/>
                  </w:divBdr>
                </w:div>
              </w:divsChild>
            </w:div>
            <w:div w:id="936250971">
              <w:marLeft w:val="0"/>
              <w:marRight w:val="0"/>
              <w:marTop w:val="300"/>
              <w:marBottom w:val="300"/>
              <w:divBdr>
                <w:top w:val="none" w:sz="0" w:space="0" w:color="auto"/>
                <w:left w:val="none" w:sz="0" w:space="0" w:color="auto"/>
                <w:bottom w:val="none" w:sz="0" w:space="0" w:color="auto"/>
                <w:right w:val="none" w:sz="0" w:space="0" w:color="auto"/>
              </w:divBdr>
            </w:div>
            <w:div w:id="936447820">
              <w:marLeft w:val="0"/>
              <w:marRight w:val="0"/>
              <w:marTop w:val="0"/>
              <w:marBottom w:val="0"/>
              <w:divBdr>
                <w:top w:val="none" w:sz="0" w:space="0" w:color="auto"/>
                <w:left w:val="none" w:sz="0" w:space="0" w:color="auto"/>
                <w:bottom w:val="none" w:sz="0" w:space="0" w:color="auto"/>
                <w:right w:val="none" w:sz="0" w:space="0" w:color="auto"/>
              </w:divBdr>
              <w:divsChild>
                <w:div w:id="1730420646">
                  <w:marLeft w:val="0"/>
                  <w:marRight w:val="0"/>
                  <w:marTop w:val="0"/>
                  <w:marBottom w:val="0"/>
                  <w:divBdr>
                    <w:top w:val="none" w:sz="0" w:space="0" w:color="auto"/>
                    <w:left w:val="none" w:sz="0" w:space="0" w:color="auto"/>
                    <w:bottom w:val="none" w:sz="0" w:space="0" w:color="auto"/>
                    <w:right w:val="none" w:sz="0" w:space="0" w:color="auto"/>
                  </w:divBdr>
                </w:div>
              </w:divsChild>
            </w:div>
            <w:div w:id="939331781">
              <w:marLeft w:val="0"/>
              <w:marRight w:val="0"/>
              <w:marTop w:val="0"/>
              <w:marBottom w:val="0"/>
              <w:divBdr>
                <w:top w:val="none" w:sz="0" w:space="0" w:color="auto"/>
                <w:left w:val="none" w:sz="0" w:space="0" w:color="auto"/>
                <w:bottom w:val="none" w:sz="0" w:space="0" w:color="auto"/>
                <w:right w:val="none" w:sz="0" w:space="0" w:color="auto"/>
              </w:divBdr>
              <w:divsChild>
                <w:div w:id="1330714577">
                  <w:marLeft w:val="0"/>
                  <w:marRight w:val="0"/>
                  <w:marTop w:val="0"/>
                  <w:marBottom w:val="0"/>
                  <w:divBdr>
                    <w:top w:val="none" w:sz="0" w:space="0" w:color="auto"/>
                    <w:left w:val="none" w:sz="0" w:space="0" w:color="auto"/>
                    <w:bottom w:val="none" w:sz="0" w:space="0" w:color="auto"/>
                    <w:right w:val="none" w:sz="0" w:space="0" w:color="auto"/>
                  </w:divBdr>
                </w:div>
              </w:divsChild>
            </w:div>
            <w:div w:id="941113015">
              <w:marLeft w:val="0"/>
              <w:marRight w:val="0"/>
              <w:marTop w:val="0"/>
              <w:marBottom w:val="0"/>
              <w:divBdr>
                <w:top w:val="none" w:sz="0" w:space="0" w:color="auto"/>
                <w:left w:val="none" w:sz="0" w:space="0" w:color="auto"/>
                <w:bottom w:val="none" w:sz="0" w:space="0" w:color="auto"/>
                <w:right w:val="none" w:sz="0" w:space="0" w:color="auto"/>
              </w:divBdr>
              <w:divsChild>
                <w:div w:id="225993810">
                  <w:marLeft w:val="0"/>
                  <w:marRight w:val="0"/>
                  <w:marTop w:val="0"/>
                  <w:marBottom w:val="0"/>
                  <w:divBdr>
                    <w:top w:val="none" w:sz="0" w:space="0" w:color="auto"/>
                    <w:left w:val="none" w:sz="0" w:space="0" w:color="auto"/>
                    <w:bottom w:val="none" w:sz="0" w:space="0" w:color="auto"/>
                    <w:right w:val="none" w:sz="0" w:space="0" w:color="auto"/>
                  </w:divBdr>
                </w:div>
              </w:divsChild>
            </w:div>
            <w:div w:id="941915273">
              <w:marLeft w:val="0"/>
              <w:marRight w:val="0"/>
              <w:marTop w:val="0"/>
              <w:marBottom w:val="0"/>
              <w:divBdr>
                <w:top w:val="none" w:sz="0" w:space="0" w:color="auto"/>
                <w:left w:val="none" w:sz="0" w:space="0" w:color="auto"/>
                <w:bottom w:val="none" w:sz="0" w:space="0" w:color="auto"/>
                <w:right w:val="none" w:sz="0" w:space="0" w:color="auto"/>
              </w:divBdr>
              <w:divsChild>
                <w:div w:id="462311061">
                  <w:marLeft w:val="0"/>
                  <w:marRight w:val="0"/>
                  <w:marTop w:val="0"/>
                  <w:marBottom w:val="0"/>
                  <w:divBdr>
                    <w:top w:val="none" w:sz="0" w:space="0" w:color="auto"/>
                    <w:left w:val="none" w:sz="0" w:space="0" w:color="auto"/>
                    <w:bottom w:val="none" w:sz="0" w:space="0" w:color="auto"/>
                    <w:right w:val="none" w:sz="0" w:space="0" w:color="auto"/>
                  </w:divBdr>
                </w:div>
              </w:divsChild>
            </w:div>
            <w:div w:id="942227802">
              <w:marLeft w:val="0"/>
              <w:marRight w:val="0"/>
              <w:marTop w:val="0"/>
              <w:marBottom w:val="0"/>
              <w:divBdr>
                <w:top w:val="none" w:sz="0" w:space="0" w:color="auto"/>
                <w:left w:val="none" w:sz="0" w:space="0" w:color="auto"/>
                <w:bottom w:val="none" w:sz="0" w:space="0" w:color="auto"/>
                <w:right w:val="none" w:sz="0" w:space="0" w:color="auto"/>
              </w:divBdr>
              <w:divsChild>
                <w:div w:id="787434439">
                  <w:marLeft w:val="0"/>
                  <w:marRight w:val="0"/>
                  <w:marTop w:val="0"/>
                  <w:marBottom w:val="0"/>
                  <w:divBdr>
                    <w:top w:val="none" w:sz="0" w:space="0" w:color="auto"/>
                    <w:left w:val="none" w:sz="0" w:space="0" w:color="auto"/>
                    <w:bottom w:val="none" w:sz="0" w:space="0" w:color="auto"/>
                    <w:right w:val="none" w:sz="0" w:space="0" w:color="auto"/>
                  </w:divBdr>
                </w:div>
              </w:divsChild>
            </w:div>
            <w:div w:id="943465637">
              <w:marLeft w:val="0"/>
              <w:marRight w:val="0"/>
              <w:marTop w:val="0"/>
              <w:marBottom w:val="0"/>
              <w:divBdr>
                <w:top w:val="none" w:sz="0" w:space="0" w:color="auto"/>
                <w:left w:val="none" w:sz="0" w:space="0" w:color="auto"/>
                <w:bottom w:val="none" w:sz="0" w:space="0" w:color="auto"/>
                <w:right w:val="none" w:sz="0" w:space="0" w:color="auto"/>
              </w:divBdr>
              <w:divsChild>
                <w:div w:id="1497726506">
                  <w:marLeft w:val="0"/>
                  <w:marRight w:val="0"/>
                  <w:marTop w:val="0"/>
                  <w:marBottom w:val="0"/>
                  <w:divBdr>
                    <w:top w:val="none" w:sz="0" w:space="0" w:color="auto"/>
                    <w:left w:val="none" w:sz="0" w:space="0" w:color="auto"/>
                    <w:bottom w:val="none" w:sz="0" w:space="0" w:color="auto"/>
                    <w:right w:val="none" w:sz="0" w:space="0" w:color="auto"/>
                  </w:divBdr>
                </w:div>
              </w:divsChild>
            </w:div>
            <w:div w:id="943878852">
              <w:marLeft w:val="0"/>
              <w:marRight w:val="0"/>
              <w:marTop w:val="300"/>
              <w:marBottom w:val="300"/>
              <w:divBdr>
                <w:top w:val="none" w:sz="0" w:space="0" w:color="auto"/>
                <w:left w:val="none" w:sz="0" w:space="0" w:color="auto"/>
                <w:bottom w:val="none" w:sz="0" w:space="0" w:color="auto"/>
                <w:right w:val="none" w:sz="0" w:space="0" w:color="auto"/>
              </w:divBdr>
            </w:div>
            <w:div w:id="945382257">
              <w:marLeft w:val="0"/>
              <w:marRight w:val="0"/>
              <w:marTop w:val="0"/>
              <w:marBottom w:val="0"/>
              <w:divBdr>
                <w:top w:val="none" w:sz="0" w:space="0" w:color="auto"/>
                <w:left w:val="none" w:sz="0" w:space="0" w:color="auto"/>
                <w:bottom w:val="none" w:sz="0" w:space="0" w:color="auto"/>
                <w:right w:val="none" w:sz="0" w:space="0" w:color="auto"/>
              </w:divBdr>
              <w:divsChild>
                <w:div w:id="2130464268">
                  <w:marLeft w:val="0"/>
                  <w:marRight w:val="0"/>
                  <w:marTop w:val="0"/>
                  <w:marBottom w:val="0"/>
                  <w:divBdr>
                    <w:top w:val="none" w:sz="0" w:space="0" w:color="auto"/>
                    <w:left w:val="none" w:sz="0" w:space="0" w:color="auto"/>
                    <w:bottom w:val="none" w:sz="0" w:space="0" w:color="auto"/>
                    <w:right w:val="none" w:sz="0" w:space="0" w:color="auto"/>
                  </w:divBdr>
                </w:div>
              </w:divsChild>
            </w:div>
            <w:div w:id="947733409">
              <w:marLeft w:val="0"/>
              <w:marRight w:val="0"/>
              <w:marTop w:val="0"/>
              <w:marBottom w:val="0"/>
              <w:divBdr>
                <w:top w:val="none" w:sz="0" w:space="0" w:color="auto"/>
                <w:left w:val="none" w:sz="0" w:space="0" w:color="auto"/>
                <w:bottom w:val="none" w:sz="0" w:space="0" w:color="auto"/>
                <w:right w:val="none" w:sz="0" w:space="0" w:color="auto"/>
              </w:divBdr>
              <w:divsChild>
                <w:div w:id="35550137">
                  <w:marLeft w:val="0"/>
                  <w:marRight w:val="0"/>
                  <w:marTop w:val="0"/>
                  <w:marBottom w:val="0"/>
                  <w:divBdr>
                    <w:top w:val="none" w:sz="0" w:space="0" w:color="auto"/>
                    <w:left w:val="none" w:sz="0" w:space="0" w:color="auto"/>
                    <w:bottom w:val="none" w:sz="0" w:space="0" w:color="auto"/>
                    <w:right w:val="none" w:sz="0" w:space="0" w:color="auto"/>
                  </w:divBdr>
                </w:div>
              </w:divsChild>
            </w:div>
            <w:div w:id="948272676">
              <w:marLeft w:val="0"/>
              <w:marRight w:val="0"/>
              <w:marTop w:val="0"/>
              <w:marBottom w:val="0"/>
              <w:divBdr>
                <w:top w:val="none" w:sz="0" w:space="0" w:color="auto"/>
                <w:left w:val="none" w:sz="0" w:space="0" w:color="auto"/>
                <w:bottom w:val="none" w:sz="0" w:space="0" w:color="auto"/>
                <w:right w:val="none" w:sz="0" w:space="0" w:color="auto"/>
              </w:divBdr>
              <w:divsChild>
                <w:div w:id="901718313">
                  <w:marLeft w:val="0"/>
                  <w:marRight w:val="0"/>
                  <w:marTop w:val="0"/>
                  <w:marBottom w:val="0"/>
                  <w:divBdr>
                    <w:top w:val="none" w:sz="0" w:space="0" w:color="auto"/>
                    <w:left w:val="none" w:sz="0" w:space="0" w:color="auto"/>
                    <w:bottom w:val="none" w:sz="0" w:space="0" w:color="auto"/>
                    <w:right w:val="none" w:sz="0" w:space="0" w:color="auto"/>
                  </w:divBdr>
                </w:div>
              </w:divsChild>
            </w:div>
            <w:div w:id="949093517">
              <w:marLeft w:val="0"/>
              <w:marRight w:val="0"/>
              <w:marTop w:val="300"/>
              <w:marBottom w:val="300"/>
              <w:divBdr>
                <w:top w:val="none" w:sz="0" w:space="0" w:color="auto"/>
                <w:left w:val="none" w:sz="0" w:space="0" w:color="auto"/>
                <w:bottom w:val="none" w:sz="0" w:space="0" w:color="auto"/>
                <w:right w:val="none" w:sz="0" w:space="0" w:color="auto"/>
              </w:divBdr>
            </w:div>
            <w:div w:id="949238052">
              <w:marLeft w:val="0"/>
              <w:marRight w:val="0"/>
              <w:marTop w:val="300"/>
              <w:marBottom w:val="300"/>
              <w:divBdr>
                <w:top w:val="none" w:sz="0" w:space="0" w:color="auto"/>
                <w:left w:val="none" w:sz="0" w:space="0" w:color="auto"/>
                <w:bottom w:val="none" w:sz="0" w:space="0" w:color="auto"/>
                <w:right w:val="none" w:sz="0" w:space="0" w:color="auto"/>
              </w:divBdr>
            </w:div>
            <w:div w:id="949244524">
              <w:marLeft w:val="0"/>
              <w:marRight w:val="0"/>
              <w:marTop w:val="0"/>
              <w:marBottom w:val="0"/>
              <w:divBdr>
                <w:top w:val="none" w:sz="0" w:space="0" w:color="auto"/>
                <w:left w:val="none" w:sz="0" w:space="0" w:color="auto"/>
                <w:bottom w:val="none" w:sz="0" w:space="0" w:color="auto"/>
                <w:right w:val="none" w:sz="0" w:space="0" w:color="auto"/>
              </w:divBdr>
              <w:divsChild>
                <w:div w:id="349767061">
                  <w:marLeft w:val="0"/>
                  <w:marRight w:val="0"/>
                  <w:marTop w:val="0"/>
                  <w:marBottom w:val="0"/>
                  <w:divBdr>
                    <w:top w:val="none" w:sz="0" w:space="0" w:color="auto"/>
                    <w:left w:val="none" w:sz="0" w:space="0" w:color="auto"/>
                    <w:bottom w:val="none" w:sz="0" w:space="0" w:color="auto"/>
                    <w:right w:val="none" w:sz="0" w:space="0" w:color="auto"/>
                  </w:divBdr>
                </w:div>
              </w:divsChild>
            </w:div>
            <w:div w:id="950742764">
              <w:marLeft w:val="0"/>
              <w:marRight w:val="0"/>
              <w:marTop w:val="0"/>
              <w:marBottom w:val="0"/>
              <w:divBdr>
                <w:top w:val="none" w:sz="0" w:space="0" w:color="auto"/>
                <w:left w:val="none" w:sz="0" w:space="0" w:color="auto"/>
                <w:bottom w:val="none" w:sz="0" w:space="0" w:color="auto"/>
                <w:right w:val="none" w:sz="0" w:space="0" w:color="auto"/>
              </w:divBdr>
              <w:divsChild>
                <w:div w:id="1378747073">
                  <w:marLeft w:val="0"/>
                  <w:marRight w:val="0"/>
                  <w:marTop w:val="0"/>
                  <w:marBottom w:val="0"/>
                  <w:divBdr>
                    <w:top w:val="none" w:sz="0" w:space="0" w:color="auto"/>
                    <w:left w:val="none" w:sz="0" w:space="0" w:color="auto"/>
                    <w:bottom w:val="none" w:sz="0" w:space="0" w:color="auto"/>
                    <w:right w:val="none" w:sz="0" w:space="0" w:color="auto"/>
                  </w:divBdr>
                </w:div>
              </w:divsChild>
            </w:div>
            <w:div w:id="951789229">
              <w:marLeft w:val="0"/>
              <w:marRight w:val="0"/>
              <w:marTop w:val="300"/>
              <w:marBottom w:val="300"/>
              <w:divBdr>
                <w:top w:val="none" w:sz="0" w:space="0" w:color="auto"/>
                <w:left w:val="none" w:sz="0" w:space="0" w:color="auto"/>
                <w:bottom w:val="none" w:sz="0" w:space="0" w:color="auto"/>
                <w:right w:val="none" w:sz="0" w:space="0" w:color="auto"/>
              </w:divBdr>
            </w:div>
            <w:div w:id="954018958">
              <w:marLeft w:val="0"/>
              <w:marRight w:val="0"/>
              <w:marTop w:val="0"/>
              <w:marBottom w:val="0"/>
              <w:divBdr>
                <w:top w:val="none" w:sz="0" w:space="0" w:color="auto"/>
                <w:left w:val="none" w:sz="0" w:space="0" w:color="auto"/>
                <w:bottom w:val="none" w:sz="0" w:space="0" w:color="auto"/>
                <w:right w:val="none" w:sz="0" w:space="0" w:color="auto"/>
              </w:divBdr>
              <w:divsChild>
                <w:div w:id="593825050">
                  <w:marLeft w:val="0"/>
                  <w:marRight w:val="0"/>
                  <w:marTop w:val="0"/>
                  <w:marBottom w:val="0"/>
                  <w:divBdr>
                    <w:top w:val="none" w:sz="0" w:space="0" w:color="auto"/>
                    <w:left w:val="none" w:sz="0" w:space="0" w:color="auto"/>
                    <w:bottom w:val="none" w:sz="0" w:space="0" w:color="auto"/>
                    <w:right w:val="none" w:sz="0" w:space="0" w:color="auto"/>
                  </w:divBdr>
                </w:div>
              </w:divsChild>
            </w:div>
            <w:div w:id="955794342">
              <w:marLeft w:val="0"/>
              <w:marRight w:val="0"/>
              <w:marTop w:val="0"/>
              <w:marBottom w:val="0"/>
              <w:divBdr>
                <w:top w:val="none" w:sz="0" w:space="0" w:color="auto"/>
                <w:left w:val="none" w:sz="0" w:space="0" w:color="auto"/>
                <w:bottom w:val="none" w:sz="0" w:space="0" w:color="auto"/>
                <w:right w:val="none" w:sz="0" w:space="0" w:color="auto"/>
              </w:divBdr>
              <w:divsChild>
                <w:div w:id="261954600">
                  <w:marLeft w:val="0"/>
                  <w:marRight w:val="0"/>
                  <w:marTop w:val="0"/>
                  <w:marBottom w:val="0"/>
                  <w:divBdr>
                    <w:top w:val="none" w:sz="0" w:space="0" w:color="auto"/>
                    <w:left w:val="none" w:sz="0" w:space="0" w:color="auto"/>
                    <w:bottom w:val="none" w:sz="0" w:space="0" w:color="auto"/>
                    <w:right w:val="none" w:sz="0" w:space="0" w:color="auto"/>
                  </w:divBdr>
                </w:div>
              </w:divsChild>
            </w:div>
            <w:div w:id="956301931">
              <w:marLeft w:val="0"/>
              <w:marRight w:val="0"/>
              <w:marTop w:val="0"/>
              <w:marBottom w:val="0"/>
              <w:divBdr>
                <w:top w:val="none" w:sz="0" w:space="0" w:color="auto"/>
                <w:left w:val="none" w:sz="0" w:space="0" w:color="auto"/>
                <w:bottom w:val="none" w:sz="0" w:space="0" w:color="auto"/>
                <w:right w:val="none" w:sz="0" w:space="0" w:color="auto"/>
              </w:divBdr>
              <w:divsChild>
                <w:div w:id="1917741422">
                  <w:marLeft w:val="0"/>
                  <w:marRight w:val="0"/>
                  <w:marTop w:val="0"/>
                  <w:marBottom w:val="0"/>
                  <w:divBdr>
                    <w:top w:val="none" w:sz="0" w:space="0" w:color="auto"/>
                    <w:left w:val="none" w:sz="0" w:space="0" w:color="auto"/>
                    <w:bottom w:val="none" w:sz="0" w:space="0" w:color="auto"/>
                    <w:right w:val="none" w:sz="0" w:space="0" w:color="auto"/>
                  </w:divBdr>
                </w:div>
              </w:divsChild>
            </w:div>
            <w:div w:id="956717296">
              <w:marLeft w:val="0"/>
              <w:marRight w:val="0"/>
              <w:marTop w:val="0"/>
              <w:marBottom w:val="0"/>
              <w:divBdr>
                <w:top w:val="none" w:sz="0" w:space="0" w:color="auto"/>
                <w:left w:val="none" w:sz="0" w:space="0" w:color="auto"/>
                <w:bottom w:val="none" w:sz="0" w:space="0" w:color="auto"/>
                <w:right w:val="none" w:sz="0" w:space="0" w:color="auto"/>
              </w:divBdr>
              <w:divsChild>
                <w:div w:id="2067219018">
                  <w:marLeft w:val="0"/>
                  <w:marRight w:val="0"/>
                  <w:marTop w:val="0"/>
                  <w:marBottom w:val="0"/>
                  <w:divBdr>
                    <w:top w:val="none" w:sz="0" w:space="0" w:color="auto"/>
                    <w:left w:val="none" w:sz="0" w:space="0" w:color="auto"/>
                    <w:bottom w:val="none" w:sz="0" w:space="0" w:color="auto"/>
                    <w:right w:val="none" w:sz="0" w:space="0" w:color="auto"/>
                  </w:divBdr>
                </w:div>
              </w:divsChild>
            </w:div>
            <w:div w:id="960260080">
              <w:marLeft w:val="0"/>
              <w:marRight w:val="0"/>
              <w:marTop w:val="0"/>
              <w:marBottom w:val="0"/>
              <w:divBdr>
                <w:top w:val="none" w:sz="0" w:space="0" w:color="auto"/>
                <w:left w:val="none" w:sz="0" w:space="0" w:color="auto"/>
                <w:bottom w:val="none" w:sz="0" w:space="0" w:color="auto"/>
                <w:right w:val="none" w:sz="0" w:space="0" w:color="auto"/>
              </w:divBdr>
              <w:divsChild>
                <w:div w:id="2076782019">
                  <w:marLeft w:val="0"/>
                  <w:marRight w:val="0"/>
                  <w:marTop w:val="0"/>
                  <w:marBottom w:val="0"/>
                  <w:divBdr>
                    <w:top w:val="none" w:sz="0" w:space="0" w:color="auto"/>
                    <w:left w:val="none" w:sz="0" w:space="0" w:color="auto"/>
                    <w:bottom w:val="none" w:sz="0" w:space="0" w:color="auto"/>
                    <w:right w:val="none" w:sz="0" w:space="0" w:color="auto"/>
                  </w:divBdr>
                </w:div>
              </w:divsChild>
            </w:div>
            <w:div w:id="960264879">
              <w:marLeft w:val="0"/>
              <w:marRight w:val="0"/>
              <w:marTop w:val="0"/>
              <w:marBottom w:val="0"/>
              <w:divBdr>
                <w:top w:val="none" w:sz="0" w:space="0" w:color="auto"/>
                <w:left w:val="none" w:sz="0" w:space="0" w:color="auto"/>
                <w:bottom w:val="none" w:sz="0" w:space="0" w:color="auto"/>
                <w:right w:val="none" w:sz="0" w:space="0" w:color="auto"/>
              </w:divBdr>
              <w:divsChild>
                <w:div w:id="250899348">
                  <w:marLeft w:val="0"/>
                  <w:marRight w:val="0"/>
                  <w:marTop w:val="0"/>
                  <w:marBottom w:val="0"/>
                  <w:divBdr>
                    <w:top w:val="none" w:sz="0" w:space="0" w:color="auto"/>
                    <w:left w:val="none" w:sz="0" w:space="0" w:color="auto"/>
                    <w:bottom w:val="none" w:sz="0" w:space="0" w:color="auto"/>
                    <w:right w:val="none" w:sz="0" w:space="0" w:color="auto"/>
                  </w:divBdr>
                </w:div>
              </w:divsChild>
            </w:div>
            <w:div w:id="961956883">
              <w:marLeft w:val="0"/>
              <w:marRight w:val="0"/>
              <w:marTop w:val="0"/>
              <w:marBottom w:val="0"/>
              <w:divBdr>
                <w:top w:val="none" w:sz="0" w:space="0" w:color="auto"/>
                <w:left w:val="none" w:sz="0" w:space="0" w:color="auto"/>
                <w:bottom w:val="none" w:sz="0" w:space="0" w:color="auto"/>
                <w:right w:val="none" w:sz="0" w:space="0" w:color="auto"/>
              </w:divBdr>
              <w:divsChild>
                <w:div w:id="596595406">
                  <w:marLeft w:val="0"/>
                  <w:marRight w:val="0"/>
                  <w:marTop w:val="0"/>
                  <w:marBottom w:val="0"/>
                  <w:divBdr>
                    <w:top w:val="none" w:sz="0" w:space="0" w:color="auto"/>
                    <w:left w:val="none" w:sz="0" w:space="0" w:color="auto"/>
                    <w:bottom w:val="none" w:sz="0" w:space="0" w:color="auto"/>
                    <w:right w:val="none" w:sz="0" w:space="0" w:color="auto"/>
                  </w:divBdr>
                </w:div>
              </w:divsChild>
            </w:div>
            <w:div w:id="962227367">
              <w:marLeft w:val="0"/>
              <w:marRight w:val="0"/>
              <w:marTop w:val="0"/>
              <w:marBottom w:val="0"/>
              <w:divBdr>
                <w:top w:val="none" w:sz="0" w:space="0" w:color="auto"/>
                <w:left w:val="none" w:sz="0" w:space="0" w:color="auto"/>
                <w:bottom w:val="none" w:sz="0" w:space="0" w:color="auto"/>
                <w:right w:val="none" w:sz="0" w:space="0" w:color="auto"/>
              </w:divBdr>
              <w:divsChild>
                <w:div w:id="789209253">
                  <w:marLeft w:val="0"/>
                  <w:marRight w:val="0"/>
                  <w:marTop w:val="0"/>
                  <w:marBottom w:val="0"/>
                  <w:divBdr>
                    <w:top w:val="none" w:sz="0" w:space="0" w:color="auto"/>
                    <w:left w:val="none" w:sz="0" w:space="0" w:color="auto"/>
                    <w:bottom w:val="none" w:sz="0" w:space="0" w:color="auto"/>
                    <w:right w:val="none" w:sz="0" w:space="0" w:color="auto"/>
                  </w:divBdr>
                </w:div>
              </w:divsChild>
            </w:div>
            <w:div w:id="963658420">
              <w:marLeft w:val="0"/>
              <w:marRight w:val="0"/>
              <w:marTop w:val="0"/>
              <w:marBottom w:val="0"/>
              <w:divBdr>
                <w:top w:val="none" w:sz="0" w:space="0" w:color="auto"/>
                <w:left w:val="none" w:sz="0" w:space="0" w:color="auto"/>
                <w:bottom w:val="none" w:sz="0" w:space="0" w:color="auto"/>
                <w:right w:val="none" w:sz="0" w:space="0" w:color="auto"/>
              </w:divBdr>
              <w:divsChild>
                <w:div w:id="1736471808">
                  <w:marLeft w:val="0"/>
                  <w:marRight w:val="0"/>
                  <w:marTop w:val="0"/>
                  <w:marBottom w:val="0"/>
                  <w:divBdr>
                    <w:top w:val="none" w:sz="0" w:space="0" w:color="auto"/>
                    <w:left w:val="none" w:sz="0" w:space="0" w:color="auto"/>
                    <w:bottom w:val="none" w:sz="0" w:space="0" w:color="auto"/>
                    <w:right w:val="none" w:sz="0" w:space="0" w:color="auto"/>
                  </w:divBdr>
                </w:div>
              </w:divsChild>
            </w:div>
            <w:div w:id="964459668">
              <w:marLeft w:val="0"/>
              <w:marRight w:val="0"/>
              <w:marTop w:val="300"/>
              <w:marBottom w:val="300"/>
              <w:divBdr>
                <w:top w:val="none" w:sz="0" w:space="0" w:color="auto"/>
                <w:left w:val="none" w:sz="0" w:space="0" w:color="auto"/>
                <w:bottom w:val="none" w:sz="0" w:space="0" w:color="auto"/>
                <w:right w:val="none" w:sz="0" w:space="0" w:color="auto"/>
              </w:divBdr>
            </w:div>
            <w:div w:id="965354123">
              <w:marLeft w:val="0"/>
              <w:marRight w:val="0"/>
              <w:marTop w:val="0"/>
              <w:marBottom w:val="0"/>
              <w:divBdr>
                <w:top w:val="none" w:sz="0" w:space="0" w:color="auto"/>
                <w:left w:val="none" w:sz="0" w:space="0" w:color="auto"/>
                <w:bottom w:val="none" w:sz="0" w:space="0" w:color="auto"/>
                <w:right w:val="none" w:sz="0" w:space="0" w:color="auto"/>
              </w:divBdr>
              <w:divsChild>
                <w:div w:id="315040528">
                  <w:marLeft w:val="0"/>
                  <w:marRight w:val="0"/>
                  <w:marTop w:val="0"/>
                  <w:marBottom w:val="0"/>
                  <w:divBdr>
                    <w:top w:val="none" w:sz="0" w:space="0" w:color="auto"/>
                    <w:left w:val="none" w:sz="0" w:space="0" w:color="auto"/>
                    <w:bottom w:val="none" w:sz="0" w:space="0" w:color="auto"/>
                    <w:right w:val="none" w:sz="0" w:space="0" w:color="auto"/>
                  </w:divBdr>
                </w:div>
              </w:divsChild>
            </w:div>
            <w:div w:id="965626718">
              <w:marLeft w:val="0"/>
              <w:marRight w:val="0"/>
              <w:marTop w:val="300"/>
              <w:marBottom w:val="300"/>
              <w:divBdr>
                <w:top w:val="none" w:sz="0" w:space="0" w:color="auto"/>
                <w:left w:val="none" w:sz="0" w:space="0" w:color="auto"/>
                <w:bottom w:val="none" w:sz="0" w:space="0" w:color="auto"/>
                <w:right w:val="none" w:sz="0" w:space="0" w:color="auto"/>
              </w:divBdr>
            </w:div>
            <w:div w:id="966544854">
              <w:marLeft w:val="0"/>
              <w:marRight w:val="0"/>
              <w:marTop w:val="0"/>
              <w:marBottom w:val="0"/>
              <w:divBdr>
                <w:top w:val="none" w:sz="0" w:space="0" w:color="auto"/>
                <w:left w:val="none" w:sz="0" w:space="0" w:color="auto"/>
                <w:bottom w:val="none" w:sz="0" w:space="0" w:color="auto"/>
                <w:right w:val="none" w:sz="0" w:space="0" w:color="auto"/>
              </w:divBdr>
              <w:divsChild>
                <w:div w:id="1245796880">
                  <w:marLeft w:val="0"/>
                  <w:marRight w:val="0"/>
                  <w:marTop w:val="0"/>
                  <w:marBottom w:val="0"/>
                  <w:divBdr>
                    <w:top w:val="none" w:sz="0" w:space="0" w:color="auto"/>
                    <w:left w:val="none" w:sz="0" w:space="0" w:color="auto"/>
                    <w:bottom w:val="none" w:sz="0" w:space="0" w:color="auto"/>
                    <w:right w:val="none" w:sz="0" w:space="0" w:color="auto"/>
                  </w:divBdr>
                </w:div>
              </w:divsChild>
            </w:div>
            <w:div w:id="966735472">
              <w:marLeft w:val="0"/>
              <w:marRight w:val="0"/>
              <w:marTop w:val="0"/>
              <w:marBottom w:val="0"/>
              <w:divBdr>
                <w:top w:val="none" w:sz="0" w:space="0" w:color="auto"/>
                <w:left w:val="none" w:sz="0" w:space="0" w:color="auto"/>
                <w:bottom w:val="none" w:sz="0" w:space="0" w:color="auto"/>
                <w:right w:val="none" w:sz="0" w:space="0" w:color="auto"/>
              </w:divBdr>
              <w:divsChild>
                <w:div w:id="2081171991">
                  <w:marLeft w:val="0"/>
                  <w:marRight w:val="0"/>
                  <w:marTop w:val="0"/>
                  <w:marBottom w:val="0"/>
                  <w:divBdr>
                    <w:top w:val="none" w:sz="0" w:space="0" w:color="auto"/>
                    <w:left w:val="none" w:sz="0" w:space="0" w:color="auto"/>
                    <w:bottom w:val="none" w:sz="0" w:space="0" w:color="auto"/>
                    <w:right w:val="none" w:sz="0" w:space="0" w:color="auto"/>
                  </w:divBdr>
                </w:div>
              </w:divsChild>
            </w:div>
            <w:div w:id="968709157">
              <w:marLeft w:val="0"/>
              <w:marRight w:val="0"/>
              <w:marTop w:val="0"/>
              <w:marBottom w:val="0"/>
              <w:divBdr>
                <w:top w:val="none" w:sz="0" w:space="0" w:color="auto"/>
                <w:left w:val="none" w:sz="0" w:space="0" w:color="auto"/>
                <w:bottom w:val="none" w:sz="0" w:space="0" w:color="auto"/>
                <w:right w:val="none" w:sz="0" w:space="0" w:color="auto"/>
              </w:divBdr>
              <w:divsChild>
                <w:div w:id="1776172011">
                  <w:marLeft w:val="0"/>
                  <w:marRight w:val="0"/>
                  <w:marTop w:val="0"/>
                  <w:marBottom w:val="0"/>
                  <w:divBdr>
                    <w:top w:val="none" w:sz="0" w:space="0" w:color="auto"/>
                    <w:left w:val="none" w:sz="0" w:space="0" w:color="auto"/>
                    <w:bottom w:val="none" w:sz="0" w:space="0" w:color="auto"/>
                    <w:right w:val="none" w:sz="0" w:space="0" w:color="auto"/>
                  </w:divBdr>
                </w:div>
              </w:divsChild>
            </w:div>
            <w:div w:id="969285826">
              <w:marLeft w:val="0"/>
              <w:marRight w:val="0"/>
              <w:marTop w:val="0"/>
              <w:marBottom w:val="0"/>
              <w:divBdr>
                <w:top w:val="none" w:sz="0" w:space="0" w:color="auto"/>
                <w:left w:val="none" w:sz="0" w:space="0" w:color="auto"/>
                <w:bottom w:val="none" w:sz="0" w:space="0" w:color="auto"/>
                <w:right w:val="none" w:sz="0" w:space="0" w:color="auto"/>
              </w:divBdr>
              <w:divsChild>
                <w:div w:id="376441805">
                  <w:marLeft w:val="0"/>
                  <w:marRight w:val="0"/>
                  <w:marTop w:val="0"/>
                  <w:marBottom w:val="0"/>
                  <w:divBdr>
                    <w:top w:val="none" w:sz="0" w:space="0" w:color="auto"/>
                    <w:left w:val="none" w:sz="0" w:space="0" w:color="auto"/>
                    <w:bottom w:val="none" w:sz="0" w:space="0" w:color="auto"/>
                    <w:right w:val="none" w:sz="0" w:space="0" w:color="auto"/>
                  </w:divBdr>
                </w:div>
              </w:divsChild>
            </w:div>
            <w:div w:id="969358934">
              <w:marLeft w:val="0"/>
              <w:marRight w:val="0"/>
              <w:marTop w:val="0"/>
              <w:marBottom w:val="0"/>
              <w:divBdr>
                <w:top w:val="none" w:sz="0" w:space="0" w:color="auto"/>
                <w:left w:val="none" w:sz="0" w:space="0" w:color="auto"/>
                <w:bottom w:val="none" w:sz="0" w:space="0" w:color="auto"/>
                <w:right w:val="none" w:sz="0" w:space="0" w:color="auto"/>
              </w:divBdr>
              <w:divsChild>
                <w:div w:id="203638020">
                  <w:marLeft w:val="0"/>
                  <w:marRight w:val="0"/>
                  <w:marTop w:val="0"/>
                  <w:marBottom w:val="0"/>
                  <w:divBdr>
                    <w:top w:val="none" w:sz="0" w:space="0" w:color="auto"/>
                    <w:left w:val="none" w:sz="0" w:space="0" w:color="auto"/>
                    <w:bottom w:val="none" w:sz="0" w:space="0" w:color="auto"/>
                    <w:right w:val="none" w:sz="0" w:space="0" w:color="auto"/>
                  </w:divBdr>
                </w:div>
              </w:divsChild>
            </w:div>
            <w:div w:id="971793499">
              <w:marLeft w:val="0"/>
              <w:marRight w:val="0"/>
              <w:marTop w:val="0"/>
              <w:marBottom w:val="0"/>
              <w:divBdr>
                <w:top w:val="none" w:sz="0" w:space="0" w:color="auto"/>
                <w:left w:val="none" w:sz="0" w:space="0" w:color="auto"/>
                <w:bottom w:val="none" w:sz="0" w:space="0" w:color="auto"/>
                <w:right w:val="none" w:sz="0" w:space="0" w:color="auto"/>
              </w:divBdr>
              <w:divsChild>
                <w:div w:id="613288712">
                  <w:marLeft w:val="0"/>
                  <w:marRight w:val="0"/>
                  <w:marTop w:val="0"/>
                  <w:marBottom w:val="0"/>
                  <w:divBdr>
                    <w:top w:val="none" w:sz="0" w:space="0" w:color="auto"/>
                    <w:left w:val="none" w:sz="0" w:space="0" w:color="auto"/>
                    <w:bottom w:val="none" w:sz="0" w:space="0" w:color="auto"/>
                    <w:right w:val="none" w:sz="0" w:space="0" w:color="auto"/>
                  </w:divBdr>
                </w:div>
              </w:divsChild>
            </w:div>
            <w:div w:id="972636779">
              <w:marLeft w:val="0"/>
              <w:marRight w:val="0"/>
              <w:marTop w:val="0"/>
              <w:marBottom w:val="0"/>
              <w:divBdr>
                <w:top w:val="none" w:sz="0" w:space="0" w:color="auto"/>
                <w:left w:val="none" w:sz="0" w:space="0" w:color="auto"/>
                <w:bottom w:val="none" w:sz="0" w:space="0" w:color="auto"/>
                <w:right w:val="none" w:sz="0" w:space="0" w:color="auto"/>
              </w:divBdr>
              <w:divsChild>
                <w:div w:id="578832384">
                  <w:marLeft w:val="0"/>
                  <w:marRight w:val="0"/>
                  <w:marTop w:val="0"/>
                  <w:marBottom w:val="0"/>
                  <w:divBdr>
                    <w:top w:val="none" w:sz="0" w:space="0" w:color="auto"/>
                    <w:left w:val="none" w:sz="0" w:space="0" w:color="auto"/>
                    <w:bottom w:val="none" w:sz="0" w:space="0" w:color="auto"/>
                    <w:right w:val="none" w:sz="0" w:space="0" w:color="auto"/>
                  </w:divBdr>
                </w:div>
              </w:divsChild>
            </w:div>
            <w:div w:id="972829601">
              <w:marLeft w:val="0"/>
              <w:marRight w:val="0"/>
              <w:marTop w:val="0"/>
              <w:marBottom w:val="0"/>
              <w:divBdr>
                <w:top w:val="none" w:sz="0" w:space="0" w:color="auto"/>
                <w:left w:val="none" w:sz="0" w:space="0" w:color="auto"/>
                <w:bottom w:val="none" w:sz="0" w:space="0" w:color="auto"/>
                <w:right w:val="none" w:sz="0" w:space="0" w:color="auto"/>
              </w:divBdr>
              <w:divsChild>
                <w:div w:id="520824336">
                  <w:marLeft w:val="0"/>
                  <w:marRight w:val="0"/>
                  <w:marTop w:val="0"/>
                  <w:marBottom w:val="0"/>
                  <w:divBdr>
                    <w:top w:val="none" w:sz="0" w:space="0" w:color="auto"/>
                    <w:left w:val="none" w:sz="0" w:space="0" w:color="auto"/>
                    <w:bottom w:val="none" w:sz="0" w:space="0" w:color="auto"/>
                    <w:right w:val="none" w:sz="0" w:space="0" w:color="auto"/>
                  </w:divBdr>
                </w:div>
              </w:divsChild>
            </w:div>
            <w:div w:id="975255118">
              <w:marLeft w:val="0"/>
              <w:marRight w:val="0"/>
              <w:marTop w:val="0"/>
              <w:marBottom w:val="0"/>
              <w:divBdr>
                <w:top w:val="none" w:sz="0" w:space="0" w:color="auto"/>
                <w:left w:val="none" w:sz="0" w:space="0" w:color="auto"/>
                <w:bottom w:val="none" w:sz="0" w:space="0" w:color="auto"/>
                <w:right w:val="none" w:sz="0" w:space="0" w:color="auto"/>
              </w:divBdr>
              <w:divsChild>
                <w:div w:id="1298955187">
                  <w:marLeft w:val="0"/>
                  <w:marRight w:val="0"/>
                  <w:marTop w:val="0"/>
                  <w:marBottom w:val="0"/>
                  <w:divBdr>
                    <w:top w:val="none" w:sz="0" w:space="0" w:color="auto"/>
                    <w:left w:val="none" w:sz="0" w:space="0" w:color="auto"/>
                    <w:bottom w:val="none" w:sz="0" w:space="0" w:color="auto"/>
                    <w:right w:val="none" w:sz="0" w:space="0" w:color="auto"/>
                  </w:divBdr>
                </w:div>
              </w:divsChild>
            </w:div>
            <w:div w:id="975716599">
              <w:marLeft w:val="0"/>
              <w:marRight w:val="0"/>
              <w:marTop w:val="0"/>
              <w:marBottom w:val="0"/>
              <w:divBdr>
                <w:top w:val="none" w:sz="0" w:space="0" w:color="auto"/>
                <w:left w:val="none" w:sz="0" w:space="0" w:color="auto"/>
                <w:bottom w:val="none" w:sz="0" w:space="0" w:color="auto"/>
                <w:right w:val="none" w:sz="0" w:space="0" w:color="auto"/>
              </w:divBdr>
              <w:divsChild>
                <w:div w:id="885457982">
                  <w:marLeft w:val="0"/>
                  <w:marRight w:val="0"/>
                  <w:marTop w:val="0"/>
                  <w:marBottom w:val="0"/>
                  <w:divBdr>
                    <w:top w:val="none" w:sz="0" w:space="0" w:color="auto"/>
                    <w:left w:val="none" w:sz="0" w:space="0" w:color="auto"/>
                    <w:bottom w:val="none" w:sz="0" w:space="0" w:color="auto"/>
                    <w:right w:val="none" w:sz="0" w:space="0" w:color="auto"/>
                  </w:divBdr>
                </w:div>
              </w:divsChild>
            </w:div>
            <w:div w:id="978145694">
              <w:marLeft w:val="0"/>
              <w:marRight w:val="0"/>
              <w:marTop w:val="0"/>
              <w:marBottom w:val="0"/>
              <w:divBdr>
                <w:top w:val="none" w:sz="0" w:space="0" w:color="auto"/>
                <w:left w:val="none" w:sz="0" w:space="0" w:color="auto"/>
                <w:bottom w:val="none" w:sz="0" w:space="0" w:color="auto"/>
                <w:right w:val="none" w:sz="0" w:space="0" w:color="auto"/>
              </w:divBdr>
              <w:divsChild>
                <w:div w:id="396632651">
                  <w:marLeft w:val="0"/>
                  <w:marRight w:val="0"/>
                  <w:marTop w:val="0"/>
                  <w:marBottom w:val="0"/>
                  <w:divBdr>
                    <w:top w:val="none" w:sz="0" w:space="0" w:color="auto"/>
                    <w:left w:val="none" w:sz="0" w:space="0" w:color="auto"/>
                    <w:bottom w:val="none" w:sz="0" w:space="0" w:color="auto"/>
                    <w:right w:val="none" w:sz="0" w:space="0" w:color="auto"/>
                  </w:divBdr>
                </w:div>
              </w:divsChild>
            </w:div>
            <w:div w:id="978340937">
              <w:marLeft w:val="0"/>
              <w:marRight w:val="0"/>
              <w:marTop w:val="0"/>
              <w:marBottom w:val="0"/>
              <w:divBdr>
                <w:top w:val="none" w:sz="0" w:space="0" w:color="auto"/>
                <w:left w:val="none" w:sz="0" w:space="0" w:color="auto"/>
                <w:bottom w:val="none" w:sz="0" w:space="0" w:color="auto"/>
                <w:right w:val="none" w:sz="0" w:space="0" w:color="auto"/>
              </w:divBdr>
              <w:divsChild>
                <w:div w:id="142551555">
                  <w:marLeft w:val="0"/>
                  <w:marRight w:val="0"/>
                  <w:marTop w:val="0"/>
                  <w:marBottom w:val="0"/>
                  <w:divBdr>
                    <w:top w:val="none" w:sz="0" w:space="0" w:color="auto"/>
                    <w:left w:val="none" w:sz="0" w:space="0" w:color="auto"/>
                    <w:bottom w:val="none" w:sz="0" w:space="0" w:color="auto"/>
                    <w:right w:val="none" w:sz="0" w:space="0" w:color="auto"/>
                  </w:divBdr>
                </w:div>
              </w:divsChild>
            </w:div>
            <w:div w:id="979000299">
              <w:marLeft w:val="0"/>
              <w:marRight w:val="0"/>
              <w:marTop w:val="0"/>
              <w:marBottom w:val="0"/>
              <w:divBdr>
                <w:top w:val="none" w:sz="0" w:space="0" w:color="auto"/>
                <w:left w:val="none" w:sz="0" w:space="0" w:color="auto"/>
                <w:bottom w:val="none" w:sz="0" w:space="0" w:color="auto"/>
                <w:right w:val="none" w:sz="0" w:space="0" w:color="auto"/>
              </w:divBdr>
              <w:divsChild>
                <w:div w:id="1775981071">
                  <w:marLeft w:val="0"/>
                  <w:marRight w:val="0"/>
                  <w:marTop w:val="0"/>
                  <w:marBottom w:val="0"/>
                  <w:divBdr>
                    <w:top w:val="none" w:sz="0" w:space="0" w:color="auto"/>
                    <w:left w:val="none" w:sz="0" w:space="0" w:color="auto"/>
                    <w:bottom w:val="none" w:sz="0" w:space="0" w:color="auto"/>
                    <w:right w:val="none" w:sz="0" w:space="0" w:color="auto"/>
                  </w:divBdr>
                </w:div>
              </w:divsChild>
            </w:div>
            <w:div w:id="980377959">
              <w:marLeft w:val="0"/>
              <w:marRight w:val="0"/>
              <w:marTop w:val="0"/>
              <w:marBottom w:val="0"/>
              <w:divBdr>
                <w:top w:val="none" w:sz="0" w:space="0" w:color="auto"/>
                <w:left w:val="none" w:sz="0" w:space="0" w:color="auto"/>
                <w:bottom w:val="none" w:sz="0" w:space="0" w:color="auto"/>
                <w:right w:val="none" w:sz="0" w:space="0" w:color="auto"/>
              </w:divBdr>
              <w:divsChild>
                <w:div w:id="1778985294">
                  <w:marLeft w:val="0"/>
                  <w:marRight w:val="0"/>
                  <w:marTop w:val="0"/>
                  <w:marBottom w:val="0"/>
                  <w:divBdr>
                    <w:top w:val="none" w:sz="0" w:space="0" w:color="auto"/>
                    <w:left w:val="none" w:sz="0" w:space="0" w:color="auto"/>
                    <w:bottom w:val="none" w:sz="0" w:space="0" w:color="auto"/>
                    <w:right w:val="none" w:sz="0" w:space="0" w:color="auto"/>
                  </w:divBdr>
                </w:div>
              </w:divsChild>
            </w:div>
            <w:div w:id="980764575">
              <w:marLeft w:val="0"/>
              <w:marRight w:val="0"/>
              <w:marTop w:val="300"/>
              <w:marBottom w:val="300"/>
              <w:divBdr>
                <w:top w:val="none" w:sz="0" w:space="0" w:color="auto"/>
                <w:left w:val="none" w:sz="0" w:space="0" w:color="auto"/>
                <w:bottom w:val="none" w:sz="0" w:space="0" w:color="auto"/>
                <w:right w:val="none" w:sz="0" w:space="0" w:color="auto"/>
              </w:divBdr>
            </w:div>
            <w:div w:id="980843227">
              <w:marLeft w:val="0"/>
              <w:marRight w:val="0"/>
              <w:marTop w:val="0"/>
              <w:marBottom w:val="0"/>
              <w:divBdr>
                <w:top w:val="none" w:sz="0" w:space="0" w:color="auto"/>
                <w:left w:val="none" w:sz="0" w:space="0" w:color="auto"/>
                <w:bottom w:val="none" w:sz="0" w:space="0" w:color="auto"/>
                <w:right w:val="none" w:sz="0" w:space="0" w:color="auto"/>
              </w:divBdr>
              <w:divsChild>
                <w:div w:id="1934975761">
                  <w:marLeft w:val="0"/>
                  <w:marRight w:val="0"/>
                  <w:marTop w:val="0"/>
                  <w:marBottom w:val="0"/>
                  <w:divBdr>
                    <w:top w:val="none" w:sz="0" w:space="0" w:color="auto"/>
                    <w:left w:val="none" w:sz="0" w:space="0" w:color="auto"/>
                    <w:bottom w:val="none" w:sz="0" w:space="0" w:color="auto"/>
                    <w:right w:val="none" w:sz="0" w:space="0" w:color="auto"/>
                  </w:divBdr>
                </w:div>
              </w:divsChild>
            </w:div>
            <w:div w:id="981691968">
              <w:marLeft w:val="0"/>
              <w:marRight w:val="0"/>
              <w:marTop w:val="0"/>
              <w:marBottom w:val="0"/>
              <w:divBdr>
                <w:top w:val="none" w:sz="0" w:space="0" w:color="auto"/>
                <w:left w:val="none" w:sz="0" w:space="0" w:color="auto"/>
                <w:bottom w:val="none" w:sz="0" w:space="0" w:color="auto"/>
                <w:right w:val="none" w:sz="0" w:space="0" w:color="auto"/>
              </w:divBdr>
              <w:divsChild>
                <w:div w:id="1609771099">
                  <w:marLeft w:val="0"/>
                  <w:marRight w:val="0"/>
                  <w:marTop w:val="0"/>
                  <w:marBottom w:val="0"/>
                  <w:divBdr>
                    <w:top w:val="none" w:sz="0" w:space="0" w:color="auto"/>
                    <w:left w:val="none" w:sz="0" w:space="0" w:color="auto"/>
                    <w:bottom w:val="none" w:sz="0" w:space="0" w:color="auto"/>
                    <w:right w:val="none" w:sz="0" w:space="0" w:color="auto"/>
                  </w:divBdr>
                </w:div>
              </w:divsChild>
            </w:div>
            <w:div w:id="984969851">
              <w:marLeft w:val="0"/>
              <w:marRight w:val="0"/>
              <w:marTop w:val="0"/>
              <w:marBottom w:val="0"/>
              <w:divBdr>
                <w:top w:val="none" w:sz="0" w:space="0" w:color="auto"/>
                <w:left w:val="none" w:sz="0" w:space="0" w:color="auto"/>
                <w:bottom w:val="none" w:sz="0" w:space="0" w:color="auto"/>
                <w:right w:val="none" w:sz="0" w:space="0" w:color="auto"/>
              </w:divBdr>
              <w:divsChild>
                <w:div w:id="1530223711">
                  <w:marLeft w:val="0"/>
                  <w:marRight w:val="0"/>
                  <w:marTop w:val="0"/>
                  <w:marBottom w:val="0"/>
                  <w:divBdr>
                    <w:top w:val="none" w:sz="0" w:space="0" w:color="auto"/>
                    <w:left w:val="none" w:sz="0" w:space="0" w:color="auto"/>
                    <w:bottom w:val="none" w:sz="0" w:space="0" w:color="auto"/>
                    <w:right w:val="none" w:sz="0" w:space="0" w:color="auto"/>
                  </w:divBdr>
                </w:div>
              </w:divsChild>
            </w:div>
            <w:div w:id="986739110">
              <w:marLeft w:val="0"/>
              <w:marRight w:val="0"/>
              <w:marTop w:val="0"/>
              <w:marBottom w:val="0"/>
              <w:divBdr>
                <w:top w:val="none" w:sz="0" w:space="0" w:color="auto"/>
                <w:left w:val="none" w:sz="0" w:space="0" w:color="auto"/>
                <w:bottom w:val="none" w:sz="0" w:space="0" w:color="auto"/>
                <w:right w:val="none" w:sz="0" w:space="0" w:color="auto"/>
              </w:divBdr>
              <w:divsChild>
                <w:div w:id="915355536">
                  <w:marLeft w:val="0"/>
                  <w:marRight w:val="0"/>
                  <w:marTop w:val="0"/>
                  <w:marBottom w:val="0"/>
                  <w:divBdr>
                    <w:top w:val="none" w:sz="0" w:space="0" w:color="auto"/>
                    <w:left w:val="none" w:sz="0" w:space="0" w:color="auto"/>
                    <w:bottom w:val="none" w:sz="0" w:space="0" w:color="auto"/>
                    <w:right w:val="none" w:sz="0" w:space="0" w:color="auto"/>
                  </w:divBdr>
                </w:div>
              </w:divsChild>
            </w:div>
            <w:div w:id="986973506">
              <w:marLeft w:val="0"/>
              <w:marRight w:val="0"/>
              <w:marTop w:val="0"/>
              <w:marBottom w:val="0"/>
              <w:divBdr>
                <w:top w:val="none" w:sz="0" w:space="0" w:color="auto"/>
                <w:left w:val="none" w:sz="0" w:space="0" w:color="auto"/>
                <w:bottom w:val="none" w:sz="0" w:space="0" w:color="auto"/>
                <w:right w:val="none" w:sz="0" w:space="0" w:color="auto"/>
              </w:divBdr>
              <w:divsChild>
                <w:div w:id="1498299785">
                  <w:marLeft w:val="0"/>
                  <w:marRight w:val="0"/>
                  <w:marTop w:val="0"/>
                  <w:marBottom w:val="0"/>
                  <w:divBdr>
                    <w:top w:val="none" w:sz="0" w:space="0" w:color="auto"/>
                    <w:left w:val="none" w:sz="0" w:space="0" w:color="auto"/>
                    <w:bottom w:val="none" w:sz="0" w:space="0" w:color="auto"/>
                    <w:right w:val="none" w:sz="0" w:space="0" w:color="auto"/>
                  </w:divBdr>
                </w:div>
              </w:divsChild>
            </w:div>
            <w:div w:id="987248437">
              <w:marLeft w:val="0"/>
              <w:marRight w:val="0"/>
              <w:marTop w:val="0"/>
              <w:marBottom w:val="0"/>
              <w:divBdr>
                <w:top w:val="none" w:sz="0" w:space="0" w:color="auto"/>
                <w:left w:val="none" w:sz="0" w:space="0" w:color="auto"/>
                <w:bottom w:val="none" w:sz="0" w:space="0" w:color="auto"/>
                <w:right w:val="none" w:sz="0" w:space="0" w:color="auto"/>
              </w:divBdr>
              <w:divsChild>
                <w:div w:id="1872717899">
                  <w:marLeft w:val="0"/>
                  <w:marRight w:val="0"/>
                  <w:marTop w:val="0"/>
                  <w:marBottom w:val="0"/>
                  <w:divBdr>
                    <w:top w:val="none" w:sz="0" w:space="0" w:color="auto"/>
                    <w:left w:val="none" w:sz="0" w:space="0" w:color="auto"/>
                    <w:bottom w:val="none" w:sz="0" w:space="0" w:color="auto"/>
                    <w:right w:val="none" w:sz="0" w:space="0" w:color="auto"/>
                  </w:divBdr>
                </w:div>
              </w:divsChild>
            </w:div>
            <w:div w:id="989092884">
              <w:marLeft w:val="0"/>
              <w:marRight w:val="0"/>
              <w:marTop w:val="0"/>
              <w:marBottom w:val="0"/>
              <w:divBdr>
                <w:top w:val="none" w:sz="0" w:space="0" w:color="auto"/>
                <w:left w:val="none" w:sz="0" w:space="0" w:color="auto"/>
                <w:bottom w:val="none" w:sz="0" w:space="0" w:color="auto"/>
                <w:right w:val="none" w:sz="0" w:space="0" w:color="auto"/>
              </w:divBdr>
              <w:divsChild>
                <w:div w:id="802888971">
                  <w:marLeft w:val="0"/>
                  <w:marRight w:val="0"/>
                  <w:marTop w:val="0"/>
                  <w:marBottom w:val="0"/>
                  <w:divBdr>
                    <w:top w:val="none" w:sz="0" w:space="0" w:color="auto"/>
                    <w:left w:val="none" w:sz="0" w:space="0" w:color="auto"/>
                    <w:bottom w:val="none" w:sz="0" w:space="0" w:color="auto"/>
                    <w:right w:val="none" w:sz="0" w:space="0" w:color="auto"/>
                  </w:divBdr>
                </w:div>
              </w:divsChild>
            </w:div>
            <w:div w:id="990864827">
              <w:marLeft w:val="0"/>
              <w:marRight w:val="0"/>
              <w:marTop w:val="0"/>
              <w:marBottom w:val="0"/>
              <w:divBdr>
                <w:top w:val="none" w:sz="0" w:space="0" w:color="auto"/>
                <w:left w:val="none" w:sz="0" w:space="0" w:color="auto"/>
                <w:bottom w:val="none" w:sz="0" w:space="0" w:color="auto"/>
                <w:right w:val="none" w:sz="0" w:space="0" w:color="auto"/>
              </w:divBdr>
              <w:divsChild>
                <w:div w:id="508762819">
                  <w:marLeft w:val="0"/>
                  <w:marRight w:val="0"/>
                  <w:marTop w:val="0"/>
                  <w:marBottom w:val="0"/>
                  <w:divBdr>
                    <w:top w:val="none" w:sz="0" w:space="0" w:color="auto"/>
                    <w:left w:val="none" w:sz="0" w:space="0" w:color="auto"/>
                    <w:bottom w:val="none" w:sz="0" w:space="0" w:color="auto"/>
                    <w:right w:val="none" w:sz="0" w:space="0" w:color="auto"/>
                  </w:divBdr>
                </w:div>
              </w:divsChild>
            </w:div>
            <w:div w:id="990988801">
              <w:marLeft w:val="0"/>
              <w:marRight w:val="0"/>
              <w:marTop w:val="0"/>
              <w:marBottom w:val="0"/>
              <w:divBdr>
                <w:top w:val="none" w:sz="0" w:space="0" w:color="auto"/>
                <w:left w:val="none" w:sz="0" w:space="0" w:color="auto"/>
                <w:bottom w:val="none" w:sz="0" w:space="0" w:color="auto"/>
                <w:right w:val="none" w:sz="0" w:space="0" w:color="auto"/>
              </w:divBdr>
              <w:divsChild>
                <w:div w:id="1124158214">
                  <w:marLeft w:val="0"/>
                  <w:marRight w:val="0"/>
                  <w:marTop w:val="0"/>
                  <w:marBottom w:val="0"/>
                  <w:divBdr>
                    <w:top w:val="none" w:sz="0" w:space="0" w:color="auto"/>
                    <w:left w:val="none" w:sz="0" w:space="0" w:color="auto"/>
                    <w:bottom w:val="none" w:sz="0" w:space="0" w:color="auto"/>
                    <w:right w:val="none" w:sz="0" w:space="0" w:color="auto"/>
                  </w:divBdr>
                </w:div>
              </w:divsChild>
            </w:div>
            <w:div w:id="991327766">
              <w:marLeft w:val="0"/>
              <w:marRight w:val="0"/>
              <w:marTop w:val="300"/>
              <w:marBottom w:val="300"/>
              <w:divBdr>
                <w:top w:val="none" w:sz="0" w:space="0" w:color="auto"/>
                <w:left w:val="none" w:sz="0" w:space="0" w:color="auto"/>
                <w:bottom w:val="none" w:sz="0" w:space="0" w:color="auto"/>
                <w:right w:val="none" w:sz="0" w:space="0" w:color="auto"/>
              </w:divBdr>
            </w:div>
            <w:div w:id="991524517">
              <w:marLeft w:val="0"/>
              <w:marRight w:val="0"/>
              <w:marTop w:val="0"/>
              <w:marBottom w:val="0"/>
              <w:divBdr>
                <w:top w:val="none" w:sz="0" w:space="0" w:color="auto"/>
                <w:left w:val="none" w:sz="0" w:space="0" w:color="auto"/>
                <w:bottom w:val="none" w:sz="0" w:space="0" w:color="auto"/>
                <w:right w:val="none" w:sz="0" w:space="0" w:color="auto"/>
              </w:divBdr>
              <w:divsChild>
                <w:div w:id="479618900">
                  <w:marLeft w:val="0"/>
                  <w:marRight w:val="0"/>
                  <w:marTop w:val="0"/>
                  <w:marBottom w:val="0"/>
                  <w:divBdr>
                    <w:top w:val="none" w:sz="0" w:space="0" w:color="auto"/>
                    <w:left w:val="none" w:sz="0" w:space="0" w:color="auto"/>
                    <w:bottom w:val="none" w:sz="0" w:space="0" w:color="auto"/>
                    <w:right w:val="none" w:sz="0" w:space="0" w:color="auto"/>
                  </w:divBdr>
                </w:div>
              </w:divsChild>
            </w:div>
            <w:div w:id="991980764">
              <w:marLeft w:val="0"/>
              <w:marRight w:val="0"/>
              <w:marTop w:val="0"/>
              <w:marBottom w:val="0"/>
              <w:divBdr>
                <w:top w:val="none" w:sz="0" w:space="0" w:color="auto"/>
                <w:left w:val="none" w:sz="0" w:space="0" w:color="auto"/>
                <w:bottom w:val="none" w:sz="0" w:space="0" w:color="auto"/>
                <w:right w:val="none" w:sz="0" w:space="0" w:color="auto"/>
              </w:divBdr>
              <w:divsChild>
                <w:div w:id="718827085">
                  <w:marLeft w:val="0"/>
                  <w:marRight w:val="0"/>
                  <w:marTop w:val="0"/>
                  <w:marBottom w:val="0"/>
                  <w:divBdr>
                    <w:top w:val="none" w:sz="0" w:space="0" w:color="auto"/>
                    <w:left w:val="none" w:sz="0" w:space="0" w:color="auto"/>
                    <w:bottom w:val="none" w:sz="0" w:space="0" w:color="auto"/>
                    <w:right w:val="none" w:sz="0" w:space="0" w:color="auto"/>
                  </w:divBdr>
                </w:div>
              </w:divsChild>
            </w:div>
            <w:div w:id="992372088">
              <w:marLeft w:val="0"/>
              <w:marRight w:val="0"/>
              <w:marTop w:val="300"/>
              <w:marBottom w:val="300"/>
              <w:divBdr>
                <w:top w:val="none" w:sz="0" w:space="0" w:color="auto"/>
                <w:left w:val="none" w:sz="0" w:space="0" w:color="auto"/>
                <w:bottom w:val="none" w:sz="0" w:space="0" w:color="auto"/>
                <w:right w:val="none" w:sz="0" w:space="0" w:color="auto"/>
              </w:divBdr>
            </w:div>
            <w:div w:id="992413972">
              <w:marLeft w:val="0"/>
              <w:marRight w:val="0"/>
              <w:marTop w:val="0"/>
              <w:marBottom w:val="0"/>
              <w:divBdr>
                <w:top w:val="none" w:sz="0" w:space="0" w:color="auto"/>
                <w:left w:val="none" w:sz="0" w:space="0" w:color="auto"/>
                <w:bottom w:val="none" w:sz="0" w:space="0" w:color="auto"/>
                <w:right w:val="none" w:sz="0" w:space="0" w:color="auto"/>
              </w:divBdr>
              <w:divsChild>
                <w:div w:id="571694488">
                  <w:marLeft w:val="0"/>
                  <w:marRight w:val="0"/>
                  <w:marTop w:val="0"/>
                  <w:marBottom w:val="0"/>
                  <w:divBdr>
                    <w:top w:val="none" w:sz="0" w:space="0" w:color="auto"/>
                    <w:left w:val="none" w:sz="0" w:space="0" w:color="auto"/>
                    <w:bottom w:val="none" w:sz="0" w:space="0" w:color="auto"/>
                    <w:right w:val="none" w:sz="0" w:space="0" w:color="auto"/>
                  </w:divBdr>
                </w:div>
              </w:divsChild>
            </w:div>
            <w:div w:id="993606058">
              <w:marLeft w:val="0"/>
              <w:marRight w:val="0"/>
              <w:marTop w:val="0"/>
              <w:marBottom w:val="0"/>
              <w:divBdr>
                <w:top w:val="none" w:sz="0" w:space="0" w:color="auto"/>
                <w:left w:val="none" w:sz="0" w:space="0" w:color="auto"/>
                <w:bottom w:val="none" w:sz="0" w:space="0" w:color="auto"/>
                <w:right w:val="none" w:sz="0" w:space="0" w:color="auto"/>
              </w:divBdr>
              <w:divsChild>
                <w:div w:id="1856993373">
                  <w:marLeft w:val="0"/>
                  <w:marRight w:val="0"/>
                  <w:marTop w:val="0"/>
                  <w:marBottom w:val="0"/>
                  <w:divBdr>
                    <w:top w:val="none" w:sz="0" w:space="0" w:color="auto"/>
                    <w:left w:val="none" w:sz="0" w:space="0" w:color="auto"/>
                    <w:bottom w:val="none" w:sz="0" w:space="0" w:color="auto"/>
                    <w:right w:val="none" w:sz="0" w:space="0" w:color="auto"/>
                  </w:divBdr>
                </w:div>
              </w:divsChild>
            </w:div>
            <w:div w:id="994918237">
              <w:marLeft w:val="0"/>
              <w:marRight w:val="0"/>
              <w:marTop w:val="0"/>
              <w:marBottom w:val="0"/>
              <w:divBdr>
                <w:top w:val="none" w:sz="0" w:space="0" w:color="auto"/>
                <w:left w:val="none" w:sz="0" w:space="0" w:color="auto"/>
                <w:bottom w:val="none" w:sz="0" w:space="0" w:color="auto"/>
                <w:right w:val="none" w:sz="0" w:space="0" w:color="auto"/>
              </w:divBdr>
              <w:divsChild>
                <w:div w:id="1839879889">
                  <w:marLeft w:val="0"/>
                  <w:marRight w:val="0"/>
                  <w:marTop w:val="0"/>
                  <w:marBottom w:val="0"/>
                  <w:divBdr>
                    <w:top w:val="none" w:sz="0" w:space="0" w:color="auto"/>
                    <w:left w:val="none" w:sz="0" w:space="0" w:color="auto"/>
                    <w:bottom w:val="none" w:sz="0" w:space="0" w:color="auto"/>
                    <w:right w:val="none" w:sz="0" w:space="0" w:color="auto"/>
                  </w:divBdr>
                </w:div>
              </w:divsChild>
            </w:div>
            <w:div w:id="996348461">
              <w:marLeft w:val="0"/>
              <w:marRight w:val="0"/>
              <w:marTop w:val="0"/>
              <w:marBottom w:val="0"/>
              <w:divBdr>
                <w:top w:val="none" w:sz="0" w:space="0" w:color="auto"/>
                <w:left w:val="none" w:sz="0" w:space="0" w:color="auto"/>
                <w:bottom w:val="none" w:sz="0" w:space="0" w:color="auto"/>
                <w:right w:val="none" w:sz="0" w:space="0" w:color="auto"/>
              </w:divBdr>
              <w:divsChild>
                <w:div w:id="2065718550">
                  <w:marLeft w:val="0"/>
                  <w:marRight w:val="0"/>
                  <w:marTop w:val="0"/>
                  <w:marBottom w:val="0"/>
                  <w:divBdr>
                    <w:top w:val="none" w:sz="0" w:space="0" w:color="auto"/>
                    <w:left w:val="none" w:sz="0" w:space="0" w:color="auto"/>
                    <w:bottom w:val="none" w:sz="0" w:space="0" w:color="auto"/>
                    <w:right w:val="none" w:sz="0" w:space="0" w:color="auto"/>
                  </w:divBdr>
                </w:div>
              </w:divsChild>
            </w:div>
            <w:div w:id="996615494">
              <w:marLeft w:val="0"/>
              <w:marRight w:val="0"/>
              <w:marTop w:val="0"/>
              <w:marBottom w:val="0"/>
              <w:divBdr>
                <w:top w:val="none" w:sz="0" w:space="0" w:color="auto"/>
                <w:left w:val="none" w:sz="0" w:space="0" w:color="auto"/>
                <w:bottom w:val="none" w:sz="0" w:space="0" w:color="auto"/>
                <w:right w:val="none" w:sz="0" w:space="0" w:color="auto"/>
              </w:divBdr>
              <w:divsChild>
                <w:div w:id="2014722467">
                  <w:marLeft w:val="0"/>
                  <w:marRight w:val="0"/>
                  <w:marTop w:val="0"/>
                  <w:marBottom w:val="0"/>
                  <w:divBdr>
                    <w:top w:val="none" w:sz="0" w:space="0" w:color="auto"/>
                    <w:left w:val="none" w:sz="0" w:space="0" w:color="auto"/>
                    <w:bottom w:val="none" w:sz="0" w:space="0" w:color="auto"/>
                    <w:right w:val="none" w:sz="0" w:space="0" w:color="auto"/>
                  </w:divBdr>
                </w:div>
              </w:divsChild>
            </w:div>
            <w:div w:id="996768305">
              <w:marLeft w:val="0"/>
              <w:marRight w:val="0"/>
              <w:marTop w:val="0"/>
              <w:marBottom w:val="0"/>
              <w:divBdr>
                <w:top w:val="none" w:sz="0" w:space="0" w:color="auto"/>
                <w:left w:val="none" w:sz="0" w:space="0" w:color="auto"/>
                <w:bottom w:val="none" w:sz="0" w:space="0" w:color="auto"/>
                <w:right w:val="none" w:sz="0" w:space="0" w:color="auto"/>
              </w:divBdr>
              <w:divsChild>
                <w:div w:id="741412666">
                  <w:marLeft w:val="0"/>
                  <w:marRight w:val="0"/>
                  <w:marTop w:val="0"/>
                  <w:marBottom w:val="0"/>
                  <w:divBdr>
                    <w:top w:val="none" w:sz="0" w:space="0" w:color="auto"/>
                    <w:left w:val="none" w:sz="0" w:space="0" w:color="auto"/>
                    <w:bottom w:val="none" w:sz="0" w:space="0" w:color="auto"/>
                    <w:right w:val="none" w:sz="0" w:space="0" w:color="auto"/>
                  </w:divBdr>
                </w:div>
              </w:divsChild>
            </w:div>
            <w:div w:id="1000156720">
              <w:marLeft w:val="0"/>
              <w:marRight w:val="0"/>
              <w:marTop w:val="0"/>
              <w:marBottom w:val="0"/>
              <w:divBdr>
                <w:top w:val="none" w:sz="0" w:space="0" w:color="auto"/>
                <w:left w:val="none" w:sz="0" w:space="0" w:color="auto"/>
                <w:bottom w:val="none" w:sz="0" w:space="0" w:color="auto"/>
                <w:right w:val="none" w:sz="0" w:space="0" w:color="auto"/>
              </w:divBdr>
              <w:divsChild>
                <w:div w:id="2062247381">
                  <w:marLeft w:val="0"/>
                  <w:marRight w:val="0"/>
                  <w:marTop w:val="0"/>
                  <w:marBottom w:val="0"/>
                  <w:divBdr>
                    <w:top w:val="none" w:sz="0" w:space="0" w:color="auto"/>
                    <w:left w:val="none" w:sz="0" w:space="0" w:color="auto"/>
                    <w:bottom w:val="none" w:sz="0" w:space="0" w:color="auto"/>
                    <w:right w:val="none" w:sz="0" w:space="0" w:color="auto"/>
                  </w:divBdr>
                </w:div>
              </w:divsChild>
            </w:div>
            <w:div w:id="1004237254">
              <w:marLeft w:val="0"/>
              <w:marRight w:val="0"/>
              <w:marTop w:val="0"/>
              <w:marBottom w:val="0"/>
              <w:divBdr>
                <w:top w:val="none" w:sz="0" w:space="0" w:color="auto"/>
                <w:left w:val="none" w:sz="0" w:space="0" w:color="auto"/>
                <w:bottom w:val="none" w:sz="0" w:space="0" w:color="auto"/>
                <w:right w:val="none" w:sz="0" w:space="0" w:color="auto"/>
              </w:divBdr>
              <w:divsChild>
                <w:div w:id="515458668">
                  <w:marLeft w:val="0"/>
                  <w:marRight w:val="0"/>
                  <w:marTop w:val="0"/>
                  <w:marBottom w:val="0"/>
                  <w:divBdr>
                    <w:top w:val="none" w:sz="0" w:space="0" w:color="auto"/>
                    <w:left w:val="none" w:sz="0" w:space="0" w:color="auto"/>
                    <w:bottom w:val="none" w:sz="0" w:space="0" w:color="auto"/>
                    <w:right w:val="none" w:sz="0" w:space="0" w:color="auto"/>
                  </w:divBdr>
                </w:div>
              </w:divsChild>
            </w:div>
            <w:div w:id="1004279635">
              <w:marLeft w:val="0"/>
              <w:marRight w:val="0"/>
              <w:marTop w:val="0"/>
              <w:marBottom w:val="0"/>
              <w:divBdr>
                <w:top w:val="none" w:sz="0" w:space="0" w:color="auto"/>
                <w:left w:val="none" w:sz="0" w:space="0" w:color="auto"/>
                <w:bottom w:val="none" w:sz="0" w:space="0" w:color="auto"/>
                <w:right w:val="none" w:sz="0" w:space="0" w:color="auto"/>
              </w:divBdr>
              <w:divsChild>
                <w:div w:id="1397581536">
                  <w:marLeft w:val="0"/>
                  <w:marRight w:val="0"/>
                  <w:marTop w:val="0"/>
                  <w:marBottom w:val="0"/>
                  <w:divBdr>
                    <w:top w:val="none" w:sz="0" w:space="0" w:color="auto"/>
                    <w:left w:val="none" w:sz="0" w:space="0" w:color="auto"/>
                    <w:bottom w:val="none" w:sz="0" w:space="0" w:color="auto"/>
                    <w:right w:val="none" w:sz="0" w:space="0" w:color="auto"/>
                  </w:divBdr>
                </w:div>
              </w:divsChild>
            </w:div>
            <w:div w:id="1005983063">
              <w:marLeft w:val="0"/>
              <w:marRight w:val="0"/>
              <w:marTop w:val="0"/>
              <w:marBottom w:val="0"/>
              <w:divBdr>
                <w:top w:val="none" w:sz="0" w:space="0" w:color="auto"/>
                <w:left w:val="none" w:sz="0" w:space="0" w:color="auto"/>
                <w:bottom w:val="none" w:sz="0" w:space="0" w:color="auto"/>
                <w:right w:val="none" w:sz="0" w:space="0" w:color="auto"/>
              </w:divBdr>
              <w:divsChild>
                <w:div w:id="437331101">
                  <w:marLeft w:val="0"/>
                  <w:marRight w:val="0"/>
                  <w:marTop w:val="0"/>
                  <w:marBottom w:val="0"/>
                  <w:divBdr>
                    <w:top w:val="none" w:sz="0" w:space="0" w:color="auto"/>
                    <w:left w:val="none" w:sz="0" w:space="0" w:color="auto"/>
                    <w:bottom w:val="none" w:sz="0" w:space="0" w:color="auto"/>
                    <w:right w:val="none" w:sz="0" w:space="0" w:color="auto"/>
                  </w:divBdr>
                </w:div>
              </w:divsChild>
            </w:div>
            <w:div w:id="1006059313">
              <w:marLeft w:val="0"/>
              <w:marRight w:val="0"/>
              <w:marTop w:val="0"/>
              <w:marBottom w:val="0"/>
              <w:divBdr>
                <w:top w:val="none" w:sz="0" w:space="0" w:color="auto"/>
                <w:left w:val="none" w:sz="0" w:space="0" w:color="auto"/>
                <w:bottom w:val="none" w:sz="0" w:space="0" w:color="auto"/>
                <w:right w:val="none" w:sz="0" w:space="0" w:color="auto"/>
              </w:divBdr>
              <w:divsChild>
                <w:div w:id="98187199">
                  <w:marLeft w:val="0"/>
                  <w:marRight w:val="0"/>
                  <w:marTop w:val="0"/>
                  <w:marBottom w:val="0"/>
                  <w:divBdr>
                    <w:top w:val="none" w:sz="0" w:space="0" w:color="auto"/>
                    <w:left w:val="none" w:sz="0" w:space="0" w:color="auto"/>
                    <w:bottom w:val="none" w:sz="0" w:space="0" w:color="auto"/>
                    <w:right w:val="none" w:sz="0" w:space="0" w:color="auto"/>
                  </w:divBdr>
                </w:div>
              </w:divsChild>
            </w:div>
            <w:div w:id="1007246128">
              <w:marLeft w:val="0"/>
              <w:marRight w:val="0"/>
              <w:marTop w:val="0"/>
              <w:marBottom w:val="0"/>
              <w:divBdr>
                <w:top w:val="none" w:sz="0" w:space="0" w:color="auto"/>
                <w:left w:val="none" w:sz="0" w:space="0" w:color="auto"/>
                <w:bottom w:val="none" w:sz="0" w:space="0" w:color="auto"/>
                <w:right w:val="none" w:sz="0" w:space="0" w:color="auto"/>
              </w:divBdr>
              <w:divsChild>
                <w:div w:id="848253726">
                  <w:marLeft w:val="0"/>
                  <w:marRight w:val="0"/>
                  <w:marTop w:val="0"/>
                  <w:marBottom w:val="0"/>
                  <w:divBdr>
                    <w:top w:val="none" w:sz="0" w:space="0" w:color="auto"/>
                    <w:left w:val="none" w:sz="0" w:space="0" w:color="auto"/>
                    <w:bottom w:val="none" w:sz="0" w:space="0" w:color="auto"/>
                    <w:right w:val="none" w:sz="0" w:space="0" w:color="auto"/>
                  </w:divBdr>
                </w:div>
              </w:divsChild>
            </w:div>
            <w:div w:id="1007370168">
              <w:marLeft w:val="0"/>
              <w:marRight w:val="0"/>
              <w:marTop w:val="300"/>
              <w:marBottom w:val="300"/>
              <w:divBdr>
                <w:top w:val="none" w:sz="0" w:space="0" w:color="auto"/>
                <w:left w:val="none" w:sz="0" w:space="0" w:color="auto"/>
                <w:bottom w:val="none" w:sz="0" w:space="0" w:color="auto"/>
                <w:right w:val="none" w:sz="0" w:space="0" w:color="auto"/>
              </w:divBdr>
            </w:div>
            <w:div w:id="1007370860">
              <w:marLeft w:val="0"/>
              <w:marRight w:val="0"/>
              <w:marTop w:val="0"/>
              <w:marBottom w:val="0"/>
              <w:divBdr>
                <w:top w:val="none" w:sz="0" w:space="0" w:color="auto"/>
                <w:left w:val="none" w:sz="0" w:space="0" w:color="auto"/>
                <w:bottom w:val="none" w:sz="0" w:space="0" w:color="auto"/>
                <w:right w:val="none" w:sz="0" w:space="0" w:color="auto"/>
              </w:divBdr>
              <w:divsChild>
                <w:div w:id="1431853821">
                  <w:marLeft w:val="0"/>
                  <w:marRight w:val="0"/>
                  <w:marTop w:val="0"/>
                  <w:marBottom w:val="0"/>
                  <w:divBdr>
                    <w:top w:val="none" w:sz="0" w:space="0" w:color="auto"/>
                    <w:left w:val="none" w:sz="0" w:space="0" w:color="auto"/>
                    <w:bottom w:val="none" w:sz="0" w:space="0" w:color="auto"/>
                    <w:right w:val="none" w:sz="0" w:space="0" w:color="auto"/>
                  </w:divBdr>
                </w:div>
              </w:divsChild>
            </w:div>
            <w:div w:id="1008211563">
              <w:marLeft w:val="0"/>
              <w:marRight w:val="0"/>
              <w:marTop w:val="0"/>
              <w:marBottom w:val="0"/>
              <w:divBdr>
                <w:top w:val="none" w:sz="0" w:space="0" w:color="auto"/>
                <w:left w:val="none" w:sz="0" w:space="0" w:color="auto"/>
                <w:bottom w:val="none" w:sz="0" w:space="0" w:color="auto"/>
                <w:right w:val="none" w:sz="0" w:space="0" w:color="auto"/>
              </w:divBdr>
              <w:divsChild>
                <w:div w:id="1629622672">
                  <w:marLeft w:val="0"/>
                  <w:marRight w:val="0"/>
                  <w:marTop w:val="0"/>
                  <w:marBottom w:val="0"/>
                  <w:divBdr>
                    <w:top w:val="none" w:sz="0" w:space="0" w:color="auto"/>
                    <w:left w:val="none" w:sz="0" w:space="0" w:color="auto"/>
                    <w:bottom w:val="none" w:sz="0" w:space="0" w:color="auto"/>
                    <w:right w:val="none" w:sz="0" w:space="0" w:color="auto"/>
                  </w:divBdr>
                </w:div>
              </w:divsChild>
            </w:div>
            <w:div w:id="1008286575">
              <w:marLeft w:val="0"/>
              <w:marRight w:val="0"/>
              <w:marTop w:val="300"/>
              <w:marBottom w:val="300"/>
              <w:divBdr>
                <w:top w:val="none" w:sz="0" w:space="0" w:color="auto"/>
                <w:left w:val="none" w:sz="0" w:space="0" w:color="auto"/>
                <w:bottom w:val="none" w:sz="0" w:space="0" w:color="auto"/>
                <w:right w:val="none" w:sz="0" w:space="0" w:color="auto"/>
              </w:divBdr>
            </w:div>
            <w:div w:id="1009327719">
              <w:marLeft w:val="0"/>
              <w:marRight w:val="0"/>
              <w:marTop w:val="0"/>
              <w:marBottom w:val="0"/>
              <w:divBdr>
                <w:top w:val="none" w:sz="0" w:space="0" w:color="auto"/>
                <w:left w:val="none" w:sz="0" w:space="0" w:color="auto"/>
                <w:bottom w:val="none" w:sz="0" w:space="0" w:color="auto"/>
                <w:right w:val="none" w:sz="0" w:space="0" w:color="auto"/>
              </w:divBdr>
              <w:divsChild>
                <w:div w:id="2062361047">
                  <w:marLeft w:val="0"/>
                  <w:marRight w:val="0"/>
                  <w:marTop w:val="0"/>
                  <w:marBottom w:val="0"/>
                  <w:divBdr>
                    <w:top w:val="none" w:sz="0" w:space="0" w:color="auto"/>
                    <w:left w:val="none" w:sz="0" w:space="0" w:color="auto"/>
                    <w:bottom w:val="none" w:sz="0" w:space="0" w:color="auto"/>
                    <w:right w:val="none" w:sz="0" w:space="0" w:color="auto"/>
                  </w:divBdr>
                </w:div>
              </w:divsChild>
            </w:div>
            <w:div w:id="1012030714">
              <w:marLeft w:val="0"/>
              <w:marRight w:val="0"/>
              <w:marTop w:val="300"/>
              <w:marBottom w:val="300"/>
              <w:divBdr>
                <w:top w:val="none" w:sz="0" w:space="0" w:color="auto"/>
                <w:left w:val="none" w:sz="0" w:space="0" w:color="auto"/>
                <w:bottom w:val="none" w:sz="0" w:space="0" w:color="auto"/>
                <w:right w:val="none" w:sz="0" w:space="0" w:color="auto"/>
              </w:divBdr>
            </w:div>
            <w:div w:id="1012420219">
              <w:marLeft w:val="0"/>
              <w:marRight w:val="0"/>
              <w:marTop w:val="0"/>
              <w:marBottom w:val="0"/>
              <w:divBdr>
                <w:top w:val="none" w:sz="0" w:space="0" w:color="auto"/>
                <w:left w:val="none" w:sz="0" w:space="0" w:color="auto"/>
                <w:bottom w:val="none" w:sz="0" w:space="0" w:color="auto"/>
                <w:right w:val="none" w:sz="0" w:space="0" w:color="auto"/>
              </w:divBdr>
              <w:divsChild>
                <w:div w:id="1346517761">
                  <w:marLeft w:val="0"/>
                  <w:marRight w:val="0"/>
                  <w:marTop w:val="0"/>
                  <w:marBottom w:val="0"/>
                  <w:divBdr>
                    <w:top w:val="none" w:sz="0" w:space="0" w:color="auto"/>
                    <w:left w:val="none" w:sz="0" w:space="0" w:color="auto"/>
                    <w:bottom w:val="none" w:sz="0" w:space="0" w:color="auto"/>
                    <w:right w:val="none" w:sz="0" w:space="0" w:color="auto"/>
                  </w:divBdr>
                </w:div>
              </w:divsChild>
            </w:div>
            <w:div w:id="1014113458">
              <w:marLeft w:val="0"/>
              <w:marRight w:val="0"/>
              <w:marTop w:val="300"/>
              <w:marBottom w:val="300"/>
              <w:divBdr>
                <w:top w:val="none" w:sz="0" w:space="0" w:color="auto"/>
                <w:left w:val="none" w:sz="0" w:space="0" w:color="auto"/>
                <w:bottom w:val="none" w:sz="0" w:space="0" w:color="auto"/>
                <w:right w:val="none" w:sz="0" w:space="0" w:color="auto"/>
              </w:divBdr>
            </w:div>
            <w:div w:id="1015764091">
              <w:marLeft w:val="0"/>
              <w:marRight w:val="0"/>
              <w:marTop w:val="0"/>
              <w:marBottom w:val="0"/>
              <w:divBdr>
                <w:top w:val="none" w:sz="0" w:space="0" w:color="auto"/>
                <w:left w:val="none" w:sz="0" w:space="0" w:color="auto"/>
                <w:bottom w:val="none" w:sz="0" w:space="0" w:color="auto"/>
                <w:right w:val="none" w:sz="0" w:space="0" w:color="auto"/>
              </w:divBdr>
              <w:divsChild>
                <w:div w:id="1475759264">
                  <w:marLeft w:val="0"/>
                  <w:marRight w:val="0"/>
                  <w:marTop w:val="0"/>
                  <w:marBottom w:val="0"/>
                  <w:divBdr>
                    <w:top w:val="none" w:sz="0" w:space="0" w:color="auto"/>
                    <w:left w:val="none" w:sz="0" w:space="0" w:color="auto"/>
                    <w:bottom w:val="none" w:sz="0" w:space="0" w:color="auto"/>
                    <w:right w:val="none" w:sz="0" w:space="0" w:color="auto"/>
                  </w:divBdr>
                </w:div>
              </w:divsChild>
            </w:div>
            <w:div w:id="1016157193">
              <w:marLeft w:val="0"/>
              <w:marRight w:val="0"/>
              <w:marTop w:val="0"/>
              <w:marBottom w:val="0"/>
              <w:divBdr>
                <w:top w:val="none" w:sz="0" w:space="0" w:color="auto"/>
                <w:left w:val="none" w:sz="0" w:space="0" w:color="auto"/>
                <w:bottom w:val="none" w:sz="0" w:space="0" w:color="auto"/>
                <w:right w:val="none" w:sz="0" w:space="0" w:color="auto"/>
              </w:divBdr>
              <w:divsChild>
                <w:div w:id="1417945555">
                  <w:marLeft w:val="0"/>
                  <w:marRight w:val="0"/>
                  <w:marTop w:val="0"/>
                  <w:marBottom w:val="0"/>
                  <w:divBdr>
                    <w:top w:val="none" w:sz="0" w:space="0" w:color="auto"/>
                    <w:left w:val="none" w:sz="0" w:space="0" w:color="auto"/>
                    <w:bottom w:val="none" w:sz="0" w:space="0" w:color="auto"/>
                    <w:right w:val="none" w:sz="0" w:space="0" w:color="auto"/>
                  </w:divBdr>
                </w:div>
              </w:divsChild>
            </w:div>
            <w:div w:id="1017275852">
              <w:marLeft w:val="0"/>
              <w:marRight w:val="0"/>
              <w:marTop w:val="0"/>
              <w:marBottom w:val="0"/>
              <w:divBdr>
                <w:top w:val="none" w:sz="0" w:space="0" w:color="auto"/>
                <w:left w:val="none" w:sz="0" w:space="0" w:color="auto"/>
                <w:bottom w:val="none" w:sz="0" w:space="0" w:color="auto"/>
                <w:right w:val="none" w:sz="0" w:space="0" w:color="auto"/>
              </w:divBdr>
              <w:divsChild>
                <w:div w:id="1513109830">
                  <w:marLeft w:val="0"/>
                  <w:marRight w:val="0"/>
                  <w:marTop w:val="0"/>
                  <w:marBottom w:val="0"/>
                  <w:divBdr>
                    <w:top w:val="none" w:sz="0" w:space="0" w:color="auto"/>
                    <w:left w:val="none" w:sz="0" w:space="0" w:color="auto"/>
                    <w:bottom w:val="none" w:sz="0" w:space="0" w:color="auto"/>
                    <w:right w:val="none" w:sz="0" w:space="0" w:color="auto"/>
                  </w:divBdr>
                </w:div>
              </w:divsChild>
            </w:div>
            <w:div w:id="1017730298">
              <w:marLeft w:val="0"/>
              <w:marRight w:val="0"/>
              <w:marTop w:val="300"/>
              <w:marBottom w:val="300"/>
              <w:divBdr>
                <w:top w:val="none" w:sz="0" w:space="0" w:color="auto"/>
                <w:left w:val="none" w:sz="0" w:space="0" w:color="auto"/>
                <w:bottom w:val="none" w:sz="0" w:space="0" w:color="auto"/>
                <w:right w:val="none" w:sz="0" w:space="0" w:color="auto"/>
              </w:divBdr>
            </w:div>
            <w:div w:id="1018123449">
              <w:marLeft w:val="0"/>
              <w:marRight w:val="0"/>
              <w:marTop w:val="0"/>
              <w:marBottom w:val="0"/>
              <w:divBdr>
                <w:top w:val="none" w:sz="0" w:space="0" w:color="auto"/>
                <w:left w:val="none" w:sz="0" w:space="0" w:color="auto"/>
                <w:bottom w:val="none" w:sz="0" w:space="0" w:color="auto"/>
                <w:right w:val="none" w:sz="0" w:space="0" w:color="auto"/>
              </w:divBdr>
              <w:divsChild>
                <w:div w:id="1399551843">
                  <w:marLeft w:val="0"/>
                  <w:marRight w:val="0"/>
                  <w:marTop w:val="0"/>
                  <w:marBottom w:val="0"/>
                  <w:divBdr>
                    <w:top w:val="none" w:sz="0" w:space="0" w:color="auto"/>
                    <w:left w:val="none" w:sz="0" w:space="0" w:color="auto"/>
                    <w:bottom w:val="none" w:sz="0" w:space="0" w:color="auto"/>
                    <w:right w:val="none" w:sz="0" w:space="0" w:color="auto"/>
                  </w:divBdr>
                </w:div>
              </w:divsChild>
            </w:div>
            <w:div w:id="1023870219">
              <w:marLeft w:val="0"/>
              <w:marRight w:val="0"/>
              <w:marTop w:val="300"/>
              <w:marBottom w:val="300"/>
              <w:divBdr>
                <w:top w:val="none" w:sz="0" w:space="0" w:color="auto"/>
                <w:left w:val="none" w:sz="0" w:space="0" w:color="auto"/>
                <w:bottom w:val="none" w:sz="0" w:space="0" w:color="auto"/>
                <w:right w:val="none" w:sz="0" w:space="0" w:color="auto"/>
              </w:divBdr>
            </w:div>
            <w:div w:id="1026517498">
              <w:marLeft w:val="0"/>
              <w:marRight w:val="0"/>
              <w:marTop w:val="300"/>
              <w:marBottom w:val="300"/>
              <w:divBdr>
                <w:top w:val="none" w:sz="0" w:space="0" w:color="auto"/>
                <w:left w:val="none" w:sz="0" w:space="0" w:color="auto"/>
                <w:bottom w:val="none" w:sz="0" w:space="0" w:color="auto"/>
                <w:right w:val="none" w:sz="0" w:space="0" w:color="auto"/>
              </w:divBdr>
            </w:div>
            <w:div w:id="1027483226">
              <w:marLeft w:val="0"/>
              <w:marRight w:val="0"/>
              <w:marTop w:val="0"/>
              <w:marBottom w:val="0"/>
              <w:divBdr>
                <w:top w:val="none" w:sz="0" w:space="0" w:color="auto"/>
                <w:left w:val="none" w:sz="0" w:space="0" w:color="auto"/>
                <w:bottom w:val="none" w:sz="0" w:space="0" w:color="auto"/>
                <w:right w:val="none" w:sz="0" w:space="0" w:color="auto"/>
              </w:divBdr>
              <w:divsChild>
                <w:div w:id="758721460">
                  <w:marLeft w:val="0"/>
                  <w:marRight w:val="0"/>
                  <w:marTop w:val="0"/>
                  <w:marBottom w:val="0"/>
                  <w:divBdr>
                    <w:top w:val="none" w:sz="0" w:space="0" w:color="auto"/>
                    <w:left w:val="none" w:sz="0" w:space="0" w:color="auto"/>
                    <w:bottom w:val="none" w:sz="0" w:space="0" w:color="auto"/>
                    <w:right w:val="none" w:sz="0" w:space="0" w:color="auto"/>
                  </w:divBdr>
                </w:div>
              </w:divsChild>
            </w:div>
            <w:div w:id="1031734012">
              <w:marLeft w:val="0"/>
              <w:marRight w:val="0"/>
              <w:marTop w:val="0"/>
              <w:marBottom w:val="0"/>
              <w:divBdr>
                <w:top w:val="none" w:sz="0" w:space="0" w:color="auto"/>
                <w:left w:val="none" w:sz="0" w:space="0" w:color="auto"/>
                <w:bottom w:val="none" w:sz="0" w:space="0" w:color="auto"/>
                <w:right w:val="none" w:sz="0" w:space="0" w:color="auto"/>
              </w:divBdr>
              <w:divsChild>
                <w:div w:id="296254487">
                  <w:marLeft w:val="0"/>
                  <w:marRight w:val="0"/>
                  <w:marTop w:val="0"/>
                  <w:marBottom w:val="0"/>
                  <w:divBdr>
                    <w:top w:val="none" w:sz="0" w:space="0" w:color="auto"/>
                    <w:left w:val="none" w:sz="0" w:space="0" w:color="auto"/>
                    <w:bottom w:val="none" w:sz="0" w:space="0" w:color="auto"/>
                    <w:right w:val="none" w:sz="0" w:space="0" w:color="auto"/>
                  </w:divBdr>
                </w:div>
              </w:divsChild>
            </w:div>
            <w:div w:id="1032267137">
              <w:marLeft w:val="0"/>
              <w:marRight w:val="0"/>
              <w:marTop w:val="0"/>
              <w:marBottom w:val="0"/>
              <w:divBdr>
                <w:top w:val="none" w:sz="0" w:space="0" w:color="auto"/>
                <w:left w:val="none" w:sz="0" w:space="0" w:color="auto"/>
                <w:bottom w:val="none" w:sz="0" w:space="0" w:color="auto"/>
                <w:right w:val="none" w:sz="0" w:space="0" w:color="auto"/>
              </w:divBdr>
              <w:divsChild>
                <w:div w:id="159395848">
                  <w:marLeft w:val="0"/>
                  <w:marRight w:val="0"/>
                  <w:marTop w:val="0"/>
                  <w:marBottom w:val="0"/>
                  <w:divBdr>
                    <w:top w:val="none" w:sz="0" w:space="0" w:color="auto"/>
                    <w:left w:val="none" w:sz="0" w:space="0" w:color="auto"/>
                    <w:bottom w:val="none" w:sz="0" w:space="0" w:color="auto"/>
                    <w:right w:val="none" w:sz="0" w:space="0" w:color="auto"/>
                  </w:divBdr>
                </w:div>
              </w:divsChild>
            </w:div>
            <w:div w:id="1033270755">
              <w:marLeft w:val="0"/>
              <w:marRight w:val="0"/>
              <w:marTop w:val="0"/>
              <w:marBottom w:val="0"/>
              <w:divBdr>
                <w:top w:val="none" w:sz="0" w:space="0" w:color="auto"/>
                <w:left w:val="none" w:sz="0" w:space="0" w:color="auto"/>
                <w:bottom w:val="none" w:sz="0" w:space="0" w:color="auto"/>
                <w:right w:val="none" w:sz="0" w:space="0" w:color="auto"/>
              </w:divBdr>
              <w:divsChild>
                <w:div w:id="402022542">
                  <w:marLeft w:val="0"/>
                  <w:marRight w:val="0"/>
                  <w:marTop w:val="0"/>
                  <w:marBottom w:val="0"/>
                  <w:divBdr>
                    <w:top w:val="none" w:sz="0" w:space="0" w:color="auto"/>
                    <w:left w:val="none" w:sz="0" w:space="0" w:color="auto"/>
                    <w:bottom w:val="none" w:sz="0" w:space="0" w:color="auto"/>
                    <w:right w:val="none" w:sz="0" w:space="0" w:color="auto"/>
                  </w:divBdr>
                </w:div>
              </w:divsChild>
            </w:div>
            <w:div w:id="1033530609">
              <w:marLeft w:val="0"/>
              <w:marRight w:val="0"/>
              <w:marTop w:val="0"/>
              <w:marBottom w:val="0"/>
              <w:divBdr>
                <w:top w:val="none" w:sz="0" w:space="0" w:color="auto"/>
                <w:left w:val="none" w:sz="0" w:space="0" w:color="auto"/>
                <w:bottom w:val="none" w:sz="0" w:space="0" w:color="auto"/>
                <w:right w:val="none" w:sz="0" w:space="0" w:color="auto"/>
              </w:divBdr>
              <w:divsChild>
                <w:div w:id="1529758346">
                  <w:marLeft w:val="0"/>
                  <w:marRight w:val="0"/>
                  <w:marTop w:val="0"/>
                  <w:marBottom w:val="0"/>
                  <w:divBdr>
                    <w:top w:val="none" w:sz="0" w:space="0" w:color="auto"/>
                    <w:left w:val="none" w:sz="0" w:space="0" w:color="auto"/>
                    <w:bottom w:val="none" w:sz="0" w:space="0" w:color="auto"/>
                    <w:right w:val="none" w:sz="0" w:space="0" w:color="auto"/>
                  </w:divBdr>
                </w:div>
              </w:divsChild>
            </w:div>
            <w:div w:id="1033650788">
              <w:marLeft w:val="0"/>
              <w:marRight w:val="0"/>
              <w:marTop w:val="0"/>
              <w:marBottom w:val="0"/>
              <w:divBdr>
                <w:top w:val="none" w:sz="0" w:space="0" w:color="auto"/>
                <w:left w:val="none" w:sz="0" w:space="0" w:color="auto"/>
                <w:bottom w:val="none" w:sz="0" w:space="0" w:color="auto"/>
                <w:right w:val="none" w:sz="0" w:space="0" w:color="auto"/>
              </w:divBdr>
              <w:divsChild>
                <w:div w:id="1336691906">
                  <w:marLeft w:val="0"/>
                  <w:marRight w:val="0"/>
                  <w:marTop w:val="0"/>
                  <w:marBottom w:val="0"/>
                  <w:divBdr>
                    <w:top w:val="none" w:sz="0" w:space="0" w:color="auto"/>
                    <w:left w:val="none" w:sz="0" w:space="0" w:color="auto"/>
                    <w:bottom w:val="none" w:sz="0" w:space="0" w:color="auto"/>
                    <w:right w:val="none" w:sz="0" w:space="0" w:color="auto"/>
                  </w:divBdr>
                </w:div>
              </w:divsChild>
            </w:div>
            <w:div w:id="1034504926">
              <w:marLeft w:val="0"/>
              <w:marRight w:val="0"/>
              <w:marTop w:val="0"/>
              <w:marBottom w:val="0"/>
              <w:divBdr>
                <w:top w:val="none" w:sz="0" w:space="0" w:color="auto"/>
                <w:left w:val="none" w:sz="0" w:space="0" w:color="auto"/>
                <w:bottom w:val="none" w:sz="0" w:space="0" w:color="auto"/>
                <w:right w:val="none" w:sz="0" w:space="0" w:color="auto"/>
              </w:divBdr>
              <w:divsChild>
                <w:div w:id="139274137">
                  <w:marLeft w:val="0"/>
                  <w:marRight w:val="0"/>
                  <w:marTop w:val="0"/>
                  <w:marBottom w:val="0"/>
                  <w:divBdr>
                    <w:top w:val="none" w:sz="0" w:space="0" w:color="auto"/>
                    <w:left w:val="none" w:sz="0" w:space="0" w:color="auto"/>
                    <w:bottom w:val="none" w:sz="0" w:space="0" w:color="auto"/>
                    <w:right w:val="none" w:sz="0" w:space="0" w:color="auto"/>
                  </w:divBdr>
                </w:div>
              </w:divsChild>
            </w:div>
            <w:div w:id="1035153432">
              <w:marLeft w:val="0"/>
              <w:marRight w:val="0"/>
              <w:marTop w:val="0"/>
              <w:marBottom w:val="0"/>
              <w:divBdr>
                <w:top w:val="none" w:sz="0" w:space="0" w:color="auto"/>
                <w:left w:val="none" w:sz="0" w:space="0" w:color="auto"/>
                <w:bottom w:val="none" w:sz="0" w:space="0" w:color="auto"/>
                <w:right w:val="none" w:sz="0" w:space="0" w:color="auto"/>
              </w:divBdr>
              <w:divsChild>
                <w:div w:id="1047681402">
                  <w:marLeft w:val="0"/>
                  <w:marRight w:val="0"/>
                  <w:marTop w:val="0"/>
                  <w:marBottom w:val="0"/>
                  <w:divBdr>
                    <w:top w:val="none" w:sz="0" w:space="0" w:color="auto"/>
                    <w:left w:val="none" w:sz="0" w:space="0" w:color="auto"/>
                    <w:bottom w:val="none" w:sz="0" w:space="0" w:color="auto"/>
                    <w:right w:val="none" w:sz="0" w:space="0" w:color="auto"/>
                  </w:divBdr>
                </w:div>
              </w:divsChild>
            </w:div>
            <w:div w:id="1036544247">
              <w:marLeft w:val="0"/>
              <w:marRight w:val="0"/>
              <w:marTop w:val="0"/>
              <w:marBottom w:val="0"/>
              <w:divBdr>
                <w:top w:val="none" w:sz="0" w:space="0" w:color="auto"/>
                <w:left w:val="none" w:sz="0" w:space="0" w:color="auto"/>
                <w:bottom w:val="none" w:sz="0" w:space="0" w:color="auto"/>
                <w:right w:val="none" w:sz="0" w:space="0" w:color="auto"/>
              </w:divBdr>
              <w:divsChild>
                <w:div w:id="33778860">
                  <w:marLeft w:val="0"/>
                  <w:marRight w:val="0"/>
                  <w:marTop w:val="0"/>
                  <w:marBottom w:val="0"/>
                  <w:divBdr>
                    <w:top w:val="none" w:sz="0" w:space="0" w:color="auto"/>
                    <w:left w:val="none" w:sz="0" w:space="0" w:color="auto"/>
                    <w:bottom w:val="none" w:sz="0" w:space="0" w:color="auto"/>
                    <w:right w:val="none" w:sz="0" w:space="0" w:color="auto"/>
                  </w:divBdr>
                </w:div>
              </w:divsChild>
            </w:div>
            <w:div w:id="1036659119">
              <w:marLeft w:val="0"/>
              <w:marRight w:val="0"/>
              <w:marTop w:val="0"/>
              <w:marBottom w:val="0"/>
              <w:divBdr>
                <w:top w:val="none" w:sz="0" w:space="0" w:color="auto"/>
                <w:left w:val="none" w:sz="0" w:space="0" w:color="auto"/>
                <w:bottom w:val="none" w:sz="0" w:space="0" w:color="auto"/>
                <w:right w:val="none" w:sz="0" w:space="0" w:color="auto"/>
              </w:divBdr>
              <w:divsChild>
                <w:div w:id="1040663311">
                  <w:marLeft w:val="0"/>
                  <w:marRight w:val="0"/>
                  <w:marTop w:val="0"/>
                  <w:marBottom w:val="0"/>
                  <w:divBdr>
                    <w:top w:val="none" w:sz="0" w:space="0" w:color="auto"/>
                    <w:left w:val="none" w:sz="0" w:space="0" w:color="auto"/>
                    <w:bottom w:val="none" w:sz="0" w:space="0" w:color="auto"/>
                    <w:right w:val="none" w:sz="0" w:space="0" w:color="auto"/>
                  </w:divBdr>
                </w:div>
              </w:divsChild>
            </w:div>
            <w:div w:id="1041242933">
              <w:marLeft w:val="0"/>
              <w:marRight w:val="0"/>
              <w:marTop w:val="300"/>
              <w:marBottom w:val="300"/>
              <w:divBdr>
                <w:top w:val="none" w:sz="0" w:space="0" w:color="auto"/>
                <w:left w:val="none" w:sz="0" w:space="0" w:color="auto"/>
                <w:bottom w:val="none" w:sz="0" w:space="0" w:color="auto"/>
                <w:right w:val="none" w:sz="0" w:space="0" w:color="auto"/>
              </w:divBdr>
            </w:div>
            <w:div w:id="1043022237">
              <w:marLeft w:val="0"/>
              <w:marRight w:val="0"/>
              <w:marTop w:val="300"/>
              <w:marBottom w:val="300"/>
              <w:divBdr>
                <w:top w:val="none" w:sz="0" w:space="0" w:color="auto"/>
                <w:left w:val="none" w:sz="0" w:space="0" w:color="auto"/>
                <w:bottom w:val="none" w:sz="0" w:space="0" w:color="auto"/>
                <w:right w:val="none" w:sz="0" w:space="0" w:color="auto"/>
              </w:divBdr>
            </w:div>
            <w:div w:id="1043599514">
              <w:marLeft w:val="0"/>
              <w:marRight w:val="0"/>
              <w:marTop w:val="300"/>
              <w:marBottom w:val="300"/>
              <w:divBdr>
                <w:top w:val="none" w:sz="0" w:space="0" w:color="auto"/>
                <w:left w:val="none" w:sz="0" w:space="0" w:color="auto"/>
                <w:bottom w:val="none" w:sz="0" w:space="0" w:color="auto"/>
                <w:right w:val="none" w:sz="0" w:space="0" w:color="auto"/>
              </w:divBdr>
            </w:div>
            <w:div w:id="1044401975">
              <w:marLeft w:val="0"/>
              <w:marRight w:val="0"/>
              <w:marTop w:val="300"/>
              <w:marBottom w:val="300"/>
              <w:divBdr>
                <w:top w:val="none" w:sz="0" w:space="0" w:color="auto"/>
                <w:left w:val="none" w:sz="0" w:space="0" w:color="auto"/>
                <w:bottom w:val="none" w:sz="0" w:space="0" w:color="auto"/>
                <w:right w:val="none" w:sz="0" w:space="0" w:color="auto"/>
              </w:divBdr>
            </w:div>
            <w:div w:id="1044477263">
              <w:marLeft w:val="0"/>
              <w:marRight w:val="0"/>
              <w:marTop w:val="0"/>
              <w:marBottom w:val="0"/>
              <w:divBdr>
                <w:top w:val="none" w:sz="0" w:space="0" w:color="auto"/>
                <w:left w:val="none" w:sz="0" w:space="0" w:color="auto"/>
                <w:bottom w:val="none" w:sz="0" w:space="0" w:color="auto"/>
                <w:right w:val="none" w:sz="0" w:space="0" w:color="auto"/>
              </w:divBdr>
              <w:divsChild>
                <w:div w:id="660423753">
                  <w:marLeft w:val="0"/>
                  <w:marRight w:val="0"/>
                  <w:marTop w:val="0"/>
                  <w:marBottom w:val="0"/>
                  <w:divBdr>
                    <w:top w:val="none" w:sz="0" w:space="0" w:color="auto"/>
                    <w:left w:val="none" w:sz="0" w:space="0" w:color="auto"/>
                    <w:bottom w:val="none" w:sz="0" w:space="0" w:color="auto"/>
                    <w:right w:val="none" w:sz="0" w:space="0" w:color="auto"/>
                  </w:divBdr>
                </w:div>
              </w:divsChild>
            </w:div>
            <w:div w:id="1044907327">
              <w:marLeft w:val="0"/>
              <w:marRight w:val="0"/>
              <w:marTop w:val="0"/>
              <w:marBottom w:val="0"/>
              <w:divBdr>
                <w:top w:val="none" w:sz="0" w:space="0" w:color="auto"/>
                <w:left w:val="none" w:sz="0" w:space="0" w:color="auto"/>
                <w:bottom w:val="none" w:sz="0" w:space="0" w:color="auto"/>
                <w:right w:val="none" w:sz="0" w:space="0" w:color="auto"/>
              </w:divBdr>
              <w:divsChild>
                <w:div w:id="42872123">
                  <w:marLeft w:val="0"/>
                  <w:marRight w:val="0"/>
                  <w:marTop w:val="0"/>
                  <w:marBottom w:val="0"/>
                  <w:divBdr>
                    <w:top w:val="none" w:sz="0" w:space="0" w:color="auto"/>
                    <w:left w:val="none" w:sz="0" w:space="0" w:color="auto"/>
                    <w:bottom w:val="none" w:sz="0" w:space="0" w:color="auto"/>
                    <w:right w:val="none" w:sz="0" w:space="0" w:color="auto"/>
                  </w:divBdr>
                </w:div>
              </w:divsChild>
            </w:div>
            <w:div w:id="1045565205">
              <w:marLeft w:val="0"/>
              <w:marRight w:val="0"/>
              <w:marTop w:val="0"/>
              <w:marBottom w:val="0"/>
              <w:divBdr>
                <w:top w:val="none" w:sz="0" w:space="0" w:color="auto"/>
                <w:left w:val="none" w:sz="0" w:space="0" w:color="auto"/>
                <w:bottom w:val="none" w:sz="0" w:space="0" w:color="auto"/>
                <w:right w:val="none" w:sz="0" w:space="0" w:color="auto"/>
              </w:divBdr>
              <w:divsChild>
                <w:div w:id="1659847846">
                  <w:marLeft w:val="0"/>
                  <w:marRight w:val="0"/>
                  <w:marTop w:val="0"/>
                  <w:marBottom w:val="0"/>
                  <w:divBdr>
                    <w:top w:val="none" w:sz="0" w:space="0" w:color="auto"/>
                    <w:left w:val="none" w:sz="0" w:space="0" w:color="auto"/>
                    <w:bottom w:val="none" w:sz="0" w:space="0" w:color="auto"/>
                    <w:right w:val="none" w:sz="0" w:space="0" w:color="auto"/>
                  </w:divBdr>
                </w:div>
              </w:divsChild>
            </w:div>
            <w:div w:id="1048643801">
              <w:marLeft w:val="0"/>
              <w:marRight w:val="0"/>
              <w:marTop w:val="0"/>
              <w:marBottom w:val="0"/>
              <w:divBdr>
                <w:top w:val="none" w:sz="0" w:space="0" w:color="auto"/>
                <w:left w:val="none" w:sz="0" w:space="0" w:color="auto"/>
                <w:bottom w:val="none" w:sz="0" w:space="0" w:color="auto"/>
                <w:right w:val="none" w:sz="0" w:space="0" w:color="auto"/>
              </w:divBdr>
              <w:divsChild>
                <w:div w:id="303004285">
                  <w:marLeft w:val="0"/>
                  <w:marRight w:val="0"/>
                  <w:marTop w:val="0"/>
                  <w:marBottom w:val="0"/>
                  <w:divBdr>
                    <w:top w:val="none" w:sz="0" w:space="0" w:color="auto"/>
                    <w:left w:val="none" w:sz="0" w:space="0" w:color="auto"/>
                    <w:bottom w:val="none" w:sz="0" w:space="0" w:color="auto"/>
                    <w:right w:val="none" w:sz="0" w:space="0" w:color="auto"/>
                  </w:divBdr>
                </w:div>
              </w:divsChild>
            </w:div>
            <w:div w:id="1049038456">
              <w:marLeft w:val="0"/>
              <w:marRight w:val="0"/>
              <w:marTop w:val="300"/>
              <w:marBottom w:val="300"/>
              <w:divBdr>
                <w:top w:val="none" w:sz="0" w:space="0" w:color="auto"/>
                <w:left w:val="none" w:sz="0" w:space="0" w:color="auto"/>
                <w:bottom w:val="none" w:sz="0" w:space="0" w:color="auto"/>
                <w:right w:val="none" w:sz="0" w:space="0" w:color="auto"/>
              </w:divBdr>
            </w:div>
            <w:div w:id="1050110570">
              <w:marLeft w:val="0"/>
              <w:marRight w:val="0"/>
              <w:marTop w:val="0"/>
              <w:marBottom w:val="0"/>
              <w:divBdr>
                <w:top w:val="none" w:sz="0" w:space="0" w:color="auto"/>
                <w:left w:val="none" w:sz="0" w:space="0" w:color="auto"/>
                <w:bottom w:val="none" w:sz="0" w:space="0" w:color="auto"/>
                <w:right w:val="none" w:sz="0" w:space="0" w:color="auto"/>
              </w:divBdr>
              <w:divsChild>
                <w:div w:id="902985511">
                  <w:marLeft w:val="0"/>
                  <w:marRight w:val="0"/>
                  <w:marTop w:val="0"/>
                  <w:marBottom w:val="0"/>
                  <w:divBdr>
                    <w:top w:val="none" w:sz="0" w:space="0" w:color="auto"/>
                    <w:left w:val="none" w:sz="0" w:space="0" w:color="auto"/>
                    <w:bottom w:val="none" w:sz="0" w:space="0" w:color="auto"/>
                    <w:right w:val="none" w:sz="0" w:space="0" w:color="auto"/>
                  </w:divBdr>
                </w:div>
              </w:divsChild>
            </w:div>
            <w:div w:id="1051420139">
              <w:marLeft w:val="0"/>
              <w:marRight w:val="0"/>
              <w:marTop w:val="300"/>
              <w:marBottom w:val="300"/>
              <w:divBdr>
                <w:top w:val="none" w:sz="0" w:space="0" w:color="auto"/>
                <w:left w:val="none" w:sz="0" w:space="0" w:color="auto"/>
                <w:bottom w:val="none" w:sz="0" w:space="0" w:color="auto"/>
                <w:right w:val="none" w:sz="0" w:space="0" w:color="auto"/>
              </w:divBdr>
            </w:div>
            <w:div w:id="1052464034">
              <w:marLeft w:val="0"/>
              <w:marRight w:val="0"/>
              <w:marTop w:val="0"/>
              <w:marBottom w:val="0"/>
              <w:divBdr>
                <w:top w:val="none" w:sz="0" w:space="0" w:color="auto"/>
                <w:left w:val="none" w:sz="0" w:space="0" w:color="auto"/>
                <w:bottom w:val="none" w:sz="0" w:space="0" w:color="auto"/>
                <w:right w:val="none" w:sz="0" w:space="0" w:color="auto"/>
              </w:divBdr>
              <w:divsChild>
                <w:div w:id="1601256197">
                  <w:marLeft w:val="0"/>
                  <w:marRight w:val="0"/>
                  <w:marTop w:val="0"/>
                  <w:marBottom w:val="0"/>
                  <w:divBdr>
                    <w:top w:val="none" w:sz="0" w:space="0" w:color="auto"/>
                    <w:left w:val="none" w:sz="0" w:space="0" w:color="auto"/>
                    <w:bottom w:val="none" w:sz="0" w:space="0" w:color="auto"/>
                    <w:right w:val="none" w:sz="0" w:space="0" w:color="auto"/>
                  </w:divBdr>
                </w:div>
              </w:divsChild>
            </w:div>
            <w:div w:id="1052848174">
              <w:marLeft w:val="0"/>
              <w:marRight w:val="0"/>
              <w:marTop w:val="0"/>
              <w:marBottom w:val="0"/>
              <w:divBdr>
                <w:top w:val="none" w:sz="0" w:space="0" w:color="auto"/>
                <w:left w:val="none" w:sz="0" w:space="0" w:color="auto"/>
                <w:bottom w:val="none" w:sz="0" w:space="0" w:color="auto"/>
                <w:right w:val="none" w:sz="0" w:space="0" w:color="auto"/>
              </w:divBdr>
              <w:divsChild>
                <w:div w:id="973218093">
                  <w:marLeft w:val="0"/>
                  <w:marRight w:val="0"/>
                  <w:marTop w:val="0"/>
                  <w:marBottom w:val="0"/>
                  <w:divBdr>
                    <w:top w:val="none" w:sz="0" w:space="0" w:color="auto"/>
                    <w:left w:val="none" w:sz="0" w:space="0" w:color="auto"/>
                    <w:bottom w:val="none" w:sz="0" w:space="0" w:color="auto"/>
                    <w:right w:val="none" w:sz="0" w:space="0" w:color="auto"/>
                  </w:divBdr>
                </w:div>
              </w:divsChild>
            </w:div>
            <w:div w:id="1053971056">
              <w:marLeft w:val="0"/>
              <w:marRight w:val="0"/>
              <w:marTop w:val="0"/>
              <w:marBottom w:val="0"/>
              <w:divBdr>
                <w:top w:val="none" w:sz="0" w:space="0" w:color="auto"/>
                <w:left w:val="none" w:sz="0" w:space="0" w:color="auto"/>
                <w:bottom w:val="none" w:sz="0" w:space="0" w:color="auto"/>
                <w:right w:val="none" w:sz="0" w:space="0" w:color="auto"/>
              </w:divBdr>
              <w:divsChild>
                <w:div w:id="1335961548">
                  <w:marLeft w:val="0"/>
                  <w:marRight w:val="0"/>
                  <w:marTop w:val="0"/>
                  <w:marBottom w:val="0"/>
                  <w:divBdr>
                    <w:top w:val="none" w:sz="0" w:space="0" w:color="auto"/>
                    <w:left w:val="none" w:sz="0" w:space="0" w:color="auto"/>
                    <w:bottom w:val="none" w:sz="0" w:space="0" w:color="auto"/>
                    <w:right w:val="none" w:sz="0" w:space="0" w:color="auto"/>
                  </w:divBdr>
                </w:div>
              </w:divsChild>
            </w:div>
            <w:div w:id="1054042087">
              <w:marLeft w:val="0"/>
              <w:marRight w:val="0"/>
              <w:marTop w:val="300"/>
              <w:marBottom w:val="300"/>
              <w:divBdr>
                <w:top w:val="none" w:sz="0" w:space="0" w:color="auto"/>
                <w:left w:val="none" w:sz="0" w:space="0" w:color="auto"/>
                <w:bottom w:val="none" w:sz="0" w:space="0" w:color="auto"/>
                <w:right w:val="none" w:sz="0" w:space="0" w:color="auto"/>
              </w:divBdr>
            </w:div>
            <w:div w:id="1054936808">
              <w:marLeft w:val="0"/>
              <w:marRight w:val="0"/>
              <w:marTop w:val="0"/>
              <w:marBottom w:val="0"/>
              <w:divBdr>
                <w:top w:val="none" w:sz="0" w:space="0" w:color="auto"/>
                <w:left w:val="none" w:sz="0" w:space="0" w:color="auto"/>
                <w:bottom w:val="none" w:sz="0" w:space="0" w:color="auto"/>
                <w:right w:val="none" w:sz="0" w:space="0" w:color="auto"/>
              </w:divBdr>
              <w:divsChild>
                <w:div w:id="710882039">
                  <w:marLeft w:val="0"/>
                  <w:marRight w:val="0"/>
                  <w:marTop w:val="0"/>
                  <w:marBottom w:val="0"/>
                  <w:divBdr>
                    <w:top w:val="none" w:sz="0" w:space="0" w:color="auto"/>
                    <w:left w:val="none" w:sz="0" w:space="0" w:color="auto"/>
                    <w:bottom w:val="none" w:sz="0" w:space="0" w:color="auto"/>
                    <w:right w:val="none" w:sz="0" w:space="0" w:color="auto"/>
                  </w:divBdr>
                </w:div>
              </w:divsChild>
            </w:div>
            <w:div w:id="1055543045">
              <w:marLeft w:val="0"/>
              <w:marRight w:val="0"/>
              <w:marTop w:val="300"/>
              <w:marBottom w:val="300"/>
              <w:divBdr>
                <w:top w:val="none" w:sz="0" w:space="0" w:color="auto"/>
                <w:left w:val="none" w:sz="0" w:space="0" w:color="auto"/>
                <w:bottom w:val="none" w:sz="0" w:space="0" w:color="auto"/>
                <w:right w:val="none" w:sz="0" w:space="0" w:color="auto"/>
              </w:divBdr>
            </w:div>
            <w:div w:id="1056078175">
              <w:marLeft w:val="0"/>
              <w:marRight w:val="0"/>
              <w:marTop w:val="0"/>
              <w:marBottom w:val="0"/>
              <w:divBdr>
                <w:top w:val="none" w:sz="0" w:space="0" w:color="auto"/>
                <w:left w:val="none" w:sz="0" w:space="0" w:color="auto"/>
                <w:bottom w:val="none" w:sz="0" w:space="0" w:color="auto"/>
                <w:right w:val="none" w:sz="0" w:space="0" w:color="auto"/>
              </w:divBdr>
              <w:divsChild>
                <w:div w:id="1962153497">
                  <w:marLeft w:val="0"/>
                  <w:marRight w:val="0"/>
                  <w:marTop w:val="0"/>
                  <w:marBottom w:val="0"/>
                  <w:divBdr>
                    <w:top w:val="none" w:sz="0" w:space="0" w:color="auto"/>
                    <w:left w:val="none" w:sz="0" w:space="0" w:color="auto"/>
                    <w:bottom w:val="none" w:sz="0" w:space="0" w:color="auto"/>
                    <w:right w:val="none" w:sz="0" w:space="0" w:color="auto"/>
                  </w:divBdr>
                </w:div>
              </w:divsChild>
            </w:div>
            <w:div w:id="1056511898">
              <w:marLeft w:val="0"/>
              <w:marRight w:val="0"/>
              <w:marTop w:val="0"/>
              <w:marBottom w:val="0"/>
              <w:divBdr>
                <w:top w:val="none" w:sz="0" w:space="0" w:color="auto"/>
                <w:left w:val="none" w:sz="0" w:space="0" w:color="auto"/>
                <w:bottom w:val="none" w:sz="0" w:space="0" w:color="auto"/>
                <w:right w:val="none" w:sz="0" w:space="0" w:color="auto"/>
              </w:divBdr>
              <w:divsChild>
                <w:div w:id="582376256">
                  <w:marLeft w:val="0"/>
                  <w:marRight w:val="0"/>
                  <w:marTop w:val="0"/>
                  <w:marBottom w:val="0"/>
                  <w:divBdr>
                    <w:top w:val="none" w:sz="0" w:space="0" w:color="auto"/>
                    <w:left w:val="none" w:sz="0" w:space="0" w:color="auto"/>
                    <w:bottom w:val="none" w:sz="0" w:space="0" w:color="auto"/>
                    <w:right w:val="none" w:sz="0" w:space="0" w:color="auto"/>
                  </w:divBdr>
                </w:div>
              </w:divsChild>
            </w:div>
            <w:div w:id="1057624465">
              <w:marLeft w:val="0"/>
              <w:marRight w:val="0"/>
              <w:marTop w:val="300"/>
              <w:marBottom w:val="300"/>
              <w:divBdr>
                <w:top w:val="none" w:sz="0" w:space="0" w:color="auto"/>
                <w:left w:val="none" w:sz="0" w:space="0" w:color="auto"/>
                <w:bottom w:val="none" w:sz="0" w:space="0" w:color="auto"/>
                <w:right w:val="none" w:sz="0" w:space="0" w:color="auto"/>
              </w:divBdr>
            </w:div>
            <w:div w:id="1058020218">
              <w:marLeft w:val="0"/>
              <w:marRight w:val="0"/>
              <w:marTop w:val="0"/>
              <w:marBottom w:val="0"/>
              <w:divBdr>
                <w:top w:val="none" w:sz="0" w:space="0" w:color="auto"/>
                <w:left w:val="none" w:sz="0" w:space="0" w:color="auto"/>
                <w:bottom w:val="none" w:sz="0" w:space="0" w:color="auto"/>
                <w:right w:val="none" w:sz="0" w:space="0" w:color="auto"/>
              </w:divBdr>
              <w:divsChild>
                <w:div w:id="714163039">
                  <w:marLeft w:val="0"/>
                  <w:marRight w:val="0"/>
                  <w:marTop w:val="0"/>
                  <w:marBottom w:val="0"/>
                  <w:divBdr>
                    <w:top w:val="none" w:sz="0" w:space="0" w:color="auto"/>
                    <w:left w:val="none" w:sz="0" w:space="0" w:color="auto"/>
                    <w:bottom w:val="none" w:sz="0" w:space="0" w:color="auto"/>
                    <w:right w:val="none" w:sz="0" w:space="0" w:color="auto"/>
                  </w:divBdr>
                </w:div>
              </w:divsChild>
            </w:div>
            <w:div w:id="1059210665">
              <w:marLeft w:val="0"/>
              <w:marRight w:val="0"/>
              <w:marTop w:val="0"/>
              <w:marBottom w:val="0"/>
              <w:divBdr>
                <w:top w:val="none" w:sz="0" w:space="0" w:color="auto"/>
                <w:left w:val="none" w:sz="0" w:space="0" w:color="auto"/>
                <w:bottom w:val="none" w:sz="0" w:space="0" w:color="auto"/>
                <w:right w:val="none" w:sz="0" w:space="0" w:color="auto"/>
              </w:divBdr>
              <w:divsChild>
                <w:div w:id="1139299519">
                  <w:marLeft w:val="0"/>
                  <w:marRight w:val="0"/>
                  <w:marTop w:val="0"/>
                  <w:marBottom w:val="0"/>
                  <w:divBdr>
                    <w:top w:val="none" w:sz="0" w:space="0" w:color="auto"/>
                    <w:left w:val="none" w:sz="0" w:space="0" w:color="auto"/>
                    <w:bottom w:val="none" w:sz="0" w:space="0" w:color="auto"/>
                    <w:right w:val="none" w:sz="0" w:space="0" w:color="auto"/>
                  </w:divBdr>
                </w:div>
              </w:divsChild>
            </w:div>
            <w:div w:id="1061518398">
              <w:marLeft w:val="0"/>
              <w:marRight w:val="0"/>
              <w:marTop w:val="0"/>
              <w:marBottom w:val="0"/>
              <w:divBdr>
                <w:top w:val="none" w:sz="0" w:space="0" w:color="auto"/>
                <w:left w:val="none" w:sz="0" w:space="0" w:color="auto"/>
                <w:bottom w:val="none" w:sz="0" w:space="0" w:color="auto"/>
                <w:right w:val="none" w:sz="0" w:space="0" w:color="auto"/>
              </w:divBdr>
              <w:divsChild>
                <w:div w:id="63650952">
                  <w:marLeft w:val="0"/>
                  <w:marRight w:val="0"/>
                  <w:marTop w:val="0"/>
                  <w:marBottom w:val="0"/>
                  <w:divBdr>
                    <w:top w:val="none" w:sz="0" w:space="0" w:color="auto"/>
                    <w:left w:val="none" w:sz="0" w:space="0" w:color="auto"/>
                    <w:bottom w:val="none" w:sz="0" w:space="0" w:color="auto"/>
                    <w:right w:val="none" w:sz="0" w:space="0" w:color="auto"/>
                  </w:divBdr>
                </w:div>
              </w:divsChild>
            </w:div>
            <w:div w:id="1062369748">
              <w:marLeft w:val="0"/>
              <w:marRight w:val="0"/>
              <w:marTop w:val="300"/>
              <w:marBottom w:val="300"/>
              <w:divBdr>
                <w:top w:val="none" w:sz="0" w:space="0" w:color="auto"/>
                <w:left w:val="none" w:sz="0" w:space="0" w:color="auto"/>
                <w:bottom w:val="none" w:sz="0" w:space="0" w:color="auto"/>
                <w:right w:val="none" w:sz="0" w:space="0" w:color="auto"/>
              </w:divBdr>
            </w:div>
            <w:div w:id="1062414138">
              <w:marLeft w:val="0"/>
              <w:marRight w:val="0"/>
              <w:marTop w:val="300"/>
              <w:marBottom w:val="300"/>
              <w:divBdr>
                <w:top w:val="none" w:sz="0" w:space="0" w:color="auto"/>
                <w:left w:val="none" w:sz="0" w:space="0" w:color="auto"/>
                <w:bottom w:val="none" w:sz="0" w:space="0" w:color="auto"/>
                <w:right w:val="none" w:sz="0" w:space="0" w:color="auto"/>
              </w:divBdr>
            </w:div>
            <w:div w:id="1063483935">
              <w:marLeft w:val="0"/>
              <w:marRight w:val="0"/>
              <w:marTop w:val="0"/>
              <w:marBottom w:val="0"/>
              <w:divBdr>
                <w:top w:val="none" w:sz="0" w:space="0" w:color="auto"/>
                <w:left w:val="none" w:sz="0" w:space="0" w:color="auto"/>
                <w:bottom w:val="none" w:sz="0" w:space="0" w:color="auto"/>
                <w:right w:val="none" w:sz="0" w:space="0" w:color="auto"/>
              </w:divBdr>
              <w:divsChild>
                <w:div w:id="498619213">
                  <w:marLeft w:val="0"/>
                  <w:marRight w:val="0"/>
                  <w:marTop w:val="0"/>
                  <w:marBottom w:val="0"/>
                  <w:divBdr>
                    <w:top w:val="none" w:sz="0" w:space="0" w:color="auto"/>
                    <w:left w:val="none" w:sz="0" w:space="0" w:color="auto"/>
                    <w:bottom w:val="none" w:sz="0" w:space="0" w:color="auto"/>
                    <w:right w:val="none" w:sz="0" w:space="0" w:color="auto"/>
                  </w:divBdr>
                </w:div>
              </w:divsChild>
            </w:div>
            <w:div w:id="1065683376">
              <w:marLeft w:val="0"/>
              <w:marRight w:val="0"/>
              <w:marTop w:val="0"/>
              <w:marBottom w:val="0"/>
              <w:divBdr>
                <w:top w:val="none" w:sz="0" w:space="0" w:color="auto"/>
                <w:left w:val="none" w:sz="0" w:space="0" w:color="auto"/>
                <w:bottom w:val="none" w:sz="0" w:space="0" w:color="auto"/>
                <w:right w:val="none" w:sz="0" w:space="0" w:color="auto"/>
              </w:divBdr>
              <w:divsChild>
                <w:div w:id="1832715506">
                  <w:marLeft w:val="0"/>
                  <w:marRight w:val="0"/>
                  <w:marTop w:val="0"/>
                  <w:marBottom w:val="0"/>
                  <w:divBdr>
                    <w:top w:val="none" w:sz="0" w:space="0" w:color="auto"/>
                    <w:left w:val="none" w:sz="0" w:space="0" w:color="auto"/>
                    <w:bottom w:val="none" w:sz="0" w:space="0" w:color="auto"/>
                    <w:right w:val="none" w:sz="0" w:space="0" w:color="auto"/>
                  </w:divBdr>
                </w:div>
              </w:divsChild>
            </w:div>
            <w:div w:id="1066952563">
              <w:marLeft w:val="0"/>
              <w:marRight w:val="0"/>
              <w:marTop w:val="0"/>
              <w:marBottom w:val="0"/>
              <w:divBdr>
                <w:top w:val="none" w:sz="0" w:space="0" w:color="auto"/>
                <w:left w:val="none" w:sz="0" w:space="0" w:color="auto"/>
                <w:bottom w:val="none" w:sz="0" w:space="0" w:color="auto"/>
                <w:right w:val="none" w:sz="0" w:space="0" w:color="auto"/>
              </w:divBdr>
              <w:divsChild>
                <w:div w:id="11881852">
                  <w:marLeft w:val="0"/>
                  <w:marRight w:val="0"/>
                  <w:marTop w:val="0"/>
                  <w:marBottom w:val="0"/>
                  <w:divBdr>
                    <w:top w:val="none" w:sz="0" w:space="0" w:color="auto"/>
                    <w:left w:val="none" w:sz="0" w:space="0" w:color="auto"/>
                    <w:bottom w:val="none" w:sz="0" w:space="0" w:color="auto"/>
                    <w:right w:val="none" w:sz="0" w:space="0" w:color="auto"/>
                  </w:divBdr>
                </w:div>
              </w:divsChild>
            </w:div>
            <w:div w:id="1068502488">
              <w:marLeft w:val="0"/>
              <w:marRight w:val="0"/>
              <w:marTop w:val="0"/>
              <w:marBottom w:val="0"/>
              <w:divBdr>
                <w:top w:val="none" w:sz="0" w:space="0" w:color="auto"/>
                <w:left w:val="none" w:sz="0" w:space="0" w:color="auto"/>
                <w:bottom w:val="none" w:sz="0" w:space="0" w:color="auto"/>
                <w:right w:val="none" w:sz="0" w:space="0" w:color="auto"/>
              </w:divBdr>
              <w:divsChild>
                <w:div w:id="810052824">
                  <w:marLeft w:val="0"/>
                  <w:marRight w:val="0"/>
                  <w:marTop w:val="0"/>
                  <w:marBottom w:val="0"/>
                  <w:divBdr>
                    <w:top w:val="none" w:sz="0" w:space="0" w:color="auto"/>
                    <w:left w:val="none" w:sz="0" w:space="0" w:color="auto"/>
                    <w:bottom w:val="none" w:sz="0" w:space="0" w:color="auto"/>
                    <w:right w:val="none" w:sz="0" w:space="0" w:color="auto"/>
                  </w:divBdr>
                </w:div>
              </w:divsChild>
            </w:div>
            <w:div w:id="1068724344">
              <w:marLeft w:val="0"/>
              <w:marRight w:val="0"/>
              <w:marTop w:val="0"/>
              <w:marBottom w:val="0"/>
              <w:divBdr>
                <w:top w:val="none" w:sz="0" w:space="0" w:color="auto"/>
                <w:left w:val="none" w:sz="0" w:space="0" w:color="auto"/>
                <w:bottom w:val="none" w:sz="0" w:space="0" w:color="auto"/>
                <w:right w:val="none" w:sz="0" w:space="0" w:color="auto"/>
              </w:divBdr>
              <w:divsChild>
                <w:div w:id="1359233847">
                  <w:marLeft w:val="0"/>
                  <w:marRight w:val="0"/>
                  <w:marTop w:val="0"/>
                  <w:marBottom w:val="0"/>
                  <w:divBdr>
                    <w:top w:val="none" w:sz="0" w:space="0" w:color="auto"/>
                    <w:left w:val="none" w:sz="0" w:space="0" w:color="auto"/>
                    <w:bottom w:val="none" w:sz="0" w:space="0" w:color="auto"/>
                    <w:right w:val="none" w:sz="0" w:space="0" w:color="auto"/>
                  </w:divBdr>
                </w:div>
              </w:divsChild>
            </w:div>
            <w:div w:id="1069034004">
              <w:marLeft w:val="0"/>
              <w:marRight w:val="0"/>
              <w:marTop w:val="300"/>
              <w:marBottom w:val="300"/>
              <w:divBdr>
                <w:top w:val="none" w:sz="0" w:space="0" w:color="auto"/>
                <w:left w:val="none" w:sz="0" w:space="0" w:color="auto"/>
                <w:bottom w:val="none" w:sz="0" w:space="0" w:color="auto"/>
                <w:right w:val="none" w:sz="0" w:space="0" w:color="auto"/>
              </w:divBdr>
            </w:div>
            <w:div w:id="1069618576">
              <w:marLeft w:val="0"/>
              <w:marRight w:val="0"/>
              <w:marTop w:val="0"/>
              <w:marBottom w:val="0"/>
              <w:divBdr>
                <w:top w:val="none" w:sz="0" w:space="0" w:color="auto"/>
                <w:left w:val="none" w:sz="0" w:space="0" w:color="auto"/>
                <w:bottom w:val="none" w:sz="0" w:space="0" w:color="auto"/>
                <w:right w:val="none" w:sz="0" w:space="0" w:color="auto"/>
              </w:divBdr>
              <w:divsChild>
                <w:div w:id="439570479">
                  <w:marLeft w:val="0"/>
                  <w:marRight w:val="0"/>
                  <w:marTop w:val="0"/>
                  <w:marBottom w:val="0"/>
                  <w:divBdr>
                    <w:top w:val="none" w:sz="0" w:space="0" w:color="auto"/>
                    <w:left w:val="none" w:sz="0" w:space="0" w:color="auto"/>
                    <w:bottom w:val="none" w:sz="0" w:space="0" w:color="auto"/>
                    <w:right w:val="none" w:sz="0" w:space="0" w:color="auto"/>
                  </w:divBdr>
                </w:div>
              </w:divsChild>
            </w:div>
            <w:div w:id="1069842068">
              <w:marLeft w:val="0"/>
              <w:marRight w:val="0"/>
              <w:marTop w:val="0"/>
              <w:marBottom w:val="0"/>
              <w:divBdr>
                <w:top w:val="none" w:sz="0" w:space="0" w:color="auto"/>
                <w:left w:val="none" w:sz="0" w:space="0" w:color="auto"/>
                <w:bottom w:val="none" w:sz="0" w:space="0" w:color="auto"/>
                <w:right w:val="none" w:sz="0" w:space="0" w:color="auto"/>
              </w:divBdr>
              <w:divsChild>
                <w:div w:id="2024938179">
                  <w:marLeft w:val="0"/>
                  <w:marRight w:val="0"/>
                  <w:marTop w:val="0"/>
                  <w:marBottom w:val="0"/>
                  <w:divBdr>
                    <w:top w:val="none" w:sz="0" w:space="0" w:color="auto"/>
                    <w:left w:val="none" w:sz="0" w:space="0" w:color="auto"/>
                    <w:bottom w:val="none" w:sz="0" w:space="0" w:color="auto"/>
                    <w:right w:val="none" w:sz="0" w:space="0" w:color="auto"/>
                  </w:divBdr>
                </w:div>
              </w:divsChild>
            </w:div>
            <w:div w:id="1070929996">
              <w:marLeft w:val="0"/>
              <w:marRight w:val="0"/>
              <w:marTop w:val="300"/>
              <w:marBottom w:val="300"/>
              <w:divBdr>
                <w:top w:val="none" w:sz="0" w:space="0" w:color="auto"/>
                <w:left w:val="none" w:sz="0" w:space="0" w:color="auto"/>
                <w:bottom w:val="none" w:sz="0" w:space="0" w:color="auto"/>
                <w:right w:val="none" w:sz="0" w:space="0" w:color="auto"/>
              </w:divBdr>
            </w:div>
            <w:div w:id="1072121189">
              <w:marLeft w:val="0"/>
              <w:marRight w:val="0"/>
              <w:marTop w:val="0"/>
              <w:marBottom w:val="0"/>
              <w:divBdr>
                <w:top w:val="none" w:sz="0" w:space="0" w:color="auto"/>
                <w:left w:val="none" w:sz="0" w:space="0" w:color="auto"/>
                <w:bottom w:val="none" w:sz="0" w:space="0" w:color="auto"/>
                <w:right w:val="none" w:sz="0" w:space="0" w:color="auto"/>
              </w:divBdr>
              <w:divsChild>
                <w:div w:id="1050374994">
                  <w:marLeft w:val="0"/>
                  <w:marRight w:val="0"/>
                  <w:marTop w:val="0"/>
                  <w:marBottom w:val="0"/>
                  <w:divBdr>
                    <w:top w:val="none" w:sz="0" w:space="0" w:color="auto"/>
                    <w:left w:val="none" w:sz="0" w:space="0" w:color="auto"/>
                    <w:bottom w:val="none" w:sz="0" w:space="0" w:color="auto"/>
                    <w:right w:val="none" w:sz="0" w:space="0" w:color="auto"/>
                  </w:divBdr>
                </w:div>
              </w:divsChild>
            </w:div>
            <w:div w:id="1073431609">
              <w:marLeft w:val="0"/>
              <w:marRight w:val="0"/>
              <w:marTop w:val="300"/>
              <w:marBottom w:val="300"/>
              <w:divBdr>
                <w:top w:val="none" w:sz="0" w:space="0" w:color="auto"/>
                <w:left w:val="none" w:sz="0" w:space="0" w:color="auto"/>
                <w:bottom w:val="none" w:sz="0" w:space="0" w:color="auto"/>
                <w:right w:val="none" w:sz="0" w:space="0" w:color="auto"/>
              </w:divBdr>
            </w:div>
            <w:div w:id="1075973701">
              <w:marLeft w:val="0"/>
              <w:marRight w:val="0"/>
              <w:marTop w:val="300"/>
              <w:marBottom w:val="300"/>
              <w:divBdr>
                <w:top w:val="none" w:sz="0" w:space="0" w:color="auto"/>
                <w:left w:val="none" w:sz="0" w:space="0" w:color="auto"/>
                <w:bottom w:val="none" w:sz="0" w:space="0" w:color="auto"/>
                <w:right w:val="none" w:sz="0" w:space="0" w:color="auto"/>
              </w:divBdr>
            </w:div>
            <w:div w:id="1076785756">
              <w:marLeft w:val="0"/>
              <w:marRight w:val="0"/>
              <w:marTop w:val="0"/>
              <w:marBottom w:val="0"/>
              <w:divBdr>
                <w:top w:val="none" w:sz="0" w:space="0" w:color="auto"/>
                <w:left w:val="none" w:sz="0" w:space="0" w:color="auto"/>
                <w:bottom w:val="none" w:sz="0" w:space="0" w:color="auto"/>
                <w:right w:val="none" w:sz="0" w:space="0" w:color="auto"/>
              </w:divBdr>
              <w:divsChild>
                <w:div w:id="1065226957">
                  <w:marLeft w:val="0"/>
                  <w:marRight w:val="0"/>
                  <w:marTop w:val="0"/>
                  <w:marBottom w:val="0"/>
                  <w:divBdr>
                    <w:top w:val="none" w:sz="0" w:space="0" w:color="auto"/>
                    <w:left w:val="none" w:sz="0" w:space="0" w:color="auto"/>
                    <w:bottom w:val="none" w:sz="0" w:space="0" w:color="auto"/>
                    <w:right w:val="none" w:sz="0" w:space="0" w:color="auto"/>
                  </w:divBdr>
                </w:div>
              </w:divsChild>
            </w:div>
            <w:div w:id="1077020148">
              <w:marLeft w:val="0"/>
              <w:marRight w:val="0"/>
              <w:marTop w:val="0"/>
              <w:marBottom w:val="0"/>
              <w:divBdr>
                <w:top w:val="none" w:sz="0" w:space="0" w:color="auto"/>
                <w:left w:val="none" w:sz="0" w:space="0" w:color="auto"/>
                <w:bottom w:val="none" w:sz="0" w:space="0" w:color="auto"/>
                <w:right w:val="none" w:sz="0" w:space="0" w:color="auto"/>
              </w:divBdr>
              <w:divsChild>
                <w:div w:id="1521819108">
                  <w:marLeft w:val="0"/>
                  <w:marRight w:val="0"/>
                  <w:marTop w:val="0"/>
                  <w:marBottom w:val="0"/>
                  <w:divBdr>
                    <w:top w:val="none" w:sz="0" w:space="0" w:color="auto"/>
                    <w:left w:val="none" w:sz="0" w:space="0" w:color="auto"/>
                    <w:bottom w:val="none" w:sz="0" w:space="0" w:color="auto"/>
                    <w:right w:val="none" w:sz="0" w:space="0" w:color="auto"/>
                  </w:divBdr>
                </w:div>
              </w:divsChild>
            </w:div>
            <w:div w:id="1077744285">
              <w:marLeft w:val="0"/>
              <w:marRight w:val="0"/>
              <w:marTop w:val="0"/>
              <w:marBottom w:val="0"/>
              <w:divBdr>
                <w:top w:val="none" w:sz="0" w:space="0" w:color="auto"/>
                <w:left w:val="none" w:sz="0" w:space="0" w:color="auto"/>
                <w:bottom w:val="none" w:sz="0" w:space="0" w:color="auto"/>
                <w:right w:val="none" w:sz="0" w:space="0" w:color="auto"/>
              </w:divBdr>
              <w:divsChild>
                <w:div w:id="300618922">
                  <w:marLeft w:val="0"/>
                  <w:marRight w:val="0"/>
                  <w:marTop w:val="0"/>
                  <w:marBottom w:val="0"/>
                  <w:divBdr>
                    <w:top w:val="none" w:sz="0" w:space="0" w:color="auto"/>
                    <w:left w:val="none" w:sz="0" w:space="0" w:color="auto"/>
                    <w:bottom w:val="none" w:sz="0" w:space="0" w:color="auto"/>
                    <w:right w:val="none" w:sz="0" w:space="0" w:color="auto"/>
                  </w:divBdr>
                </w:div>
              </w:divsChild>
            </w:div>
            <w:div w:id="1078673186">
              <w:marLeft w:val="0"/>
              <w:marRight w:val="0"/>
              <w:marTop w:val="0"/>
              <w:marBottom w:val="0"/>
              <w:divBdr>
                <w:top w:val="none" w:sz="0" w:space="0" w:color="auto"/>
                <w:left w:val="none" w:sz="0" w:space="0" w:color="auto"/>
                <w:bottom w:val="none" w:sz="0" w:space="0" w:color="auto"/>
                <w:right w:val="none" w:sz="0" w:space="0" w:color="auto"/>
              </w:divBdr>
              <w:divsChild>
                <w:div w:id="77943809">
                  <w:marLeft w:val="0"/>
                  <w:marRight w:val="0"/>
                  <w:marTop w:val="0"/>
                  <w:marBottom w:val="0"/>
                  <w:divBdr>
                    <w:top w:val="none" w:sz="0" w:space="0" w:color="auto"/>
                    <w:left w:val="none" w:sz="0" w:space="0" w:color="auto"/>
                    <w:bottom w:val="none" w:sz="0" w:space="0" w:color="auto"/>
                    <w:right w:val="none" w:sz="0" w:space="0" w:color="auto"/>
                  </w:divBdr>
                </w:div>
              </w:divsChild>
            </w:div>
            <w:div w:id="1079256994">
              <w:marLeft w:val="0"/>
              <w:marRight w:val="0"/>
              <w:marTop w:val="0"/>
              <w:marBottom w:val="0"/>
              <w:divBdr>
                <w:top w:val="none" w:sz="0" w:space="0" w:color="auto"/>
                <w:left w:val="none" w:sz="0" w:space="0" w:color="auto"/>
                <w:bottom w:val="none" w:sz="0" w:space="0" w:color="auto"/>
                <w:right w:val="none" w:sz="0" w:space="0" w:color="auto"/>
              </w:divBdr>
              <w:divsChild>
                <w:div w:id="1515653282">
                  <w:marLeft w:val="0"/>
                  <w:marRight w:val="0"/>
                  <w:marTop w:val="0"/>
                  <w:marBottom w:val="0"/>
                  <w:divBdr>
                    <w:top w:val="none" w:sz="0" w:space="0" w:color="auto"/>
                    <w:left w:val="none" w:sz="0" w:space="0" w:color="auto"/>
                    <w:bottom w:val="none" w:sz="0" w:space="0" w:color="auto"/>
                    <w:right w:val="none" w:sz="0" w:space="0" w:color="auto"/>
                  </w:divBdr>
                </w:div>
              </w:divsChild>
            </w:div>
            <w:div w:id="1079981863">
              <w:marLeft w:val="0"/>
              <w:marRight w:val="0"/>
              <w:marTop w:val="0"/>
              <w:marBottom w:val="0"/>
              <w:divBdr>
                <w:top w:val="none" w:sz="0" w:space="0" w:color="auto"/>
                <w:left w:val="none" w:sz="0" w:space="0" w:color="auto"/>
                <w:bottom w:val="none" w:sz="0" w:space="0" w:color="auto"/>
                <w:right w:val="none" w:sz="0" w:space="0" w:color="auto"/>
              </w:divBdr>
              <w:divsChild>
                <w:div w:id="232737839">
                  <w:marLeft w:val="0"/>
                  <w:marRight w:val="0"/>
                  <w:marTop w:val="0"/>
                  <w:marBottom w:val="0"/>
                  <w:divBdr>
                    <w:top w:val="none" w:sz="0" w:space="0" w:color="auto"/>
                    <w:left w:val="none" w:sz="0" w:space="0" w:color="auto"/>
                    <w:bottom w:val="none" w:sz="0" w:space="0" w:color="auto"/>
                    <w:right w:val="none" w:sz="0" w:space="0" w:color="auto"/>
                  </w:divBdr>
                </w:div>
              </w:divsChild>
            </w:div>
            <w:div w:id="1079985887">
              <w:marLeft w:val="0"/>
              <w:marRight w:val="0"/>
              <w:marTop w:val="0"/>
              <w:marBottom w:val="0"/>
              <w:divBdr>
                <w:top w:val="none" w:sz="0" w:space="0" w:color="auto"/>
                <w:left w:val="none" w:sz="0" w:space="0" w:color="auto"/>
                <w:bottom w:val="none" w:sz="0" w:space="0" w:color="auto"/>
                <w:right w:val="none" w:sz="0" w:space="0" w:color="auto"/>
              </w:divBdr>
              <w:divsChild>
                <w:div w:id="1859467870">
                  <w:marLeft w:val="0"/>
                  <w:marRight w:val="0"/>
                  <w:marTop w:val="0"/>
                  <w:marBottom w:val="0"/>
                  <w:divBdr>
                    <w:top w:val="none" w:sz="0" w:space="0" w:color="auto"/>
                    <w:left w:val="none" w:sz="0" w:space="0" w:color="auto"/>
                    <w:bottom w:val="none" w:sz="0" w:space="0" w:color="auto"/>
                    <w:right w:val="none" w:sz="0" w:space="0" w:color="auto"/>
                  </w:divBdr>
                </w:div>
              </w:divsChild>
            </w:div>
            <w:div w:id="1081487987">
              <w:marLeft w:val="0"/>
              <w:marRight w:val="0"/>
              <w:marTop w:val="0"/>
              <w:marBottom w:val="0"/>
              <w:divBdr>
                <w:top w:val="none" w:sz="0" w:space="0" w:color="auto"/>
                <w:left w:val="none" w:sz="0" w:space="0" w:color="auto"/>
                <w:bottom w:val="none" w:sz="0" w:space="0" w:color="auto"/>
                <w:right w:val="none" w:sz="0" w:space="0" w:color="auto"/>
              </w:divBdr>
              <w:divsChild>
                <w:div w:id="1568494136">
                  <w:marLeft w:val="0"/>
                  <w:marRight w:val="0"/>
                  <w:marTop w:val="0"/>
                  <w:marBottom w:val="0"/>
                  <w:divBdr>
                    <w:top w:val="none" w:sz="0" w:space="0" w:color="auto"/>
                    <w:left w:val="none" w:sz="0" w:space="0" w:color="auto"/>
                    <w:bottom w:val="none" w:sz="0" w:space="0" w:color="auto"/>
                    <w:right w:val="none" w:sz="0" w:space="0" w:color="auto"/>
                  </w:divBdr>
                </w:div>
              </w:divsChild>
            </w:div>
            <w:div w:id="1081636683">
              <w:marLeft w:val="0"/>
              <w:marRight w:val="0"/>
              <w:marTop w:val="0"/>
              <w:marBottom w:val="0"/>
              <w:divBdr>
                <w:top w:val="none" w:sz="0" w:space="0" w:color="auto"/>
                <w:left w:val="none" w:sz="0" w:space="0" w:color="auto"/>
                <w:bottom w:val="none" w:sz="0" w:space="0" w:color="auto"/>
                <w:right w:val="none" w:sz="0" w:space="0" w:color="auto"/>
              </w:divBdr>
              <w:divsChild>
                <w:div w:id="1980063979">
                  <w:marLeft w:val="0"/>
                  <w:marRight w:val="0"/>
                  <w:marTop w:val="0"/>
                  <w:marBottom w:val="0"/>
                  <w:divBdr>
                    <w:top w:val="none" w:sz="0" w:space="0" w:color="auto"/>
                    <w:left w:val="none" w:sz="0" w:space="0" w:color="auto"/>
                    <w:bottom w:val="none" w:sz="0" w:space="0" w:color="auto"/>
                    <w:right w:val="none" w:sz="0" w:space="0" w:color="auto"/>
                  </w:divBdr>
                </w:div>
              </w:divsChild>
            </w:div>
            <w:div w:id="1082524490">
              <w:marLeft w:val="0"/>
              <w:marRight w:val="0"/>
              <w:marTop w:val="0"/>
              <w:marBottom w:val="0"/>
              <w:divBdr>
                <w:top w:val="none" w:sz="0" w:space="0" w:color="auto"/>
                <w:left w:val="none" w:sz="0" w:space="0" w:color="auto"/>
                <w:bottom w:val="none" w:sz="0" w:space="0" w:color="auto"/>
                <w:right w:val="none" w:sz="0" w:space="0" w:color="auto"/>
              </w:divBdr>
              <w:divsChild>
                <w:div w:id="1054087939">
                  <w:marLeft w:val="0"/>
                  <w:marRight w:val="0"/>
                  <w:marTop w:val="0"/>
                  <w:marBottom w:val="0"/>
                  <w:divBdr>
                    <w:top w:val="none" w:sz="0" w:space="0" w:color="auto"/>
                    <w:left w:val="none" w:sz="0" w:space="0" w:color="auto"/>
                    <w:bottom w:val="none" w:sz="0" w:space="0" w:color="auto"/>
                    <w:right w:val="none" w:sz="0" w:space="0" w:color="auto"/>
                  </w:divBdr>
                </w:div>
              </w:divsChild>
            </w:div>
            <w:div w:id="1084381625">
              <w:marLeft w:val="0"/>
              <w:marRight w:val="0"/>
              <w:marTop w:val="0"/>
              <w:marBottom w:val="0"/>
              <w:divBdr>
                <w:top w:val="none" w:sz="0" w:space="0" w:color="auto"/>
                <w:left w:val="none" w:sz="0" w:space="0" w:color="auto"/>
                <w:bottom w:val="none" w:sz="0" w:space="0" w:color="auto"/>
                <w:right w:val="none" w:sz="0" w:space="0" w:color="auto"/>
              </w:divBdr>
              <w:divsChild>
                <w:div w:id="1501581619">
                  <w:marLeft w:val="0"/>
                  <w:marRight w:val="0"/>
                  <w:marTop w:val="0"/>
                  <w:marBottom w:val="0"/>
                  <w:divBdr>
                    <w:top w:val="none" w:sz="0" w:space="0" w:color="auto"/>
                    <w:left w:val="none" w:sz="0" w:space="0" w:color="auto"/>
                    <w:bottom w:val="none" w:sz="0" w:space="0" w:color="auto"/>
                    <w:right w:val="none" w:sz="0" w:space="0" w:color="auto"/>
                  </w:divBdr>
                </w:div>
              </w:divsChild>
            </w:div>
            <w:div w:id="1084954521">
              <w:marLeft w:val="0"/>
              <w:marRight w:val="0"/>
              <w:marTop w:val="0"/>
              <w:marBottom w:val="0"/>
              <w:divBdr>
                <w:top w:val="none" w:sz="0" w:space="0" w:color="auto"/>
                <w:left w:val="none" w:sz="0" w:space="0" w:color="auto"/>
                <w:bottom w:val="none" w:sz="0" w:space="0" w:color="auto"/>
                <w:right w:val="none" w:sz="0" w:space="0" w:color="auto"/>
              </w:divBdr>
              <w:divsChild>
                <w:div w:id="2035501410">
                  <w:marLeft w:val="0"/>
                  <w:marRight w:val="0"/>
                  <w:marTop w:val="0"/>
                  <w:marBottom w:val="0"/>
                  <w:divBdr>
                    <w:top w:val="none" w:sz="0" w:space="0" w:color="auto"/>
                    <w:left w:val="none" w:sz="0" w:space="0" w:color="auto"/>
                    <w:bottom w:val="none" w:sz="0" w:space="0" w:color="auto"/>
                    <w:right w:val="none" w:sz="0" w:space="0" w:color="auto"/>
                  </w:divBdr>
                </w:div>
              </w:divsChild>
            </w:div>
            <w:div w:id="1086077019">
              <w:marLeft w:val="0"/>
              <w:marRight w:val="0"/>
              <w:marTop w:val="0"/>
              <w:marBottom w:val="0"/>
              <w:divBdr>
                <w:top w:val="none" w:sz="0" w:space="0" w:color="auto"/>
                <w:left w:val="none" w:sz="0" w:space="0" w:color="auto"/>
                <w:bottom w:val="none" w:sz="0" w:space="0" w:color="auto"/>
                <w:right w:val="none" w:sz="0" w:space="0" w:color="auto"/>
              </w:divBdr>
              <w:divsChild>
                <w:div w:id="893270415">
                  <w:marLeft w:val="0"/>
                  <w:marRight w:val="0"/>
                  <w:marTop w:val="0"/>
                  <w:marBottom w:val="0"/>
                  <w:divBdr>
                    <w:top w:val="none" w:sz="0" w:space="0" w:color="auto"/>
                    <w:left w:val="none" w:sz="0" w:space="0" w:color="auto"/>
                    <w:bottom w:val="none" w:sz="0" w:space="0" w:color="auto"/>
                    <w:right w:val="none" w:sz="0" w:space="0" w:color="auto"/>
                  </w:divBdr>
                </w:div>
              </w:divsChild>
            </w:div>
            <w:div w:id="1086077394">
              <w:marLeft w:val="0"/>
              <w:marRight w:val="0"/>
              <w:marTop w:val="0"/>
              <w:marBottom w:val="0"/>
              <w:divBdr>
                <w:top w:val="none" w:sz="0" w:space="0" w:color="auto"/>
                <w:left w:val="none" w:sz="0" w:space="0" w:color="auto"/>
                <w:bottom w:val="none" w:sz="0" w:space="0" w:color="auto"/>
                <w:right w:val="none" w:sz="0" w:space="0" w:color="auto"/>
              </w:divBdr>
              <w:divsChild>
                <w:div w:id="1614708553">
                  <w:marLeft w:val="0"/>
                  <w:marRight w:val="0"/>
                  <w:marTop w:val="0"/>
                  <w:marBottom w:val="0"/>
                  <w:divBdr>
                    <w:top w:val="none" w:sz="0" w:space="0" w:color="auto"/>
                    <w:left w:val="none" w:sz="0" w:space="0" w:color="auto"/>
                    <w:bottom w:val="none" w:sz="0" w:space="0" w:color="auto"/>
                    <w:right w:val="none" w:sz="0" w:space="0" w:color="auto"/>
                  </w:divBdr>
                </w:div>
              </w:divsChild>
            </w:div>
            <w:div w:id="1087339886">
              <w:marLeft w:val="0"/>
              <w:marRight w:val="0"/>
              <w:marTop w:val="300"/>
              <w:marBottom w:val="300"/>
              <w:divBdr>
                <w:top w:val="none" w:sz="0" w:space="0" w:color="auto"/>
                <w:left w:val="none" w:sz="0" w:space="0" w:color="auto"/>
                <w:bottom w:val="none" w:sz="0" w:space="0" w:color="auto"/>
                <w:right w:val="none" w:sz="0" w:space="0" w:color="auto"/>
              </w:divBdr>
            </w:div>
            <w:div w:id="1089541792">
              <w:marLeft w:val="0"/>
              <w:marRight w:val="0"/>
              <w:marTop w:val="0"/>
              <w:marBottom w:val="0"/>
              <w:divBdr>
                <w:top w:val="none" w:sz="0" w:space="0" w:color="auto"/>
                <w:left w:val="none" w:sz="0" w:space="0" w:color="auto"/>
                <w:bottom w:val="none" w:sz="0" w:space="0" w:color="auto"/>
                <w:right w:val="none" w:sz="0" w:space="0" w:color="auto"/>
              </w:divBdr>
              <w:divsChild>
                <w:div w:id="1350453228">
                  <w:marLeft w:val="0"/>
                  <w:marRight w:val="0"/>
                  <w:marTop w:val="0"/>
                  <w:marBottom w:val="0"/>
                  <w:divBdr>
                    <w:top w:val="none" w:sz="0" w:space="0" w:color="auto"/>
                    <w:left w:val="none" w:sz="0" w:space="0" w:color="auto"/>
                    <w:bottom w:val="none" w:sz="0" w:space="0" w:color="auto"/>
                    <w:right w:val="none" w:sz="0" w:space="0" w:color="auto"/>
                  </w:divBdr>
                </w:div>
              </w:divsChild>
            </w:div>
            <w:div w:id="1092118073">
              <w:marLeft w:val="0"/>
              <w:marRight w:val="0"/>
              <w:marTop w:val="0"/>
              <w:marBottom w:val="0"/>
              <w:divBdr>
                <w:top w:val="none" w:sz="0" w:space="0" w:color="auto"/>
                <w:left w:val="none" w:sz="0" w:space="0" w:color="auto"/>
                <w:bottom w:val="none" w:sz="0" w:space="0" w:color="auto"/>
                <w:right w:val="none" w:sz="0" w:space="0" w:color="auto"/>
              </w:divBdr>
              <w:divsChild>
                <w:div w:id="239101527">
                  <w:marLeft w:val="0"/>
                  <w:marRight w:val="0"/>
                  <w:marTop w:val="0"/>
                  <w:marBottom w:val="0"/>
                  <w:divBdr>
                    <w:top w:val="none" w:sz="0" w:space="0" w:color="auto"/>
                    <w:left w:val="none" w:sz="0" w:space="0" w:color="auto"/>
                    <w:bottom w:val="none" w:sz="0" w:space="0" w:color="auto"/>
                    <w:right w:val="none" w:sz="0" w:space="0" w:color="auto"/>
                  </w:divBdr>
                </w:div>
              </w:divsChild>
            </w:div>
            <w:div w:id="1092124265">
              <w:marLeft w:val="0"/>
              <w:marRight w:val="0"/>
              <w:marTop w:val="0"/>
              <w:marBottom w:val="0"/>
              <w:divBdr>
                <w:top w:val="none" w:sz="0" w:space="0" w:color="auto"/>
                <w:left w:val="none" w:sz="0" w:space="0" w:color="auto"/>
                <w:bottom w:val="none" w:sz="0" w:space="0" w:color="auto"/>
                <w:right w:val="none" w:sz="0" w:space="0" w:color="auto"/>
              </w:divBdr>
              <w:divsChild>
                <w:div w:id="422340987">
                  <w:marLeft w:val="0"/>
                  <w:marRight w:val="0"/>
                  <w:marTop w:val="0"/>
                  <w:marBottom w:val="0"/>
                  <w:divBdr>
                    <w:top w:val="none" w:sz="0" w:space="0" w:color="auto"/>
                    <w:left w:val="none" w:sz="0" w:space="0" w:color="auto"/>
                    <w:bottom w:val="none" w:sz="0" w:space="0" w:color="auto"/>
                    <w:right w:val="none" w:sz="0" w:space="0" w:color="auto"/>
                  </w:divBdr>
                </w:div>
              </w:divsChild>
            </w:div>
            <w:div w:id="1094210111">
              <w:marLeft w:val="0"/>
              <w:marRight w:val="0"/>
              <w:marTop w:val="0"/>
              <w:marBottom w:val="0"/>
              <w:divBdr>
                <w:top w:val="none" w:sz="0" w:space="0" w:color="auto"/>
                <w:left w:val="none" w:sz="0" w:space="0" w:color="auto"/>
                <w:bottom w:val="none" w:sz="0" w:space="0" w:color="auto"/>
                <w:right w:val="none" w:sz="0" w:space="0" w:color="auto"/>
              </w:divBdr>
              <w:divsChild>
                <w:div w:id="1884900075">
                  <w:marLeft w:val="0"/>
                  <w:marRight w:val="0"/>
                  <w:marTop w:val="0"/>
                  <w:marBottom w:val="0"/>
                  <w:divBdr>
                    <w:top w:val="none" w:sz="0" w:space="0" w:color="auto"/>
                    <w:left w:val="none" w:sz="0" w:space="0" w:color="auto"/>
                    <w:bottom w:val="none" w:sz="0" w:space="0" w:color="auto"/>
                    <w:right w:val="none" w:sz="0" w:space="0" w:color="auto"/>
                  </w:divBdr>
                </w:div>
              </w:divsChild>
            </w:div>
            <w:div w:id="1095173375">
              <w:marLeft w:val="0"/>
              <w:marRight w:val="0"/>
              <w:marTop w:val="300"/>
              <w:marBottom w:val="300"/>
              <w:divBdr>
                <w:top w:val="none" w:sz="0" w:space="0" w:color="auto"/>
                <w:left w:val="none" w:sz="0" w:space="0" w:color="auto"/>
                <w:bottom w:val="none" w:sz="0" w:space="0" w:color="auto"/>
                <w:right w:val="none" w:sz="0" w:space="0" w:color="auto"/>
              </w:divBdr>
            </w:div>
            <w:div w:id="1095788663">
              <w:marLeft w:val="0"/>
              <w:marRight w:val="0"/>
              <w:marTop w:val="0"/>
              <w:marBottom w:val="0"/>
              <w:divBdr>
                <w:top w:val="none" w:sz="0" w:space="0" w:color="auto"/>
                <w:left w:val="none" w:sz="0" w:space="0" w:color="auto"/>
                <w:bottom w:val="none" w:sz="0" w:space="0" w:color="auto"/>
                <w:right w:val="none" w:sz="0" w:space="0" w:color="auto"/>
              </w:divBdr>
              <w:divsChild>
                <w:div w:id="539704996">
                  <w:marLeft w:val="0"/>
                  <w:marRight w:val="0"/>
                  <w:marTop w:val="0"/>
                  <w:marBottom w:val="0"/>
                  <w:divBdr>
                    <w:top w:val="none" w:sz="0" w:space="0" w:color="auto"/>
                    <w:left w:val="none" w:sz="0" w:space="0" w:color="auto"/>
                    <w:bottom w:val="none" w:sz="0" w:space="0" w:color="auto"/>
                    <w:right w:val="none" w:sz="0" w:space="0" w:color="auto"/>
                  </w:divBdr>
                </w:div>
              </w:divsChild>
            </w:div>
            <w:div w:id="1096293300">
              <w:marLeft w:val="0"/>
              <w:marRight w:val="0"/>
              <w:marTop w:val="0"/>
              <w:marBottom w:val="0"/>
              <w:divBdr>
                <w:top w:val="none" w:sz="0" w:space="0" w:color="auto"/>
                <w:left w:val="none" w:sz="0" w:space="0" w:color="auto"/>
                <w:bottom w:val="none" w:sz="0" w:space="0" w:color="auto"/>
                <w:right w:val="none" w:sz="0" w:space="0" w:color="auto"/>
              </w:divBdr>
              <w:divsChild>
                <w:div w:id="1107769463">
                  <w:marLeft w:val="0"/>
                  <w:marRight w:val="0"/>
                  <w:marTop w:val="0"/>
                  <w:marBottom w:val="0"/>
                  <w:divBdr>
                    <w:top w:val="none" w:sz="0" w:space="0" w:color="auto"/>
                    <w:left w:val="none" w:sz="0" w:space="0" w:color="auto"/>
                    <w:bottom w:val="none" w:sz="0" w:space="0" w:color="auto"/>
                    <w:right w:val="none" w:sz="0" w:space="0" w:color="auto"/>
                  </w:divBdr>
                </w:div>
              </w:divsChild>
            </w:div>
            <w:div w:id="1097557909">
              <w:marLeft w:val="0"/>
              <w:marRight w:val="0"/>
              <w:marTop w:val="0"/>
              <w:marBottom w:val="0"/>
              <w:divBdr>
                <w:top w:val="none" w:sz="0" w:space="0" w:color="auto"/>
                <w:left w:val="none" w:sz="0" w:space="0" w:color="auto"/>
                <w:bottom w:val="none" w:sz="0" w:space="0" w:color="auto"/>
                <w:right w:val="none" w:sz="0" w:space="0" w:color="auto"/>
              </w:divBdr>
              <w:divsChild>
                <w:div w:id="1585800227">
                  <w:marLeft w:val="0"/>
                  <w:marRight w:val="0"/>
                  <w:marTop w:val="0"/>
                  <w:marBottom w:val="0"/>
                  <w:divBdr>
                    <w:top w:val="none" w:sz="0" w:space="0" w:color="auto"/>
                    <w:left w:val="none" w:sz="0" w:space="0" w:color="auto"/>
                    <w:bottom w:val="none" w:sz="0" w:space="0" w:color="auto"/>
                    <w:right w:val="none" w:sz="0" w:space="0" w:color="auto"/>
                  </w:divBdr>
                </w:div>
              </w:divsChild>
            </w:div>
            <w:div w:id="1098253124">
              <w:marLeft w:val="0"/>
              <w:marRight w:val="0"/>
              <w:marTop w:val="0"/>
              <w:marBottom w:val="0"/>
              <w:divBdr>
                <w:top w:val="none" w:sz="0" w:space="0" w:color="auto"/>
                <w:left w:val="none" w:sz="0" w:space="0" w:color="auto"/>
                <w:bottom w:val="none" w:sz="0" w:space="0" w:color="auto"/>
                <w:right w:val="none" w:sz="0" w:space="0" w:color="auto"/>
              </w:divBdr>
              <w:divsChild>
                <w:div w:id="1515068700">
                  <w:marLeft w:val="0"/>
                  <w:marRight w:val="0"/>
                  <w:marTop w:val="0"/>
                  <w:marBottom w:val="0"/>
                  <w:divBdr>
                    <w:top w:val="none" w:sz="0" w:space="0" w:color="auto"/>
                    <w:left w:val="none" w:sz="0" w:space="0" w:color="auto"/>
                    <w:bottom w:val="none" w:sz="0" w:space="0" w:color="auto"/>
                    <w:right w:val="none" w:sz="0" w:space="0" w:color="auto"/>
                  </w:divBdr>
                </w:div>
              </w:divsChild>
            </w:div>
            <w:div w:id="1099060820">
              <w:marLeft w:val="0"/>
              <w:marRight w:val="0"/>
              <w:marTop w:val="0"/>
              <w:marBottom w:val="0"/>
              <w:divBdr>
                <w:top w:val="none" w:sz="0" w:space="0" w:color="auto"/>
                <w:left w:val="none" w:sz="0" w:space="0" w:color="auto"/>
                <w:bottom w:val="none" w:sz="0" w:space="0" w:color="auto"/>
                <w:right w:val="none" w:sz="0" w:space="0" w:color="auto"/>
              </w:divBdr>
              <w:divsChild>
                <w:div w:id="575360527">
                  <w:marLeft w:val="0"/>
                  <w:marRight w:val="0"/>
                  <w:marTop w:val="0"/>
                  <w:marBottom w:val="0"/>
                  <w:divBdr>
                    <w:top w:val="none" w:sz="0" w:space="0" w:color="auto"/>
                    <w:left w:val="none" w:sz="0" w:space="0" w:color="auto"/>
                    <w:bottom w:val="none" w:sz="0" w:space="0" w:color="auto"/>
                    <w:right w:val="none" w:sz="0" w:space="0" w:color="auto"/>
                  </w:divBdr>
                </w:div>
              </w:divsChild>
            </w:div>
            <w:div w:id="1099250782">
              <w:marLeft w:val="0"/>
              <w:marRight w:val="0"/>
              <w:marTop w:val="0"/>
              <w:marBottom w:val="0"/>
              <w:divBdr>
                <w:top w:val="none" w:sz="0" w:space="0" w:color="auto"/>
                <w:left w:val="none" w:sz="0" w:space="0" w:color="auto"/>
                <w:bottom w:val="none" w:sz="0" w:space="0" w:color="auto"/>
                <w:right w:val="none" w:sz="0" w:space="0" w:color="auto"/>
              </w:divBdr>
              <w:divsChild>
                <w:div w:id="115685899">
                  <w:marLeft w:val="0"/>
                  <w:marRight w:val="0"/>
                  <w:marTop w:val="0"/>
                  <w:marBottom w:val="0"/>
                  <w:divBdr>
                    <w:top w:val="none" w:sz="0" w:space="0" w:color="auto"/>
                    <w:left w:val="none" w:sz="0" w:space="0" w:color="auto"/>
                    <w:bottom w:val="none" w:sz="0" w:space="0" w:color="auto"/>
                    <w:right w:val="none" w:sz="0" w:space="0" w:color="auto"/>
                  </w:divBdr>
                </w:div>
              </w:divsChild>
            </w:div>
            <w:div w:id="1099639786">
              <w:marLeft w:val="0"/>
              <w:marRight w:val="0"/>
              <w:marTop w:val="0"/>
              <w:marBottom w:val="0"/>
              <w:divBdr>
                <w:top w:val="none" w:sz="0" w:space="0" w:color="auto"/>
                <w:left w:val="none" w:sz="0" w:space="0" w:color="auto"/>
                <w:bottom w:val="none" w:sz="0" w:space="0" w:color="auto"/>
                <w:right w:val="none" w:sz="0" w:space="0" w:color="auto"/>
              </w:divBdr>
              <w:divsChild>
                <w:div w:id="1441292944">
                  <w:marLeft w:val="0"/>
                  <w:marRight w:val="0"/>
                  <w:marTop w:val="0"/>
                  <w:marBottom w:val="0"/>
                  <w:divBdr>
                    <w:top w:val="none" w:sz="0" w:space="0" w:color="auto"/>
                    <w:left w:val="none" w:sz="0" w:space="0" w:color="auto"/>
                    <w:bottom w:val="none" w:sz="0" w:space="0" w:color="auto"/>
                    <w:right w:val="none" w:sz="0" w:space="0" w:color="auto"/>
                  </w:divBdr>
                </w:div>
              </w:divsChild>
            </w:div>
            <w:div w:id="1104307150">
              <w:marLeft w:val="0"/>
              <w:marRight w:val="0"/>
              <w:marTop w:val="0"/>
              <w:marBottom w:val="0"/>
              <w:divBdr>
                <w:top w:val="none" w:sz="0" w:space="0" w:color="auto"/>
                <w:left w:val="none" w:sz="0" w:space="0" w:color="auto"/>
                <w:bottom w:val="none" w:sz="0" w:space="0" w:color="auto"/>
                <w:right w:val="none" w:sz="0" w:space="0" w:color="auto"/>
              </w:divBdr>
              <w:divsChild>
                <w:div w:id="1600333481">
                  <w:marLeft w:val="0"/>
                  <w:marRight w:val="0"/>
                  <w:marTop w:val="0"/>
                  <w:marBottom w:val="0"/>
                  <w:divBdr>
                    <w:top w:val="none" w:sz="0" w:space="0" w:color="auto"/>
                    <w:left w:val="none" w:sz="0" w:space="0" w:color="auto"/>
                    <w:bottom w:val="none" w:sz="0" w:space="0" w:color="auto"/>
                    <w:right w:val="none" w:sz="0" w:space="0" w:color="auto"/>
                  </w:divBdr>
                </w:div>
              </w:divsChild>
            </w:div>
            <w:div w:id="1104422522">
              <w:marLeft w:val="0"/>
              <w:marRight w:val="0"/>
              <w:marTop w:val="0"/>
              <w:marBottom w:val="0"/>
              <w:divBdr>
                <w:top w:val="none" w:sz="0" w:space="0" w:color="auto"/>
                <w:left w:val="none" w:sz="0" w:space="0" w:color="auto"/>
                <w:bottom w:val="none" w:sz="0" w:space="0" w:color="auto"/>
                <w:right w:val="none" w:sz="0" w:space="0" w:color="auto"/>
              </w:divBdr>
              <w:divsChild>
                <w:div w:id="2122218850">
                  <w:marLeft w:val="0"/>
                  <w:marRight w:val="0"/>
                  <w:marTop w:val="0"/>
                  <w:marBottom w:val="0"/>
                  <w:divBdr>
                    <w:top w:val="none" w:sz="0" w:space="0" w:color="auto"/>
                    <w:left w:val="none" w:sz="0" w:space="0" w:color="auto"/>
                    <w:bottom w:val="none" w:sz="0" w:space="0" w:color="auto"/>
                    <w:right w:val="none" w:sz="0" w:space="0" w:color="auto"/>
                  </w:divBdr>
                </w:div>
              </w:divsChild>
            </w:div>
            <w:div w:id="1105079124">
              <w:marLeft w:val="0"/>
              <w:marRight w:val="0"/>
              <w:marTop w:val="0"/>
              <w:marBottom w:val="0"/>
              <w:divBdr>
                <w:top w:val="none" w:sz="0" w:space="0" w:color="auto"/>
                <w:left w:val="none" w:sz="0" w:space="0" w:color="auto"/>
                <w:bottom w:val="none" w:sz="0" w:space="0" w:color="auto"/>
                <w:right w:val="none" w:sz="0" w:space="0" w:color="auto"/>
              </w:divBdr>
              <w:divsChild>
                <w:div w:id="697242190">
                  <w:marLeft w:val="0"/>
                  <w:marRight w:val="0"/>
                  <w:marTop w:val="0"/>
                  <w:marBottom w:val="0"/>
                  <w:divBdr>
                    <w:top w:val="none" w:sz="0" w:space="0" w:color="auto"/>
                    <w:left w:val="none" w:sz="0" w:space="0" w:color="auto"/>
                    <w:bottom w:val="none" w:sz="0" w:space="0" w:color="auto"/>
                    <w:right w:val="none" w:sz="0" w:space="0" w:color="auto"/>
                  </w:divBdr>
                </w:div>
              </w:divsChild>
            </w:div>
            <w:div w:id="1105729058">
              <w:marLeft w:val="0"/>
              <w:marRight w:val="0"/>
              <w:marTop w:val="0"/>
              <w:marBottom w:val="0"/>
              <w:divBdr>
                <w:top w:val="none" w:sz="0" w:space="0" w:color="auto"/>
                <w:left w:val="none" w:sz="0" w:space="0" w:color="auto"/>
                <w:bottom w:val="none" w:sz="0" w:space="0" w:color="auto"/>
                <w:right w:val="none" w:sz="0" w:space="0" w:color="auto"/>
              </w:divBdr>
              <w:divsChild>
                <w:div w:id="156845703">
                  <w:marLeft w:val="0"/>
                  <w:marRight w:val="0"/>
                  <w:marTop w:val="0"/>
                  <w:marBottom w:val="0"/>
                  <w:divBdr>
                    <w:top w:val="none" w:sz="0" w:space="0" w:color="auto"/>
                    <w:left w:val="none" w:sz="0" w:space="0" w:color="auto"/>
                    <w:bottom w:val="none" w:sz="0" w:space="0" w:color="auto"/>
                    <w:right w:val="none" w:sz="0" w:space="0" w:color="auto"/>
                  </w:divBdr>
                </w:div>
              </w:divsChild>
            </w:div>
            <w:div w:id="1105924208">
              <w:marLeft w:val="0"/>
              <w:marRight w:val="0"/>
              <w:marTop w:val="0"/>
              <w:marBottom w:val="0"/>
              <w:divBdr>
                <w:top w:val="none" w:sz="0" w:space="0" w:color="auto"/>
                <w:left w:val="none" w:sz="0" w:space="0" w:color="auto"/>
                <w:bottom w:val="none" w:sz="0" w:space="0" w:color="auto"/>
                <w:right w:val="none" w:sz="0" w:space="0" w:color="auto"/>
              </w:divBdr>
              <w:divsChild>
                <w:div w:id="1914578908">
                  <w:marLeft w:val="0"/>
                  <w:marRight w:val="0"/>
                  <w:marTop w:val="0"/>
                  <w:marBottom w:val="0"/>
                  <w:divBdr>
                    <w:top w:val="none" w:sz="0" w:space="0" w:color="auto"/>
                    <w:left w:val="none" w:sz="0" w:space="0" w:color="auto"/>
                    <w:bottom w:val="none" w:sz="0" w:space="0" w:color="auto"/>
                    <w:right w:val="none" w:sz="0" w:space="0" w:color="auto"/>
                  </w:divBdr>
                </w:div>
              </w:divsChild>
            </w:div>
            <w:div w:id="1106001354">
              <w:marLeft w:val="0"/>
              <w:marRight w:val="0"/>
              <w:marTop w:val="0"/>
              <w:marBottom w:val="0"/>
              <w:divBdr>
                <w:top w:val="none" w:sz="0" w:space="0" w:color="auto"/>
                <w:left w:val="none" w:sz="0" w:space="0" w:color="auto"/>
                <w:bottom w:val="none" w:sz="0" w:space="0" w:color="auto"/>
                <w:right w:val="none" w:sz="0" w:space="0" w:color="auto"/>
              </w:divBdr>
              <w:divsChild>
                <w:div w:id="613631319">
                  <w:marLeft w:val="0"/>
                  <w:marRight w:val="0"/>
                  <w:marTop w:val="0"/>
                  <w:marBottom w:val="0"/>
                  <w:divBdr>
                    <w:top w:val="none" w:sz="0" w:space="0" w:color="auto"/>
                    <w:left w:val="none" w:sz="0" w:space="0" w:color="auto"/>
                    <w:bottom w:val="none" w:sz="0" w:space="0" w:color="auto"/>
                    <w:right w:val="none" w:sz="0" w:space="0" w:color="auto"/>
                  </w:divBdr>
                </w:div>
              </w:divsChild>
            </w:div>
            <w:div w:id="1108544208">
              <w:marLeft w:val="0"/>
              <w:marRight w:val="0"/>
              <w:marTop w:val="0"/>
              <w:marBottom w:val="0"/>
              <w:divBdr>
                <w:top w:val="none" w:sz="0" w:space="0" w:color="auto"/>
                <w:left w:val="none" w:sz="0" w:space="0" w:color="auto"/>
                <w:bottom w:val="none" w:sz="0" w:space="0" w:color="auto"/>
                <w:right w:val="none" w:sz="0" w:space="0" w:color="auto"/>
              </w:divBdr>
              <w:divsChild>
                <w:div w:id="2011790226">
                  <w:marLeft w:val="0"/>
                  <w:marRight w:val="0"/>
                  <w:marTop w:val="0"/>
                  <w:marBottom w:val="0"/>
                  <w:divBdr>
                    <w:top w:val="none" w:sz="0" w:space="0" w:color="auto"/>
                    <w:left w:val="none" w:sz="0" w:space="0" w:color="auto"/>
                    <w:bottom w:val="none" w:sz="0" w:space="0" w:color="auto"/>
                    <w:right w:val="none" w:sz="0" w:space="0" w:color="auto"/>
                  </w:divBdr>
                </w:div>
              </w:divsChild>
            </w:div>
            <w:div w:id="1108894065">
              <w:marLeft w:val="0"/>
              <w:marRight w:val="0"/>
              <w:marTop w:val="0"/>
              <w:marBottom w:val="0"/>
              <w:divBdr>
                <w:top w:val="none" w:sz="0" w:space="0" w:color="auto"/>
                <w:left w:val="none" w:sz="0" w:space="0" w:color="auto"/>
                <w:bottom w:val="none" w:sz="0" w:space="0" w:color="auto"/>
                <w:right w:val="none" w:sz="0" w:space="0" w:color="auto"/>
              </w:divBdr>
              <w:divsChild>
                <w:div w:id="734593636">
                  <w:marLeft w:val="0"/>
                  <w:marRight w:val="0"/>
                  <w:marTop w:val="0"/>
                  <w:marBottom w:val="0"/>
                  <w:divBdr>
                    <w:top w:val="none" w:sz="0" w:space="0" w:color="auto"/>
                    <w:left w:val="none" w:sz="0" w:space="0" w:color="auto"/>
                    <w:bottom w:val="none" w:sz="0" w:space="0" w:color="auto"/>
                    <w:right w:val="none" w:sz="0" w:space="0" w:color="auto"/>
                  </w:divBdr>
                </w:div>
              </w:divsChild>
            </w:div>
            <w:div w:id="1111779591">
              <w:marLeft w:val="0"/>
              <w:marRight w:val="0"/>
              <w:marTop w:val="0"/>
              <w:marBottom w:val="0"/>
              <w:divBdr>
                <w:top w:val="none" w:sz="0" w:space="0" w:color="auto"/>
                <w:left w:val="none" w:sz="0" w:space="0" w:color="auto"/>
                <w:bottom w:val="none" w:sz="0" w:space="0" w:color="auto"/>
                <w:right w:val="none" w:sz="0" w:space="0" w:color="auto"/>
              </w:divBdr>
              <w:divsChild>
                <w:div w:id="2053261542">
                  <w:marLeft w:val="0"/>
                  <w:marRight w:val="0"/>
                  <w:marTop w:val="0"/>
                  <w:marBottom w:val="0"/>
                  <w:divBdr>
                    <w:top w:val="none" w:sz="0" w:space="0" w:color="auto"/>
                    <w:left w:val="none" w:sz="0" w:space="0" w:color="auto"/>
                    <w:bottom w:val="none" w:sz="0" w:space="0" w:color="auto"/>
                    <w:right w:val="none" w:sz="0" w:space="0" w:color="auto"/>
                  </w:divBdr>
                </w:div>
              </w:divsChild>
            </w:div>
            <w:div w:id="1113280331">
              <w:marLeft w:val="0"/>
              <w:marRight w:val="0"/>
              <w:marTop w:val="0"/>
              <w:marBottom w:val="0"/>
              <w:divBdr>
                <w:top w:val="none" w:sz="0" w:space="0" w:color="auto"/>
                <w:left w:val="none" w:sz="0" w:space="0" w:color="auto"/>
                <w:bottom w:val="none" w:sz="0" w:space="0" w:color="auto"/>
                <w:right w:val="none" w:sz="0" w:space="0" w:color="auto"/>
              </w:divBdr>
              <w:divsChild>
                <w:div w:id="77288566">
                  <w:marLeft w:val="0"/>
                  <w:marRight w:val="0"/>
                  <w:marTop w:val="0"/>
                  <w:marBottom w:val="0"/>
                  <w:divBdr>
                    <w:top w:val="none" w:sz="0" w:space="0" w:color="auto"/>
                    <w:left w:val="none" w:sz="0" w:space="0" w:color="auto"/>
                    <w:bottom w:val="none" w:sz="0" w:space="0" w:color="auto"/>
                    <w:right w:val="none" w:sz="0" w:space="0" w:color="auto"/>
                  </w:divBdr>
                </w:div>
              </w:divsChild>
            </w:div>
            <w:div w:id="1114399230">
              <w:marLeft w:val="0"/>
              <w:marRight w:val="0"/>
              <w:marTop w:val="300"/>
              <w:marBottom w:val="300"/>
              <w:divBdr>
                <w:top w:val="none" w:sz="0" w:space="0" w:color="auto"/>
                <w:left w:val="none" w:sz="0" w:space="0" w:color="auto"/>
                <w:bottom w:val="none" w:sz="0" w:space="0" w:color="auto"/>
                <w:right w:val="none" w:sz="0" w:space="0" w:color="auto"/>
              </w:divBdr>
            </w:div>
            <w:div w:id="1115438959">
              <w:marLeft w:val="0"/>
              <w:marRight w:val="0"/>
              <w:marTop w:val="0"/>
              <w:marBottom w:val="0"/>
              <w:divBdr>
                <w:top w:val="none" w:sz="0" w:space="0" w:color="auto"/>
                <w:left w:val="none" w:sz="0" w:space="0" w:color="auto"/>
                <w:bottom w:val="none" w:sz="0" w:space="0" w:color="auto"/>
                <w:right w:val="none" w:sz="0" w:space="0" w:color="auto"/>
              </w:divBdr>
              <w:divsChild>
                <w:div w:id="470681288">
                  <w:marLeft w:val="0"/>
                  <w:marRight w:val="0"/>
                  <w:marTop w:val="0"/>
                  <w:marBottom w:val="0"/>
                  <w:divBdr>
                    <w:top w:val="none" w:sz="0" w:space="0" w:color="auto"/>
                    <w:left w:val="none" w:sz="0" w:space="0" w:color="auto"/>
                    <w:bottom w:val="none" w:sz="0" w:space="0" w:color="auto"/>
                    <w:right w:val="none" w:sz="0" w:space="0" w:color="auto"/>
                  </w:divBdr>
                </w:div>
              </w:divsChild>
            </w:div>
            <w:div w:id="1116677848">
              <w:marLeft w:val="0"/>
              <w:marRight w:val="0"/>
              <w:marTop w:val="0"/>
              <w:marBottom w:val="0"/>
              <w:divBdr>
                <w:top w:val="none" w:sz="0" w:space="0" w:color="auto"/>
                <w:left w:val="none" w:sz="0" w:space="0" w:color="auto"/>
                <w:bottom w:val="none" w:sz="0" w:space="0" w:color="auto"/>
                <w:right w:val="none" w:sz="0" w:space="0" w:color="auto"/>
              </w:divBdr>
              <w:divsChild>
                <w:div w:id="1019813722">
                  <w:marLeft w:val="0"/>
                  <w:marRight w:val="0"/>
                  <w:marTop w:val="0"/>
                  <w:marBottom w:val="0"/>
                  <w:divBdr>
                    <w:top w:val="none" w:sz="0" w:space="0" w:color="auto"/>
                    <w:left w:val="none" w:sz="0" w:space="0" w:color="auto"/>
                    <w:bottom w:val="none" w:sz="0" w:space="0" w:color="auto"/>
                    <w:right w:val="none" w:sz="0" w:space="0" w:color="auto"/>
                  </w:divBdr>
                </w:div>
              </w:divsChild>
            </w:div>
            <w:div w:id="1117603327">
              <w:marLeft w:val="0"/>
              <w:marRight w:val="0"/>
              <w:marTop w:val="0"/>
              <w:marBottom w:val="0"/>
              <w:divBdr>
                <w:top w:val="none" w:sz="0" w:space="0" w:color="auto"/>
                <w:left w:val="none" w:sz="0" w:space="0" w:color="auto"/>
                <w:bottom w:val="none" w:sz="0" w:space="0" w:color="auto"/>
                <w:right w:val="none" w:sz="0" w:space="0" w:color="auto"/>
              </w:divBdr>
              <w:divsChild>
                <w:div w:id="1884320504">
                  <w:marLeft w:val="0"/>
                  <w:marRight w:val="0"/>
                  <w:marTop w:val="0"/>
                  <w:marBottom w:val="0"/>
                  <w:divBdr>
                    <w:top w:val="none" w:sz="0" w:space="0" w:color="auto"/>
                    <w:left w:val="none" w:sz="0" w:space="0" w:color="auto"/>
                    <w:bottom w:val="none" w:sz="0" w:space="0" w:color="auto"/>
                    <w:right w:val="none" w:sz="0" w:space="0" w:color="auto"/>
                  </w:divBdr>
                </w:div>
              </w:divsChild>
            </w:div>
            <w:div w:id="1117675415">
              <w:marLeft w:val="0"/>
              <w:marRight w:val="0"/>
              <w:marTop w:val="0"/>
              <w:marBottom w:val="0"/>
              <w:divBdr>
                <w:top w:val="none" w:sz="0" w:space="0" w:color="auto"/>
                <w:left w:val="none" w:sz="0" w:space="0" w:color="auto"/>
                <w:bottom w:val="none" w:sz="0" w:space="0" w:color="auto"/>
                <w:right w:val="none" w:sz="0" w:space="0" w:color="auto"/>
              </w:divBdr>
              <w:divsChild>
                <w:div w:id="1021276473">
                  <w:marLeft w:val="0"/>
                  <w:marRight w:val="0"/>
                  <w:marTop w:val="0"/>
                  <w:marBottom w:val="0"/>
                  <w:divBdr>
                    <w:top w:val="none" w:sz="0" w:space="0" w:color="auto"/>
                    <w:left w:val="none" w:sz="0" w:space="0" w:color="auto"/>
                    <w:bottom w:val="none" w:sz="0" w:space="0" w:color="auto"/>
                    <w:right w:val="none" w:sz="0" w:space="0" w:color="auto"/>
                  </w:divBdr>
                </w:div>
              </w:divsChild>
            </w:div>
            <w:div w:id="1117918177">
              <w:marLeft w:val="0"/>
              <w:marRight w:val="0"/>
              <w:marTop w:val="0"/>
              <w:marBottom w:val="0"/>
              <w:divBdr>
                <w:top w:val="none" w:sz="0" w:space="0" w:color="auto"/>
                <w:left w:val="none" w:sz="0" w:space="0" w:color="auto"/>
                <w:bottom w:val="none" w:sz="0" w:space="0" w:color="auto"/>
                <w:right w:val="none" w:sz="0" w:space="0" w:color="auto"/>
              </w:divBdr>
              <w:divsChild>
                <w:div w:id="647900682">
                  <w:marLeft w:val="0"/>
                  <w:marRight w:val="0"/>
                  <w:marTop w:val="0"/>
                  <w:marBottom w:val="0"/>
                  <w:divBdr>
                    <w:top w:val="none" w:sz="0" w:space="0" w:color="auto"/>
                    <w:left w:val="none" w:sz="0" w:space="0" w:color="auto"/>
                    <w:bottom w:val="none" w:sz="0" w:space="0" w:color="auto"/>
                    <w:right w:val="none" w:sz="0" w:space="0" w:color="auto"/>
                  </w:divBdr>
                </w:div>
              </w:divsChild>
            </w:div>
            <w:div w:id="1118797032">
              <w:marLeft w:val="0"/>
              <w:marRight w:val="0"/>
              <w:marTop w:val="0"/>
              <w:marBottom w:val="0"/>
              <w:divBdr>
                <w:top w:val="none" w:sz="0" w:space="0" w:color="auto"/>
                <w:left w:val="none" w:sz="0" w:space="0" w:color="auto"/>
                <w:bottom w:val="none" w:sz="0" w:space="0" w:color="auto"/>
                <w:right w:val="none" w:sz="0" w:space="0" w:color="auto"/>
              </w:divBdr>
              <w:divsChild>
                <w:div w:id="1433889608">
                  <w:marLeft w:val="0"/>
                  <w:marRight w:val="0"/>
                  <w:marTop w:val="0"/>
                  <w:marBottom w:val="0"/>
                  <w:divBdr>
                    <w:top w:val="none" w:sz="0" w:space="0" w:color="auto"/>
                    <w:left w:val="none" w:sz="0" w:space="0" w:color="auto"/>
                    <w:bottom w:val="none" w:sz="0" w:space="0" w:color="auto"/>
                    <w:right w:val="none" w:sz="0" w:space="0" w:color="auto"/>
                  </w:divBdr>
                </w:div>
              </w:divsChild>
            </w:div>
            <w:div w:id="1119371954">
              <w:marLeft w:val="0"/>
              <w:marRight w:val="0"/>
              <w:marTop w:val="0"/>
              <w:marBottom w:val="0"/>
              <w:divBdr>
                <w:top w:val="none" w:sz="0" w:space="0" w:color="auto"/>
                <w:left w:val="none" w:sz="0" w:space="0" w:color="auto"/>
                <w:bottom w:val="none" w:sz="0" w:space="0" w:color="auto"/>
                <w:right w:val="none" w:sz="0" w:space="0" w:color="auto"/>
              </w:divBdr>
              <w:divsChild>
                <w:div w:id="575432376">
                  <w:marLeft w:val="0"/>
                  <w:marRight w:val="0"/>
                  <w:marTop w:val="0"/>
                  <w:marBottom w:val="0"/>
                  <w:divBdr>
                    <w:top w:val="none" w:sz="0" w:space="0" w:color="auto"/>
                    <w:left w:val="none" w:sz="0" w:space="0" w:color="auto"/>
                    <w:bottom w:val="none" w:sz="0" w:space="0" w:color="auto"/>
                    <w:right w:val="none" w:sz="0" w:space="0" w:color="auto"/>
                  </w:divBdr>
                </w:div>
              </w:divsChild>
            </w:div>
            <w:div w:id="1119570260">
              <w:marLeft w:val="0"/>
              <w:marRight w:val="0"/>
              <w:marTop w:val="0"/>
              <w:marBottom w:val="0"/>
              <w:divBdr>
                <w:top w:val="none" w:sz="0" w:space="0" w:color="auto"/>
                <w:left w:val="none" w:sz="0" w:space="0" w:color="auto"/>
                <w:bottom w:val="none" w:sz="0" w:space="0" w:color="auto"/>
                <w:right w:val="none" w:sz="0" w:space="0" w:color="auto"/>
              </w:divBdr>
              <w:divsChild>
                <w:div w:id="1629238544">
                  <w:marLeft w:val="0"/>
                  <w:marRight w:val="0"/>
                  <w:marTop w:val="0"/>
                  <w:marBottom w:val="0"/>
                  <w:divBdr>
                    <w:top w:val="none" w:sz="0" w:space="0" w:color="auto"/>
                    <w:left w:val="none" w:sz="0" w:space="0" w:color="auto"/>
                    <w:bottom w:val="none" w:sz="0" w:space="0" w:color="auto"/>
                    <w:right w:val="none" w:sz="0" w:space="0" w:color="auto"/>
                  </w:divBdr>
                </w:div>
              </w:divsChild>
            </w:div>
            <w:div w:id="1119685964">
              <w:marLeft w:val="0"/>
              <w:marRight w:val="0"/>
              <w:marTop w:val="0"/>
              <w:marBottom w:val="0"/>
              <w:divBdr>
                <w:top w:val="none" w:sz="0" w:space="0" w:color="auto"/>
                <w:left w:val="none" w:sz="0" w:space="0" w:color="auto"/>
                <w:bottom w:val="none" w:sz="0" w:space="0" w:color="auto"/>
                <w:right w:val="none" w:sz="0" w:space="0" w:color="auto"/>
              </w:divBdr>
              <w:divsChild>
                <w:div w:id="1473716872">
                  <w:marLeft w:val="0"/>
                  <w:marRight w:val="0"/>
                  <w:marTop w:val="0"/>
                  <w:marBottom w:val="0"/>
                  <w:divBdr>
                    <w:top w:val="none" w:sz="0" w:space="0" w:color="auto"/>
                    <w:left w:val="none" w:sz="0" w:space="0" w:color="auto"/>
                    <w:bottom w:val="none" w:sz="0" w:space="0" w:color="auto"/>
                    <w:right w:val="none" w:sz="0" w:space="0" w:color="auto"/>
                  </w:divBdr>
                </w:div>
              </w:divsChild>
            </w:div>
            <w:div w:id="1119690339">
              <w:marLeft w:val="0"/>
              <w:marRight w:val="0"/>
              <w:marTop w:val="0"/>
              <w:marBottom w:val="0"/>
              <w:divBdr>
                <w:top w:val="none" w:sz="0" w:space="0" w:color="auto"/>
                <w:left w:val="none" w:sz="0" w:space="0" w:color="auto"/>
                <w:bottom w:val="none" w:sz="0" w:space="0" w:color="auto"/>
                <w:right w:val="none" w:sz="0" w:space="0" w:color="auto"/>
              </w:divBdr>
              <w:divsChild>
                <w:div w:id="963266593">
                  <w:marLeft w:val="0"/>
                  <w:marRight w:val="0"/>
                  <w:marTop w:val="0"/>
                  <w:marBottom w:val="0"/>
                  <w:divBdr>
                    <w:top w:val="none" w:sz="0" w:space="0" w:color="auto"/>
                    <w:left w:val="none" w:sz="0" w:space="0" w:color="auto"/>
                    <w:bottom w:val="none" w:sz="0" w:space="0" w:color="auto"/>
                    <w:right w:val="none" w:sz="0" w:space="0" w:color="auto"/>
                  </w:divBdr>
                </w:div>
              </w:divsChild>
            </w:div>
            <w:div w:id="1120028892">
              <w:marLeft w:val="0"/>
              <w:marRight w:val="0"/>
              <w:marTop w:val="0"/>
              <w:marBottom w:val="0"/>
              <w:divBdr>
                <w:top w:val="none" w:sz="0" w:space="0" w:color="auto"/>
                <w:left w:val="none" w:sz="0" w:space="0" w:color="auto"/>
                <w:bottom w:val="none" w:sz="0" w:space="0" w:color="auto"/>
                <w:right w:val="none" w:sz="0" w:space="0" w:color="auto"/>
              </w:divBdr>
              <w:divsChild>
                <w:div w:id="829718055">
                  <w:marLeft w:val="0"/>
                  <w:marRight w:val="0"/>
                  <w:marTop w:val="0"/>
                  <w:marBottom w:val="0"/>
                  <w:divBdr>
                    <w:top w:val="none" w:sz="0" w:space="0" w:color="auto"/>
                    <w:left w:val="none" w:sz="0" w:space="0" w:color="auto"/>
                    <w:bottom w:val="none" w:sz="0" w:space="0" w:color="auto"/>
                    <w:right w:val="none" w:sz="0" w:space="0" w:color="auto"/>
                  </w:divBdr>
                </w:div>
              </w:divsChild>
            </w:div>
            <w:div w:id="1121995504">
              <w:marLeft w:val="0"/>
              <w:marRight w:val="0"/>
              <w:marTop w:val="0"/>
              <w:marBottom w:val="0"/>
              <w:divBdr>
                <w:top w:val="none" w:sz="0" w:space="0" w:color="auto"/>
                <w:left w:val="none" w:sz="0" w:space="0" w:color="auto"/>
                <w:bottom w:val="none" w:sz="0" w:space="0" w:color="auto"/>
                <w:right w:val="none" w:sz="0" w:space="0" w:color="auto"/>
              </w:divBdr>
              <w:divsChild>
                <w:div w:id="1078404844">
                  <w:marLeft w:val="0"/>
                  <w:marRight w:val="0"/>
                  <w:marTop w:val="0"/>
                  <w:marBottom w:val="0"/>
                  <w:divBdr>
                    <w:top w:val="none" w:sz="0" w:space="0" w:color="auto"/>
                    <w:left w:val="none" w:sz="0" w:space="0" w:color="auto"/>
                    <w:bottom w:val="none" w:sz="0" w:space="0" w:color="auto"/>
                    <w:right w:val="none" w:sz="0" w:space="0" w:color="auto"/>
                  </w:divBdr>
                </w:div>
              </w:divsChild>
            </w:div>
            <w:div w:id="1122920241">
              <w:marLeft w:val="0"/>
              <w:marRight w:val="0"/>
              <w:marTop w:val="0"/>
              <w:marBottom w:val="0"/>
              <w:divBdr>
                <w:top w:val="none" w:sz="0" w:space="0" w:color="auto"/>
                <w:left w:val="none" w:sz="0" w:space="0" w:color="auto"/>
                <w:bottom w:val="none" w:sz="0" w:space="0" w:color="auto"/>
                <w:right w:val="none" w:sz="0" w:space="0" w:color="auto"/>
              </w:divBdr>
              <w:divsChild>
                <w:div w:id="1604267313">
                  <w:marLeft w:val="0"/>
                  <w:marRight w:val="0"/>
                  <w:marTop w:val="0"/>
                  <w:marBottom w:val="0"/>
                  <w:divBdr>
                    <w:top w:val="none" w:sz="0" w:space="0" w:color="auto"/>
                    <w:left w:val="none" w:sz="0" w:space="0" w:color="auto"/>
                    <w:bottom w:val="none" w:sz="0" w:space="0" w:color="auto"/>
                    <w:right w:val="none" w:sz="0" w:space="0" w:color="auto"/>
                  </w:divBdr>
                </w:div>
              </w:divsChild>
            </w:div>
            <w:div w:id="1123770230">
              <w:marLeft w:val="0"/>
              <w:marRight w:val="0"/>
              <w:marTop w:val="0"/>
              <w:marBottom w:val="0"/>
              <w:divBdr>
                <w:top w:val="none" w:sz="0" w:space="0" w:color="auto"/>
                <w:left w:val="none" w:sz="0" w:space="0" w:color="auto"/>
                <w:bottom w:val="none" w:sz="0" w:space="0" w:color="auto"/>
                <w:right w:val="none" w:sz="0" w:space="0" w:color="auto"/>
              </w:divBdr>
              <w:divsChild>
                <w:div w:id="352541237">
                  <w:marLeft w:val="0"/>
                  <w:marRight w:val="0"/>
                  <w:marTop w:val="0"/>
                  <w:marBottom w:val="0"/>
                  <w:divBdr>
                    <w:top w:val="none" w:sz="0" w:space="0" w:color="auto"/>
                    <w:left w:val="none" w:sz="0" w:space="0" w:color="auto"/>
                    <w:bottom w:val="none" w:sz="0" w:space="0" w:color="auto"/>
                    <w:right w:val="none" w:sz="0" w:space="0" w:color="auto"/>
                  </w:divBdr>
                </w:div>
              </w:divsChild>
            </w:div>
            <w:div w:id="1124427987">
              <w:marLeft w:val="0"/>
              <w:marRight w:val="0"/>
              <w:marTop w:val="0"/>
              <w:marBottom w:val="0"/>
              <w:divBdr>
                <w:top w:val="none" w:sz="0" w:space="0" w:color="auto"/>
                <w:left w:val="none" w:sz="0" w:space="0" w:color="auto"/>
                <w:bottom w:val="none" w:sz="0" w:space="0" w:color="auto"/>
                <w:right w:val="none" w:sz="0" w:space="0" w:color="auto"/>
              </w:divBdr>
              <w:divsChild>
                <w:div w:id="1928611306">
                  <w:marLeft w:val="0"/>
                  <w:marRight w:val="0"/>
                  <w:marTop w:val="0"/>
                  <w:marBottom w:val="0"/>
                  <w:divBdr>
                    <w:top w:val="none" w:sz="0" w:space="0" w:color="auto"/>
                    <w:left w:val="none" w:sz="0" w:space="0" w:color="auto"/>
                    <w:bottom w:val="none" w:sz="0" w:space="0" w:color="auto"/>
                    <w:right w:val="none" w:sz="0" w:space="0" w:color="auto"/>
                  </w:divBdr>
                </w:div>
              </w:divsChild>
            </w:div>
            <w:div w:id="1124731655">
              <w:marLeft w:val="0"/>
              <w:marRight w:val="0"/>
              <w:marTop w:val="300"/>
              <w:marBottom w:val="300"/>
              <w:divBdr>
                <w:top w:val="none" w:sz="0" w:space="0" w:color="auto"/>
                <w:left w:val="none" w:sz="0" w:space="0" w:color="auto"/>
                <w:bottom w:val="none" w:sz="0" w:space="0" w:color="auto"/>
                <w:right w:val="none" w:sz="0" w:space="0" w:color="auto"/>
              </w:divBdr>
            </w:div>
            <w:div w:id="1125661491">
              <w:marLeft w:val="0"/>
              <w:marRight w:val="0"/>
              <w:marTop w:val="0"/>
              <w:marBottom w:val="0"/>
              <w:divBdr>
                <w:top w:val="none" w:sz="0" w:space="0" w:color="auto"/>
                <w:left w:val="none" w:sz="0" w:space="0" w:color="auto"/>
                <w:bottom w:val="none" w:sz="0" w:space="0" w:color="auto"/>
                <w:right w:val="none" w:sz="0" w:space="0" w:color="auto"/>
              </w:divBdr>
              <w:divsChild>
                <w:div w:id="1447845806">
                  <w:marLeft w:val="0"/>
                  <w:marRight w:val="0"/>
                  <w:marTop w:val="0"/>
                  <w:marBottom w:val="0"/>
                  <w:divBdr>
                    <w:top w:val="none" w:sz="0" w:space="0" w:color="auto"/>
                    <w:left w:val="none" w:sz="0" w:space="0" w:color="auto"/>
                    <w:bottom w:val="none" w:sz="0" w:space="0" w:color="auto"/>
                    <w:right w:val="none" w:sz="0" w:space="0" w:color="auto"/>
                  </w:divBdr>
                </w:div>
              </w:divsChild>
            </w:div>
            <w:div w:id="1125779950">
              <w:marLeft w:val="0"/>
              <w:marRight w:val="0"/>
              <w:marTop w:val="0"/>
              <w:marBottom w:val="0"/>
              <w:divBdr>
                <w:top w:val="none" w:sz="0" w:space="0" w:color="auto"/>
                <w:left w:val="none" w:sz="0" w:space="0" w:color="auto"/>
                <w:bottom w:val="none" w:sz="0" w:space="0" w:color="auto"/>
                <w:right w:val="none" w:sz="0" w:space="0" w:color="auto"/>
              </w:divBdr>
              <w:divsChild>
                <w:div w:id="1267928760">
                  <w:marLeft w:val="0"/>
                  <w:marRight w:val="0"/>
                  <w:marTop w:val="0"/>
                  <w:marBottom w:val="0"/>
                  <w:divBdr>
                    <w:top w:val="none" w:sz="0" w:space="0" w:color="auto"/>
                    <w:left w:val="none" w:sz="0" w:space="0" w:color="auto"/>
                    <w:bottom w:val="none" w:sz="0" w:space="0" w:color="auto"/>
                    <w:right w:val="none" w:sz="0" w:space="0" w:color="auto"/>
                  </w:divBdr>
                </w:div>
              </w:divsChild>
            </w:div>
            <w:div w:id="1126195328">
              <w:marLeft w:val="0"/>
              <w:marRight w:val="0"/>
              <w:marTop w:val="0"/>
              <w:marBottom w:val="0"/>
              <w:divBdr>
                <w:top w:val="none" w:sz="0" w:space="0" w:color="auto"/>
                <w:left w:val="none" w:sz="0" w:space="0" w:color="auto"/>
                <w:bottom w:val="none" w:sz="0" w:space="0" w:color="auto"/>
                <w:right w:val="none" w:sz="0" w:space="0" w:color="auto"/>
              </w:divBdr>
              <w:divsChild>
                <w:div w:id="1041710326">
                  <w:marLeft w:val="0"/>
                  <w:marRight w:val="0"/>
                  <w:marTop w:val="0"/>
                  <w:marBottom w:val="0"/>
                  <w:divBdr>
                    <w:top w:val="none" w:sz="0" w:space="0" w:color="auto"/>
                    <w:left w:val="none" w:sz="0" w:space="0" w:color="auto"/>
                    <w:bottom w:val="none" w:sz="0" w:space="0" w:color="auto"/>
                    <w:right w:val="none" w:sz="0" w:space="0" w:color="auto"/>
                  </w:divBdr>
                </w:div>
              </w:divsChild>
            </w:div>
            <w:div w:id="1128889725">
              <w:marLeft w:val="0"/>
              <w:marRight w:val="0"/>
              <w:marTop w:val="0"/>
              <w:marBottom w:val="0"/>
              <w:divBdr>
                <w:top w:val="none" w:sz="0" w:space="0" w:color="auto"/>
                <w:left w:val="none" w:sz="0" w:space="0" w:color="auto"/>
                <w:bottom w:val="none" w:sz="0" w:space="0" w:color="auto"/>
                <w:right w:val="none" w:sz="0" w:space="0" w:color="auto"/>
              </w:divBdr>
              <w:divsChild>
                <w:div w:id="716121492">
                  <w:marLeft w:val="0"/>
                  <w:marRight w:val="0"/>
                  <w:marTop w:val="0"/>
                  <w:marBottom w:val="0"/>
                  <w:divBdr>
                    <w:top w:val="none" w:sz="0" w:space="0" w:color="auto"/>
                    <w:left w:val="none" w:sz="0" w:space="0" w:color="auto"/>
                    <w:bottom w:val="none" w:sz="0" w:space="0" w:color="auto"/>
                    <w:right w:val="none" w:sz="0" w:space="0" w:color="auto"/>
                  </w:divBdr>
                </w:div>
              </w:divsChild>
            </w:div>
            <w:div w:id="1129058273">
              <w:marLeft w:val="0"/>
              <w:marRight w:val="0"/>
              <w:marTop w:val="0"/>
              <w:marBottom w:val="0"/>
              <w:divBdr>
                <w:top w:val="none" w:sz="0" w:space="0" w:color="auto"/>
                <w:left w:val="none" w:sz="0" w:space="0" w:color="auto"/>
                <w:bottom w:val="none" w:sz="0" w:space="0" w:color="auto"/>
                <w:right w:val="none" w:sz="0" w:space="0" w:color="auto"/>
              </w:divBdr>
              <w:divsChild>
                <w:div w:id="1709841191">
                  <w:marLeft w:val="0"/>
                  <w:marRight w:val="0"/>
                  <w:marTop w:val="0"/>
                  <w:marBottom w:val="0"/>
                  <w:divBdr>
                    <w:top w:val="none" w:sz="0" w:space="0" w:color="auto"/>
                    <w:left w:val="none" w:sz="0" w:space="0" w:color="auto"/>
                    <w:bottom w:val="none" w:sz="0" w:space="0" w:color="auto"/>
                    <w:right w:val="none" w:sz="0" w:space="0" w:color="auto"/>
                  </w:divBdr>
                </w:div>
              </w:divsChild>
            </w:div>
            <w:div w:id="1129083158">
              <w:marLeft w:val="0"/>
              <w:marRight w:val="0"/>
              <w:marTop w:val="0"/>
              <w:marBottom w:val="0"/>
              <w:divBdr>
                <w:top w:val="none" w:sz="0" w:space="0" w:color="auto"/>
                <w:left w:val="none" w:sz="0" w:space="0" w:color="auto"/>
                <w:bottom w:val="none" w:sz="0" w:space="0" w:color="auto"/>
                <w:right w:val="none" w:sz="0" w:space="0" w:color="auto"/>
              </w:divBdr>
              <w:divsChild>
                <w:div w:id="1395081599">
                  <w:marLeft w:val="0"/>
                  <w:marRight w:val="0"/>
                  <w:marTop w:val="0"/>
                  <w:marBottom w:val="0"/>
                  <w:divBdr>
                    <w:top w:val="none" w:sz="0" w:space="0" w:color="auto"/>
                    <w:left w:val="none" w:sz="0" w:space="0" w:color="auto"/>
                    <w:bottom w:val="none" w:sz="0" w:space="0" w:color="auto"/>
                    <w:right w:val="none" w:sz="0" w:space="0" w:color="auto"/>
                  </w:divBdr>
                </w:div>
              </w:divsChild>
            </w:div>
            <w:div w:id="1129279763">
              <w:marLeft w:val="0"/>
              <w:marRight w:val="0"/>
              <w:marTop w:val="0"/>
              <w:marBottom w:val="0"/>
              <w:divBdr>
                <w:top w:val="none" w:sz="0" w:space="0" w:color="auto"/>
                <w:left w:val="none" w:sz="0" w:space="0" w:color="auto"/>
                <w:bottom w:val="none" w:sz="0" w:space="0" w:color="auto"/>
                <w:right w:val="none" w:sz="0" w:space="0" w:color="auto"/>
              </w:divBdr>
              <w:divsChild>
                <w:div w:id="374542852">
                  <w:marLeft w:val="0"/>
                  <w:marRight w:val="0"/>
                  <w:marTop w:val="0"/>
                  <w:marBottom w:val="0"/>
                  <w:divBdr>
                    <w:top w:val="none" w:sz="0" w:space="0" w:color="auto"/>
                    <w:left w:val="none" w:sz="0" w:space="0" w:color="auto"/>
                    <w:bottom w:val="none" w:sz="0" w:space="0" w:color="auto"/>
                    <w:right w:val="none" w:sz="0" w:space="0" w:color="auto"/>
                  </w:divBdr>
                </w:div>
              </w:divsChild>
            </w:div>
            <w:div w:id="1131435254">
              <w:marLeft w:val="0"/>
              <w:marRight w:val="0"/>
              <w:marTop w:val="0"/>
              <w:marBottom w:val="0"/>
              <w:divBdr>
                <w:top w:val="none" w:sz="0" w:space="0" w:color="auto"/>
                <w:left w:val="none" w:sz="0" w:space="0" w:color="auto"/>
                <w:bottom w:val="none" w:sz="0" w:space="0" w:color="auto"/>
                <w:right w:val="none" w:sz="0" w:space="0" w:color="auto"/>
              </w:divBdr>
              <w:divsChild>
                <w:div w:id="930625071">
                  <w:marLeft w:val="0"/>
                  <w:marRight w:val="0"/>
                  <w:marTop w:val="0"/>
                  <w:marBottom w:val="0"/>
                  <w:divBdr>
                    <w:top w:val="none" w:sz="0" w:space="0" w:color="auto"/>
                    <w:left w:val="none" w:sz="0" w:space="0" w:color="auto"/>
                    <w:bottom w:val="none" w:sz="0" w:space="0" w:color="auto"/>
                    <w:right w:val="none" w:sz="0" w:space="0" w:color="auto"/>
                  </w:divBdr>
                </w:div>
              </w:divsChild>
            </w:div>
            <w:div w:id="1132867271">
              <w:marLeft w:val="0"/>
              <w:marRight w:val="0"/>
              <w:marTop w:val="0"/>
              <w:marBottom w:val="0"/>
              <w:divBdr>
                <w:top w:val="none" w:sz="0" w:space="0" w:color="auto"/>
                <w:left w:val="none" w:sz="0" w:space="0" w:color="auto"/>
                <w:bottom w:val="none" w:sz="0" w:space="0" w:color="auto"/>
                <w:right w:val="none" w:sz="0" w:space="0" w:color="auto"/>
              </w:divBdr>
              <w:divsChild>
                <w:div w:id="483087538">
                  <w:marLeft w:val="0"/>
                  <w:marRight w:val="0"/>
                  <w:marTop w:val="0"/>
                  <w:marBottom w:val="0"/>
                  <w:divBdr>
                    <w:top w:val="none" w:sz="0" w:space="0" w:color="auto"/>
                    <w:left w:val="none" w:sz="0" w:space="0" w:color="auto"/>
                    <w:bottom w:val="none" w:sz="0" w:space="0" w:color="auto"/>
                    <w:right w:val="none" w:sz="0" w:space="0" w:color="auto"/>
                  </w:divBdr>
                </w:div>
              </w:divsChild>
            </w:div>
            <w:div w:id="1133014820">
              <w:marLeft w:val="0"/>
              <w:marRight w:val="0"/>
              <w:marTop w:val="0"/>
              <w:marBottom w:val="0"/>
              <w:divBdr>
                <w:top w:val="none" w:sz="0" w:space="0" w:color="auto"/>
                <w:left w:val="none" w:sz="0" w:space="0" w:color="auto"/>
                <w:bottom w:val="none" w:sz="0" w:space="0" w:color="auto"/>
                <w:right w:val="none" w:sz="0" w:space="0" w:color="auto"/>
              </w:divBdr>
              <w:divsChild>
                <w:div w:id="1193491131">
                  <w:marLeft w:val="0"/>
                  <w:marRight w:val="0"/>
                  <w:marTop w:val="0"/>
                  <w:marBottom w:val="0"/>
                  <w:divBdr>
                    <w:top w:val="none" w:sz="0" w:space="0" w:color="auto"/>
                    <w:left w:val="none" w:sz="0" w:space="0" w:color="auto"/>
                    <w:bottom w:val="none" w:sz="0" w:space="0" w:color="auto"/>
                    <w:right w:val="none" w:sz="0" w:space="0" w:color="auto"/>
                  </w:divBdr>
                </w:div>
              </w:divsChild>
            </w:div>
            <w:div w:id="1134179608">
              <w:marLeft w:val="0"/>
              <w:marRight w:val="0"/>
              <w:marTop w:val="0"/>
              <w:marBottom w:val="0"/>
              <w:divBdr>
                <w:top w:val="none" w:sz="0" w:space="0" w:color="auto"/>
                <w:left w:val="none" w:sz="0" w:space="0" w:color="auto"/>
                <w:bottom w:val="none" w:sz="0" w:space="0" w:color="auto"/>
                <w:right w:val="none" w:sz="0" w:space="0" w:color="auto"/>
              </w:divBdr>
              <w:divsChild>
                <w:div w:id="163976769">
                  <w:marLeft w:val="0"/>
                  <w:marRight w:val="0"/>
                  <w:marTop w:val="0"/>
                  <w:marBottom w:val="0"/>
                  <w:divBdr>
                    <w:top w:val="none" w:sz="0" w:space="0" w:color="auto"/>
                    <w:left w:val="none" w:sz="0" w:space="0" w:color="auto"/>
                    <w:bottom w:val="none" w:sz="0" w:space="0" w:color="auto"/>
                    <w:right w:val="none" w:sz="0" w:space="0" w:color="auto"/>
                  </w:divBdr>
                </w:div>
              </w:divsChild>
            </w:div>
            <w:div w:id="1136142151">
              <w:marLeft w:val="0"/>
              <w:marRight w:val="0"/>
              <w:marTop w:val="0"/>
              <w:marBottom w:val="0"/>
              <w:divBdr>
                <w:top w:val="none" w:sz="0" w:space="0" w:color="auto"/>
                <w:left w:val="none" w:sz="0" w:space="0" w:color="auto"/>
                <w:bottom w:val="none" w:sz="0" w:space="0" w:color="auto"/>
                <w:right w:val="none" w:sz="0" w:space="0" w:color="auto"/>
              </w:divBdr>
              <w:divsChild>
                <w:div w:id="1110860068">
                  <w:marLeft w:val="0"/>
                  <w:marRight w:val="0"/>
                  <w:marTop w:val="0"/>
                  <w:marBottom w:val="0"/>
                  <w:divBdr>
                    <w:top w:val="none" w:sz="0" w:space="0" w:color="auto"/>
                    <w:left w:val="none" w:sz="0" w:space="0" w:color="auto"/>
                    <w:bottom w:val="none" w:sz="0" w:space="0" w:color="auto"/>
                    <w:right w:val="none" w:sz="0" w:space="0" w:color="auto"/>
                  </w:divBdr>
                </w:div>
              </w:divsChild>
            </w:div>
            <w:div w:id="1139226511">
              <w:marLeft w:val="0"/>
              <w:marRight w:val="0"/>
              <w:marTop w:val="0"/>
              <w:marBottom w:val="0"/>
              <w:divBdr>
                <w:top w:val="none" w:sz="0" w:space="0" w:color="auto"/>
                <w:left w:val="none" w:sz="0" w:space="0" w:color="auto"/>
                <w:bottom w:val="none" w:sz="0" w:space="0" w:color="auto"/>
                <w:right w:val="none" w:sz="0" w:space="0" w:color="auto"/>
              </w:divBdr>
              <w:divsChild>
                <w:div w:id="1658455672">
                  <w:marLeft w:val="0"/>
                  <w:marRight w:val="0"/>
                  <w:marTop w:val="0"/>
                  <w:marBottom w:val="0"/>
                  <w:divBdr>
                    <w:top w:val="none" w:sz="0" w:space="0" w:color="auto"/>
                    <w:left w:val="none" w:sz="0" w:space="0" w:color="auto"/>
                    <w:bottom w:val="none" w:sz="0" w:space="0" w:color="auto"/>
                    <w:right w:val="none" w:sz="0" w:space="0" w:color="auto"/>
                  </w:divBdr>
                </w:div>
              </w:divsChild>
            </w:div>
            <w:div w:id="1139569496">
              <w:marLeft w:val="0"/>
              <w:marRight w:val="0"/>
              <w:marTop w:val="0"/>
              <w:marBottom w:val="0"/>
              <w:divBdr>
                <w:top w:val="none" w:sz="0" w:space="0" w:color="auto"/>
                <w:left w:val="none" w:sz="0" w:space="0" w:color="auto"/>
                <w:bottom w:val="none" w:sz="0" w:space="0" w:color="auto"/>
                <w:right w:val="none" w:sz="0" w:space="0" w:color="auto"/>
              </w:divBdr>
              <w:divsChild>
                <w:div w:id="1767189382">
                  <w:marLeft w:val="0"/>
                  <w:marRight w:val="0"/>
                  <w:marTop w:val="0"/>
                  <w:marBottom w:val="0"/>
                  <w:divBdr>
                    <w:top w:val="none" w:sz="0" w:space="0" w:color="auto"/>
                    <w:left w:val="none" w:sz="0" w:space="0" w:color="auto"/>
                    <w:bottom w:val="none" w:sz="0" w:space="0" w:color="auto"/>
                    <w:right w:val="none" w:sz="0" w:space="0" w:color="auto"/>
                  </w:divBdr>
                </w:div>
              </w:divsChild>
            </w:div>
            <w:div w:id="1139880711">
              <w:marLeft w:val="0"/>
              <w:marRight w:val="0"/>
              <w:marTop w:val="300"/>
              <w:marBottom w:val="300"/>
              <w:divBdr>
                <w:top w:val="none" w:sz="0" w:space="0" w:color="auto"/>
                <w:left w:val="none" w:sz="0" w:space="0" w:color="auto"/>
                <w:bottom w:val="none" w:sz="0" w:space="0" w:color="auto"/>
                <w:right w:val="none" w:sz="0" w:space="0" w:color="auto"/>
              </w:divBdr>
            </w:div>
            <w:div w:id="1140152293">
              <w:marLeft w:val="0"/>
              <w:marRight w:val="0"/>
              <w:marTop w:val="0"/>
              <w:marBottom w:val="0"/>
              <w:divBdr>
                <w:top w:val="none" w:sz="0" w:space="0" w:color="auto"/>
                <w:left w:val="none" w:sz="0" w:space="0" w:color="auto"/>
                <w:bottom w:val="none" w:sz="0" w:space="0" w:color="auto"/>
                <w:right w:val="none" w:sz="0" w:space="0" w:color="auto"/>
              </w:divBdr>
              <w:divsChild>
                <w:div w:id="1569075759">
                  <w:marLeft w:val="0"/>
                  <w:marRight w:val="0"/>
                  <w:marTop w:val="0"/>
                  <w:marBottom w:val="0"/>
                  <w:divBdr>
                    <w:top w:val="none" w:sz="0" w:space="0" w:color="auto"/>
                    <w:left w:val="none" w:sz="0" w:space="0" w:color="auto"/>
                    <w:bottom w:val="none" w:sz="0" w:space="0" w:color="auto"/>
                    <w:right w:val="none" w:sz="0" w:space="0" w:color="auto"/>
                  </w:divBdr>
                </w:div>
              </w:divsChild>
            </w:div>
            <w:div w:id="1141843514">
              <w:marLeft w:val="0"/>
              <w:marRight w:val="0"/>
              <w:marTop w:val="0"/>
              <w:marBottom w:val="0"/>
              <w:divBdr>
                <w:top w:val="none" w:sz="0" w:space="0" w:color="auto"/>
                <w:left w:val="none" w:sz="0" w:space="0" w:color="auto"/>
                <w:bottom w:val="none" w:sz="0" w:space="0" w:color="auto"/>
                <w:right w:val="none" w:sz="0" w:space="0" w:color="auto"/>
              </w:divBdr>
              <w:divsChild>
                <w:div w:id="1154762976">
                  <w:marLeft w:val="0"/>
                  <w:marRight w:val="0"/>
                  <w:marTop w:val="0"/>
                  <w:marBottom w:val="0"/>
                  <w:divBdr>
                    <w:top w:val="none" w:sz="0" w:space="0" w:color="auto"/>
                    <w:left w:val="none" w:sz="0" w:space="0" w:color="auto"/>
                    <w:bottom w:val="none" w:sz="0" w:space="0" w:color="auto"/>
                    <w:right w:val="none" w:sz="0" w:space="0" w:color="auto"/>
                  </w:divBdr>
                </w:div>
              </w:divsChild>
            </w:div>
            <w:div w:id="1142239008">
              <w:marLeft w:val="0"/>
              <w:marRight w:val="0"/>
              <w:marTop w:val="300"/>
              <w:marBottom w:val="300"/>
              <w:divBdr>
                <w:top w:val="none" w:sz="0" w:space="0" w:color="auto"/>
                <w:left w:val="none" w:sz="0" w:space="0" w:color="auto"/>
                <w:bottom w:val="none" w:sz="0" w:space="0" w:color="auto"/>
                <w:right w:val="none" w:sz="0" w:space="0" w:color="auto"/>
              </w:divBdr>
            </w:div>
            <w:div w:id="1142304907">
              <w:marLeft w:val="0"/>
              <w:marRight w:val="0"/>
              <w:marTop w:val="0"/>
              <w:marBottom w:val="0"/>
              <w:divBdr>
                <w:top w:val="none" w:sz="0" w:space="0" w:color="auto"/>
                <w:left w:val="none" w:sz="0" w:space="0" w:color="auto"/>
                <w:bottom w:val="none" w:sz="0" w:space="0" w:color="auto"/>
                <w:right w:val="none" w:sz="0" w:space="0" w:color="auto"/>
              </w:divBdr>
              <w:divsChild>
                <w:div w:id="1828355249">
                  <w:marLeft w:val="0"/>
                  <w:marRight w:val="0"/>
                  <w:marTop w:val="0"/>
                  <w:marBottom w:val="0"/>
                  <w:divBdr>
                    <w:top w:val="none" w:sz="0" w:space="0" w:color="auto"/>
                    <w:left w:val="none" w:sz="0" w:space="0" w:color="auto"/>
                    <w:bottom w:val="none" w:sz="0" w:space="0" w:color="auto"/>
                    <w:right w:val="none" w:sz="0" w:space="0" w:color="auto"/>
                  </w:divBdr>
                </w:div>
              </w:divsChild>
            </w:div>
            <w:div w:id="1143161586">
              <w:marLeft w:val="0"/>
              <w:marRight w:val="0"/>
              <w:marTop w:val="0"/>
              <w:marBottom w:val="0"/>
              <w:divBdr>
                <w:top w:val="none" w:sz="0" w:space="0" w:color="auto"/>
                <w:left w:val="none" w:sz="0" w:space="0" w:color="auto"/>
                <w:bottom w:val="none" w:sz="0" w:space="0" w:color="auto"/>
                <w:right w:val="none" w:sz="0" w:space="0" w:color="auto"/>
              </w:divBdr>
              <w:divsChild>
                <w:div w:id="1124271333">
                  <w:marLeft w:val="0"/>
                  <w:marRight w:val="0"/>
                  <w:marTop w:val="0"/>
                  <w:marBottom w:val="0"/>
                  <w:divBdr>
                    <w:top w:val="none" w:sz="0" w:space="0" w:color="auto"/>
                    <w:left w:val="none" w:sz="0" w:space="0" w:color="auto"/>
                    <w:bottom w:val="none" w:sz="0" w:space="0" w:color="auto"/>
                    <w:right w:val="none" w:sz="0" w:space="0" w:color="auto"/>
                  </w:divBdr>
                </w:div>
              </w:divsChild>
            </w:div>
            <w:div w:id="1143237420">
              <w:marLeft w:val="0"/>
              <w:marRight w:val="0"/>
              <w:marTop w:val="0"/>
              <w:marBottom w:val="0"/>
              <w:divBdr>
                <w:top w:val="none" w:sz="0" w:space="0" w:color="auto"/>
                <w:left w:val="none" w:sz="0" w:space="0" w:color="auto"/>
                <w:bottom w:val="none" w:sz="0" w:space="0" w:color="auto"/>
                <w:right w:val="none" w:sz="0" w:space="0" w:color="auto"/>
              </w:divBdr>
              <w:divsChild>
                <w:div w:id="741412346">
                  <w:marLeft w:val="0"/>
                  <w:marRight w:val="0"/>
                  <w:marTop w:val="0"/>
                  <w:marBottom w:val="0"/>
                  <w:divBdr>
                    <w:top w:val="none" w:sz="0" w:space="0" w:color="auto"/>
                    <w:left w:val="none" w:sz="0" w:space="0" w:color="auto"/>
                    <w:bottom w:val="none" w:sz="0" w:space="0" w:color="auto"/>
                    <w:right w:val="none" w:sz="0" w:space="0" w:color="auto"/>
                  </w:divBdr>
                </w:div>
              </w:divsChild>
            </w:div>
            <w:div w:id="1144006041">
              <w:marLeft w:val="0"/>
              <w:marRight w:val="0"/>
              <w:marTop w:val="0"/>
              <w:marBottom w:val="0"/>
              <w:divBdr>
                <w:top w:val="none" w:sz="0" w:space="0" w:color="auto"/>
                <w:left w:val="none" w:sz="0" w:space="0" w:color="auto"/>
                <w:bottom w:val="none" w:sz="0" w:space="0" w:color="auto"/>
                <w:right w:val="none" w:sz="0" w:space="0" w:color="auto"/>
              </w:divBdr>
              <w:divsChild>
                <w:div w:id="1174539837">
                  <w:marLeft w:val="0"/>
                  <w:marRight w:val="0"/>
                  <w:marTop w:val="0"/>
                  <w:marBottom w:val="0"/>
                  <w:divBdr>
                    <w:top w:val="none" w:sz="0" w:space="0" w:color="auto"/>
                    <w:left w:val="none" w:sz="0" w:space="0" w:color="auto"/>
                    <w:bottom w:val="none" w:sz="0" w:space="0" w:color="auto"/>
                    <w:right w:val="none" w:sz="0" w:space="0" w:color="auto"/>
                  </w:divBdr>
                </w:div>
              </w:divsChild>
            </w:div>
            <w:div w:id="1146433550">
              <w:marLeft w:val="0"/>
              <w:marRight w:val="0"/>
              <w:marTop w:val="0"/>
              <w:marBottom w:val="0"/>
              <w:divBdr>
                <w:top w:val="none" w:sz="0" w:space="0" w:color="auto"/>
                <w:left w:val="none" w:sz="0" w:space="0" w:color="auto"/>
                <w:bottom w:val="none" w:sz="0" w:space="0" w:color="auto"/>
                <w:right w:val="none" w:sz="0" w:space="0" w:color="auto"/>
              </w:divBdr>
              <w:divsChild>
                <w:div w:id="1924029982">
                  <w:marLeft w:val="0"/>
                  <w:marRight w:val="0"/>
                  <w:marTop w:val="0"/>
                  <w:marBottom w:val="0"/>
                  <w:divBdr>
                    <w:top w:val="none" w:sz="0" w:space="0" w:color="auto"/>
                    <w:left w:val="none" w:sz="0" w:space="0" w:color="auto"/>
                    <w:bottom w:val="none" w:sz="0" w:space="0" w:color="auto"/>
                    <w:right w:val="none" w:sz="0" w:space="0" w:color="auto"/>
                  </w:divBdr>
                </w:div>
              </w:divsChild>
            </w:div>
            <w:div w:id="1147013055">
              <w:marLeft w:val="0"/>
              <w:marRight w:val="0"/>
              <w:marTop w:val="0"/>
              <w:marBottom w:val="0"/>
              <w:divBdr>
                <w:top w:val="none" w:sz="0" w:space="0" w:color="auto"/>
                <w:left w:val="none" w:sz="0" w:space="0" w:color="auto"/>
                <w:bottom w:val="none" w:sz="0" w:space="0" w:color="auto"/>
                <w:right w:val="none" w:sz="0" w:space="0" w:color="auto"/>
              </w:divBdr>
              <w:divsChild>
                <w:div w:id="1715889314">
                  <w:marLeft w:val="0"/>
                  <w:marRight w:val="0"/>
                  <w:marTop w:val="0"/>
                  <w:marBottom w:val="0"/>
                  <w:divBdr>
                    <w:top w:val="none" w:sz="0" w:space="0" w:color="auto"/>
                    <w:left w:val="none" w:sz="0" w:space="0" w:color="auto"/>
                    <w:bottom w:val="none" w:sz="0" w:space="0" w:color="auto"/>
                    <w:right w:val="none" w:sz="0" w:space="0" w:color="auto"/>
                  </w:divBdr>
                </w:div>
              </w:divsChild>
            </w:div>
            <w:div w:id="1147163237">
              <w:marLeft w:val="0"/>
              <w:marRight w:val="0"/>
              <w:marTop w:val="0"/>
              <w:marBottom w:val="0"/>
              <w:divBdr>
                <w:top w:val="none" w:sz="0" w:space="0" w:color="auto"/>
                <w:left w:val="none" w:sz="0" w:space="0" w:color="auto"/>
                <w:bottom w:val="none" w:sz="0" w:space="0" w:color="auto"/>
                <w:right w:val="none" w:sz="0" w:space="0" w:color="auto"/>
              </w:divBdr>
              <w:divsChild>
                <w:div w:id="795097397">
                  <w:marLeft w:val="0"/>
                  <w:marRight w:val="0"/>
                  <w:marTop w:val="0"/>
                  <w:marBottom w:val="0"/>
                  <w:divBdr>
                    <w:top w:val="none" w:sz="0" w:space="0" w:color="auto"/>
                    <w:left w:val="none" w:sz="0" w:space="0" w:color="auto"/>
                    <w:bottom w:val="none" w:sz="0" w:space="0" w:color="auto"/>
                    <w:right w:val="none" w:sz="0" w:space="0" w:color="auto"/>
                  </w:divBdr>
                </w:div>
              </w:divsChild>
            </w:div>
            <w:div w:id="1148789227">
              <w:marLeft w:val="0"/>
              <w:marRight w:val="0"/>
              <w:marTop w:val="0"/>
              <w:marBottom w:val="0"/>
              <w:divBdr>
                <w:top w:val="none" w:sz="0" w:space="0" w:color="auto"/>
                <w:left w:val="none" w:sz="0" w:space="0" w:color="auto"/>
                <w:bottom w:val="none" w:sz="0" w:space="0" w:color="auto"/>
                <w:right w:val="none" w:sz="0" w:space="0" w:color="auto"/>
              </w:divBdr>
              <w:divsChild>
                <w:div w:id="1115825653">
                  <w:marLeft w:val="0"/>
                  <w:marRight w:val="0"/>
                  <w:marTop w:val="0"/>
                  <w:marBottom w:val="0"/>
                  <w:divBdr>
                    <w:top w:val="none" w:sz="0" w:space="0" w:color="auto"/>
                    <w:left w:val="none" w:sz="0" w:space="0" w:color="auto"/>
                    <w:bottom w:val="none" w:sz="0" w:space="0" w:color="auto"/>
                    <w:right w:val="none" w:sz="0" w:space="0" w:color="auto"/>
                  </w:divBdr>
                </w:div>
              </w:divsChild>
            </w:div>
            <w:div w:id="1148860376">
              <w:marLeft w:val="0"/>
              <w:marRight w:val="0"/>
              <w:marTop w:val="0"/>
              <w:marBottom w:val="0"/>
              <w:divBdr>
                <w:top w:val="none" w:sz="0" w:space="0" w:color="auto"/>
                <w:left w:val="none" w:sz="0" w:space="0" w:color="auto"/>
                <w:bottom w:val="none" w:sz="0" w:space="0" w:color="auto"/>
                <w:right w:val="none" w:sz="0" w:space="0" w:color="auto"/>
              </w:divBdr>
              <w:divsChild>
                <w:div w:id="1884749829">
                  <w:marLeft w:val="0"/>
                  <w:marRight w:val="0"/>
                  <w:marTop w:val="0"/>
                  <w:marBottom w:val="0"/>
                  <w:divBdr>
                    <w:top w:val="none" w:sz="0" w:space="0" w:color="auto"/>
                    <w:left w:val="none" w:sz="0" w:space="0" w:color="auto"/>
                    <w:bottom w:val="none" w:sz="0" w:space="0" w:color="auto"/>
                    <w:right w:val="none" w:sz="0" w:space="0" w:color="auto"/>
                  </w:divBdr>
                </w:div>
              </w:divsChild>
            </w:div>
            <w:div w:id="1148978205">
              <w:marLeft w:val="0"/>
              <w:marRight w:val="0"/>
              <w:marTop w:val="0"/>
              <w:marBottom w:val="0"/>
              <w:divBdr>
                <w:top w:val="none" w:sz="0" w:space="0" w:color="auto"/>
                <w:left w:val="none" w:sz="0" w:space="0" w:color="auto"/>
                <w:bottom w:val="none" w:sz="0" w:space="0" w:color="auto"/>
                <w:right w:val="none" w:sz="0" w:space="0" w:color="auto"/>
              </w:divBdr>
              <w:divsChild>
                <w:div w:id="1751266526">
                  <w:marLeft w:val="0"/>
                  <w:marRight w:val="0"/>
                  <w:marTop w:val="0"/>
                  <w:marBottom w:val="0"/>
                  <w:divBdr>
                    <w:top w:val="none" w:sz="0" w:space="0" w:color="auto"/>
                    <w:left w:val="none" w:sz="0" w:space="0" w:color="auto"/>
                    <w:bottom w:val="none" w:sz="0" w:space="0" w:color="auto"/>
                    <w:right w:val="none" w:sz="0" w:space="0" w:color="auto"/>
                  </w:divBdr>
                </w:div>
              </w:divsChild>
            </w:div>
            <w:div w:id="1149127032">
              <w:marLeft w:val="0"/>
              <w:marRight w:val="0"/>
              <w:marTop w:val="0"/>
              <w:marBottom w:val="0"/>
              <w:divBdr>
                <w:top w:val="none" w:sz="0" w:space="0" w:color="auto"/>
                <w:left w:val="none" w:sz="0" w:space="0" w:color="auto"/>
                <w:bottom w:val="none" w:sz="0" w:space="0" w:color="auto"/>
                <w:right w:val="none" w:sz="0" w:space="0" w:color="auto"/>
              </w:divBdr>
              <w:divsChild>
                <w:div w:id="961544974">
                  <w:marLeft w:val="0"/>
                  <w:marRight w:val="0"/>
                  <w:marTop w:val="0"/>
                  <w:marBottom w:val="0"/>
                  <w:divBdr>
                    <w:top w:val="none" w:sz="0" w:space="0" w:color="auto"/>
                    <w:left w:val="none" w:sz="0" w:space="0" w:color="auto"/>
                    <w:bottom w:val="none" w:sz="0" w:space="0" w:color="auto"/>
                    <w:right w:val="none" w:sz="0" w:space="0" w:color="auto"/>
                  </w:divBdr>
                </w:div>
              </w:divsChild>
            </w:div>
            <w:div w:id="1149979169">
              <w:marLeft w:val="0"/>
              <w:marRight w:val="0"/>
              <w:marTop w:val="0"/>
              <w:marBottom w:val="0"/>
              <w:divBdr>
                <w:top w:val="none" w:sz="0" w:space="0" w:color="auto"/>
                <w:left w:val="none" w:sz="0" w:space="0" w:color="auto"/>
                <w:bottom w:val="none" w:sz="0" w:space="0" w:color="auto"/>
                <w:right w:val="none" w:sz="0" w:space="0" w:color="auto"/>
              </w:divBdr>
              <w:divsChild>
                <w:div w:id="517037451">
                  <w:marLeft w:val="0"/>
                  <w:marRight w:val="0"/>
                  <w:marTop w:val="0"/>
                  <w:marBottom w:val="0"/>
                  <w:divBdr>
                    <w:top w:val="none" w:sz="0" w:space="0" w:color="auto"/>
                    <w:left w:val="none" w:sz="0" w:space="0" w:color="auto"/>
                    <w:bottom w:val="none" w:sz="0" w:space="0" w:color="auto"/>
                    <w:right w:val="none" w:sz="0" w:space="0" w:color="auto"/>
                  </w:divBdr>
                </w:div>
              </w:divsChild>
            </w:div>
            <w:div w:id="1150898555">
              <w:marLeft w:val="0"/>
              <w:marRight w:val="0"/>
              <w:marTop w:val="0"/>
              <w:marBottom w:val="0"/>
              <w:divBdr>
                <w:top w:val="none" w:sz="0" w:space="0" w:color="auto"/>
                <w:left w:val="none" w:sz="0" w:space="0" w:color="auto"/>
                <w:bottom w:val="none" w:sz="0" w:space="0" w:color="auto"/>
                <w:right w:val="none" w:sz="0" w:space="0" w:color="auto"/>
              </w:divBdr>
              <w:divsChild>
                <w:div w:id="960257836">
                  <w:marLeft w:val="0"/>
                  <w:marRight w:val="0"/>
                  <w:marTop w:val="0"/>
                  <w:marBottom w:val="0"/>
                  <w:divBdr>
                    <w:top w:val="none" w:sz="0" w:space="0" w:color="auto"/>
                    <w:left w:val="none" w:sz="0" w:space="0" w:color="auto"/>
                    <w:bottom w:val="none" w:sz="0" w:space="0" w:color="auto"/>
                    <w:right w:val="none" w:sz="0" w:space="0" w:color="auto"/>
                  </w:divBdr>
                </w:div>
              </w:divsChild>
            </w:div>
            <w:div w:id="1153642777">
              <w:marLeft w:val="0"/>
              <w:marRight w:val="0"/>
              <w:marTop w:val="0"/>
              <w:marBottom w:val="0"/>
              <w:divBdr>
                <w:top w:val="none" w:sz="0" w:space="0" w:color="auto"/>
                <w:left w:val="none" w:sz="0" w:space="0" w:color="auto"/>
                <w:bottom w:val="none" w:sz="0" w:space="0" w:color="auto"/>
                <w:right w:val="none" w:sz="0" w:space="0" w:color="auto"/>
              </w:divBdr>
              <w:divsChild>
                <w:div w:id="254822974">
                  <w:marLeft w:val="0"/>
                  <w:marRight w:val="0"/>
                  <w:marTop w:val="0"/>
                  <w:marBottom w:val="0"/>
                  <w:divBdr>
                    <w:top w:val="none" w:sz="0" w:space="0" w:color="auto"/>
                    <w:left w:val="none" w:sz="0" w:space="0" w:color="auto"/>
                    <w:bottom w:val="none" w:sz="0" w:space="0" w:color="auto"/>
                    <w:right w:val="none" w:sz="0" w:space="0" w:color="auto"/>
                  </w:divBdr>
                </w:div>
              </w:divsChild>
            </w:div>
            <w:div w:id="1153982852">
              <w:marLeft w:val="0"/>
              <w:marRight w:val="0"/>
              <w:marTop w:val="300"/>
              <w:marBottom w:val="300"/>
              <w:divBdr>
                <w:top w:val="none" w:sz="0" w:space="0" w:color="auto"/>
                <w:left w:val="none" w:sz="0" w:space="0" w:color="auto"/>
                <w:bottom w:val="none" w:sz="0" w:space="0" w:color="auto"/>
                <w:right w:val="none" w:sz="0" w:space="0" w:color="auto"/>
              </w:divBdr>
            </w:div>
            <w:div w:id="1154950865">
              <w:marLeft w:val="0"/>
              <w:marRight w:val="0"/>
              <w:marTop w:val="0"/>
              <w:marBottom w:val="0"/>
              <w:divBdr>
                <w:top w:val="none" w:sz="0" w:space="0" w:color="auto"/>
                <w:left w:val="none" w:sz="0" w:space="0" w:color="auto"/>
                <w:bottom w:val="none" w:sz="0" w:space="0" w:color="auto"/>
                <w:right w:val="none" w:sz="0" w:space="0" w:color="auto"/>
              </w:divBdr>
              <w:divsChild>
                <w:div w:id="1398893661">
                  <w:marLeft w:val="0"/>
                  <w:marRight w:val="0"/>
                  <w:marTop w:val="0"/>
                  <w:marBottom w:val="0"/>
                  <w:divBdr>
                    <w:top w:val="none" w:sz="0" w:space="0" w:color="auto"/>
                    <w:left w:val="none" w:sz="0" w:space="0" w:color="auto"/>
                    <w:bottom w:val="none" w:sz="0" w:space="0" w:color="auto"/>
                    <w:right w:val="none" w:sz="0" w:space="0" w:color="auto"/>
                  </w:divBdr>
                </w:div>
              </w:divsChild>
            </w:div>
            <w:div w:id="1158837213">
              <w:marLeft w:val="0"/>
              <w:marRight w:val="0"/>
              <w:marTop w:val="300"/>
              <w:marBottom w:val="300"/>
              <w:divBdr>
                <w:top w:val="none" w:sz="0" w:space="0" w:color="auto"/>
                <w:left w:val="none" w:sz="0" w:space="0" w:color="auto"/>
                <w:bottom w:val="none" w:sz="0" w:space="0" w:color="auto"/>
                <w:right w:val="none" w:sz="0" w:space="0" w:color="auto"/>
              </w:divBdr>
            </w:div>
            <w:div w:id="1161390527">
              <w:marLeft w:val="0"/>
              <w:marRight w:val="0"/>
              <w:marTop w:val="0"/>
              <w:marBottom w:val="0"/>
              <w:divBdr>
                <w:top w:val="none" w:sz="0" w:space="0" w:color="auto"/>
                <w:left w:val="none" w:sz="0" w:space="0" w:color="auto"/>
                <w:bottom w:val="none" w:sz="0" w:space="0" w:color="auto"/>
                <w:right w:val="none" w:sz="0" w:space="0" w:color="auto"/>
              </w:divBdr>
              <w:divsChild>
                <w:div w:id="1745109325">
                  <w:marLeft w:val="0"/>
                  <w:marRight w:val="0"/>
                  <w:marTop w:val="0"/>
                  <w:marBottom w:val="0"/>
                  <w:divBdr>
                    <w:top w:val="none" w:sz="0" w:space="0" w:color="auto"/>
                    <w:left w:val="none" w:sz="0" w:space="0" w:color="auto"/>
                    <w:bottom w:val="none" w:sz="0" w:space="0" w:color="auto"/>
                    <w:right w:val="none" w:sz="0" w:space="0" w:color="auto"/>
                  </w:divBdr>
                </w:div>
              </w:divsChild>
            </w:div>
            <w:div w:id="1161509086">
              <w:marLeft w:val="0"/>
              <w:marRight w:val="0"/>
              <w:marTop w:val="0"/>
              <w:marBottom w:val="0"/>
              <w:divBdr>
                <w:top w:val="none" w:sz="0" w:space="0" w:color="auto"/>
                <w:left w:val="none" w:sz="0" w:space="0" w:color="auto"/>
                <w:bottom w:val="none" w:sz="0" w:space="0" w:color="auto"/>
                <w:right w:val="none" w:sz="0" w:space="0" w:color="auto"/>
              </w:divBdr>
              <w:divsChild>
                <w:div w:id="772213906">
                  <w:marLeft w:val="0"/>
                  <w:marRight w:val="0"/>
                  <w:marTop w:val="0"/>
                  <w:marBottom w:val="0"/>
                  <w:divBdr>
                    <w:top w:val="none" w:sz="0" w:space="0" w:color="auto"/>
                    <w:left w:val="none" w:sz="0" w:space="0" w:color="auto"/>
                    <w:bottom w:val="none" w:sz="0" w:space="0" w:color="auto"/>
                    <w:right w:val="none" w:sz="0" w:space="0" w:color="auto"/>
                  </w:divBdr>
                </w:div>
              </w:divsChild>
            </w:div>
            <w:div w:id="1161891646">
              <w:marLeft w:val="0"/>
              <w:marRight w:val="0"/>
              <w:marTop w:val="0"/>
              <w:marBottom w:val="0"/>
              <w:divBdr>
                <w:top w:val="none" w:sz="0" w:space="0" w:color="auto"/>
                <w:left w:val="none" w:sz="0" w:space="0" w:color="auto"/>
                <w:bottom w:val="none" w:sz="0" w:space="0" w:color="auto"/>
                <w:right w:val="none" w:sz="0" w:space="0" w:color="auto"/>
              </w:divBdr>
              <w:divsChild>
                <w:div w:id="1351763191">
                  <w:marLeft w:val="0"/>
                  <w:marRight w:val="0"/>
                  <w:marTop w:val="0"/>
                  <w:marBottom w:val="0"/>
                  <w:divBdr>
                    <w:top w:val="none" w:sz="0" w:space="0" w:color="auto"/>
                    <w:left w:val="none" w:sz="0" w:space="0" w:color="auto"/>
                    <w:bottom w:val="none" w:sz="0" w:space="0" w:color="auto"/>
                    <w:right w:val="none" w:sz="0" w:space="0" w:color="auto"/>
                  </w:divBdr>
                </w:div>
              </w:divsChild>
            </w:div>
            <w:div w:id="1163619119">
              <w:marLeft w:val="0"/>
              <w:marRight w:val="0"/>
              <w:marTop w:val="0"/>
              <w:marBottom w:val="0"/>
              <w:divBdr>
                <w:top w:val="none" w:sz="0" w:space="0" w:color="auto"/>
                <w:left w:val="none" w:sz="0" w:space="0" w:color="auto"/>
                <w:bottom w:val="none" w:sz="0" w:space="0" w:color="auto"/>
                <w:right w:val="none" w:sz="0" w:space="0" w:color="auto"/>
              </w:divBdr>
              <w:divsChild>
                <w:div w:id="623736185">
                  <w:marLeft w:val="0"/>
                  <w:marRight w:val="0"/>
                  <w:marTop w:val="0"/>
                  <w:marBottom w:val="0"/>
                  <w:divBdr>
                    <w:top w:val="none" w:sz="0" w:space="0" w:color="auto"/>
                    <w:left w:val="none" w:sz="0" w:space="0" w:color="auto"/>
                    <w:bottom w:val="none" w:sz="0" w:space="0" w:color="auto"/>
                    <w:right w:val="none" w:sz="0" w:space="0" w:color="auto"/>
                  </w:divBdr>
                </w:div>
              </w:divsChild>
            </w:div>
            <w:div w:id="1167591944">
              <w:marLeft w:val="0"/>
              <w:marRight w:val="0"/>
              <w:marTop w:val="0"/>
              <w:marBottom w:val="0"/>
              <w:divBdr>
                <w:top w:val="none" w:sz="0" w:space="0" w:color="auto"/>
                <w:left w:val="none" w:sz="0" w:space="0" w:color="auto"/>
                <w:bottom w:val="none" w:sz="0" w:space="0" w:color="auto"/>
                <w:right w:val="none" w:sz="0" w:space="0" w:color="auto"/>
              </w:divBdr>
              <w:divsChild>
                <w:div w:id="1490177011">
                  <w:marLeft w:val="0"/>
                  <w:marRight w:val="0"/>
                  <w:marTop w:val="0"/>
                  <w:marBottom w:val="0"/>
                  <w:divBdr>
                    <w:top w:val="none" w:sz="0" w:space="0" w:color="auto"/>
                    <w:left w:val="none" w:sz="0" w:space="0" w:color="auto"/>
                    <w:bottom w:val="none" w:sz="0" w:space="0" w:color="auto"/>
                    <w:right w:val="none" w:sz="0" w:space="0" w:color="auto"/>
                  </w:divBdr>
                </w:div>
              </w:divsChild>
            </w:div>
            <w:div w:id="1168015053">
              <w:marLeft w:val="0"/>
              <w:marRight w:val="0"/>
              <w:marTop w:val="0"/>
              <w:marBottom w:val="0"/>
              <w:divBdr>
                <w:top w:val="none" w:sz="0" w:space="0" w:color="auto"/>
                <w:left w:val="none" w:sz="0" w:space="0" w:color="auto"/>
                <w:bottom w:val="none" w:sz="0" w:space="0" w:color="auto"/>
                <w:right w:val="none" w:sz="0" w:space="0" w:color="auto"/>
              </w:divBdr>
              <w:divsChild>
                <w:div w:id="1664579294">
                  <w:marLeft w:val="0"/>
                  <w:marRight w:val="0"/>
                  <w:marTop w:val="0"/>
                  <w:marBottom w:val="0"/>
                  <w:divBdr>
                    <w:top w:val="none" w:sz="0" w:space="0" w:color="auto"/>
                    <w:left w:val="none" w:sz="0" w:space="0" w:color="auto"/>
                    <w:bottom w:val="none" w:sz="0" w:space="0" w:color="auto"/>
                    <w:right w:val="none" w:sz="0" w:space="0" w:color="auto"/>
                  </w:divBdr>
                </w:div>
              </w:divsChild>
            </w:div>
            <w:div w:id="1168984113">
              <w:marLeft w:val="0"/>
              <w:marRight w:val="0"/>
              <w:marTop w:val="0"/>
              <w:marBottom w:val="0"/>
              <w:divBdr>
                <w:top w:val="none" w:sz="0" w:space="0" w:color="auto"/>
                <w:left w:val="none" w:sz="0" w:space="0" w:color="auto"/>
                <w:bottom w:val="none" w:sz="0" w:space="0" w:color="auto"/>
                <w:right w:val="none" w:sz="0" w:space="0" w:color="auto"/>
              </w:divBdr>
              <w:divsChild>
                <w:div w:id="998576284">
                  <w:marLeft w:val="0"/>
                  <w:marRight w:val="0"/>
                  <w:marTop w:val="0"/>
                  <w:marBottom w:val="0"/>
                  <w:divBdr>
                    <w:top w:val="none" w:sz="0" w:space="0" w:color="auto"/>
                    <w:left w:val="none" w:sz="0" w:space="0" w:color="auto"/>
                    <w:bottom w:val="none" w:sz="0" w:space="0" w:color="auto"/>
                    <w:right w:val="none" w:sz="0" w:space="0" w:color="auto"/>
                  </w:divBdr>
                </w:div>
              </w:divsChild>
            </w:div>
            <w:div w:id="1169296382">
              <w:marLeft w:val="0"/>
              <w:marRight w:val="0"/>
              <w:marTop w:val="0"/>
              <w:marBottom w:val="0"/>
              <w:divBdr>
                <w:top w:val="none" w:sz="0" w:space="0" w:color="auto"/>
                <w:left w:val="none" w:sz="0" w:space="0" w:color="auto"/>
                <w:bottom w:val="none" w:sz="0" w:space="0" w:color="auto"/>
                <w:right w:val="none" w:sz="0" w:space="0" w:color="auto"/>
              </w:divBdr>
              <w:divsChild>
                <w:div w:id="1822497659">
                  <w:marLeft w:val="0"/>
                  <w:marRight w:val="0"/>
                  <w:marTop w:val="0"/>
                  <w:marBottom w:val="0"/>
                  <w:divBdr>
                    <w:top w:val="none" w:sz="0" w:space="0" w:color="auto"/>
                    <w:left w:val="none" w:sz="0" w:space="0" w:color="auto"/>
                    <w:bottom w:val="none" w:sz="0" w:space="0" w:color="auto"/>
                    <w:right w:val="none" w:sz="0" w:space="0" w:color="auto"/>
                  </w:divBdr>
                </w:div>
              </w:divsChild>
            </w:div>
            <w:div w:id="1169439479">
              <w:marLeft w:val="0"/>
              <w:marRight w:val="0"/>
              <w:marTop w:val="0"/>
              <w:marBottom w:val="0"/>
              <w:divBdr>
                <w:top w:val="none" w:sz="0" w:space="0" w:color="auto"/>
                <w:left w:val="none" w:sz="0" w:space="0" w:color="auto"/>
                <w:bottom w:val="none" w:sz="0" w:space="0" w:color="auto"/>
                <w:right w:val="none" w:sz="0" w:space="0" w:color="auto"/>
              </w:divBdr>
              <w:divsChild>
                <w:div w:id="718015534">
                  <w:marLeft w:val="0"/>
                  <w:marRight w:val="0"/>
                  <w:marTop w:val="0"/>
                  <w:marBottom w:val="0"/>
                  <w:divBdr>
                    <w:top w:val="none" w:sz="0" w:space="0" w:color="auto"/>
                    <w:left w:val="none" w:sz="0" w:space="0" w:color="auto"/>
                    <w:bottom w:val="none" w:sz="0" w:space="0" w:color="auto"/>
                    <w:right w:val="none" w:sz="0" w:space="0" w:color="auto"/>
                  </w:divBdr>
                </w:div>
              </w:divsChild>
            </w:div>
            <w:div w:id="1171018816">
              <w:marLeft w:val="0"/>
              <w:marRight w:val="0"/>
              <w:marTop w:val="0"/>
              <w:marBottom w:val="0"/>
              <w:divBdr>
                <w:top w:val="none" w:sz="0" w:space="0" w:color="auto"/>
                <w:left w:val="none" w:sz="0" w:space="0" w:color="auto"/>
                <w:bottom w:val="none" w:sz="0" w:space="0" w:color="auto"/>
                <w:right w:val="none" w:sz="0" w:space="0" w:color="auto"/>
              </w:divBdr>
              <w:divsChild>
                <w:div w:id="1743984186">
                  <w:marLeft w:val="0"/>
                  <w:marRight w:val="0"/>
                  <w:marTop w:val="0"/>
                  <w:marBottom w:val="0"/>
                  <w:divBdr>
                    <w:top w:val="none" w:sz="0" w:space="0" w:color="auto"/>
                    <w:left w:val="none" w:sz="0" w:space="0" w:color="auto"/>
                    <w:bottom w:val="none" w:sz="0" w:space="0" w:color="auto"/>
                    <w:right w:val="none" w:sz="0" w:space="0" w:color="auto"/>
                  </w:divBdr>
                </w:div>
              </w:divsChild>
            </w:div>
            <w:div w:id="1171947091">
              <w:marLeft w:val="0"/>
              <w:marRight w:val="0"/>
              <w:marTop w:val="0"/>
              <w:marBottom w:val="0"/>
              <w:divBdr>
                <w:top w:val="none" w:sz="0" w:space="0" w:color="auto"/>
                <w:left w:val="none" w:sz="0" w:space="0" w:color="auto"/>
                <w:bottom w:val="none" w:sz="0" w:space="0" w:color="auto"/>
                <w:right w:val="none" w:sz="0" w:space="0" w:color="auto"/>
              </w:divBdr>
              <w:divsChild>
                <w:div w:id="1785611521">
                  <w:marLeft w:val="0"/>
                  <w:marRight w:val="0"/>
                  <w:marTop w:val="0"/>
                  <w:marBottom w:val="0"/>
                  <w:divBdr>
                    <w:top w:val="none" w:sz="0" w:space="0" w:color="auto"/>
                    <w:left w:val="none" w:sz="0" w:space="0" w:color="auto"/>
                    <w:bottom w:val="none" w:sz="0" w:space="0" w:color="auto"/>
                    <w:right w:val="none" w:sz="0" w:space="0" w:color="auto"/>
                  </w:divBdr>
                </w:div>
              </w:divsChild>
            </w:div>
            <w:div w:id="1173959509">
              <w:marLeft w:val="0"/>
              <w:marRight w:val="0"/>
              <w:marTop w:val="0"/>
              <w:marBottom w:val="0"/>
              <w:divBdr>
                <w:top w:val="none" w:sz="0" w:space="0" w:color="auto"/>
                <w:left w:val="none" w:sz="0" w:space="0" w:color="auto"/>
                <w:bottom w:val="none" w:sz="0" w:space="0" w:color="auto"/>
                <w:right w:val="none" w:sz="0" w:space="0" w:color="auto"/>
              </w:divBdr>
              <w:divsChild>
                <w:div w:id="629362071">
                  <w:marLeft w:val="0"/>
                  <w:marRight w:val="0"/>
                  <w:marTop w:val="0"/>
                  <w:marBottom w:val="0"/>
                  <w:divBdr>
                    <w:top w:val="none" w:sz="0" w:space="0" w:color="auto"/>
                    <w:left w:val="none" w:sz="0" w:space="0" w:color="auto"/>
                    <w:bottom w:val="none" w:sz="0" w:space="0" w:color="auto"/>
                    <w:right w:val="none" w:sz="0" w:space="0" w:color="auto"/>
                  </w:divBdr>
                </w:div>
              </w:divsChild>
            </w:div>
            <w:div w:id="1174295876">
              <w:marLeft w:val="0"/>
              <w:marRight w:val="0"/>
              <w:marTop w:val="0"/>
              <w:marBottom w:val="0"/>
              <w:divBdr>
                <w:top w:val="none" w:sz="0" w:space="0" w:color="auto"/>
                <w:left w:val="none" w:sz="0" w:space="0" w:color="auto"/>
                <w:bottom w:val="none" w:sz="0" w:space="0" w:color="auto"/>
                <w:right w:val="none" w:sz="0" w:space="0" w:color="auto"/>
              </w:divBdr>
              <w:divsChild>
                <w:div w:id="278341456">
                  <w:marLeft w:val="0"/>
                  <w:marRight w:val="0"/>
                  <w:marTop w:val="0"/>
                  <w:marBottom w:val="0"/>
                  <w:divBdr>
                    <w:top w:val="none" w:sz="0" w:space="0" w:color="auto"/>
                    <w:left w:val="none" w:sz="0" w:space="0" w:color="auto"/>
                    <w:bottom w:val="none" w:sz="0" w:space="0" w:color="auto"/>
                    <w:right w:val="none" w:sz="0" w:space="0" w:color="auto"/>
                  </w:divBdr>
                </w:div>
              </w:divsChild>
            </w:div>
            <w:div w:id="1175223898">
              <w:marLeft w:val="0"/>
              <w:marRight w:val="0"/>
              <w:marTop w:val="300"/>
              <w:marBottom w:val="300"/>
              <w:divBdr>
                <w:top w:val="none" w:sz="0" w:space="0" w:color="auto"/>
                <w:left w:val="none" w:sz="0" w:space="0" w:color="auto"/>
                <w:bottom w:val="none" w:sz="0" w:space="0" w:color="auto"/>
                <w:right w:val="none" w:sz="0" w:space="0" w:color="auto"/>
              </w:divBdr>
            </w:div>
            <w:div w:id="1177621097">
              <w:marLeft w:val="0"/>
              <w:marRight w:val="0"/>
              <w:marTop w:val="0"/>
              <w:marBottom w:val="0"/>
              <w:divBdr>
                <w:top w:val="none" w:sz="0" w:space="0" w:color="auto"/>
                <w:left w:val="none" w:sz="0" w:space="0" w:color="auto"/>
                <w:bottom w:val="none" w:sz="0" w:space="0" w:color="auto"/>
                <w:right w:val="none" w:sz="0" w:space="0" w:color="auto"/>
              </w:divBdr>
              <w:divsChild>
                <w:div w:id="1456026966">
                  <w:marLeft w:val="0"/>
                  <w:marRight w:val="0"/>
                  <w:marTop w:val="0"/>
                  <w:marBottom w:val="0"/>
                  <w:divBdr>
                    <w:top w:val="none" w:sz="0" w:space="0" w:color="auto"/>
                    <w:left w:val="none" w:sz="0" w:space="0" w:color="auto"/>
                    <w:bottom w:val="none" w:sz="0" w:space="0" w:color="auto"/>
                    <w:right w:val="none" w:sz="0" w:space="0" w:color="auto"/>
                  </w:divBdr>
                </w:div>
              </w:divsChild>
            </w:div>
            <w:div w:id="1178236015">
              <w:marLeft w:val="0"/>
              <w:marRight w:val="0"/>
              <w:marTop w:val="0"/>
              <w:marBottom w:val="0"/>
              <w:divBdr>
                <w:top w:val="none" w:sz="0" w:space="0" w:color="auto"/>
                <w:left w:val="none" w:sz="0" w:space="0" w:color="auto"/>
                <w:bottom w:val="none" w:sz="0" w:space="0" w:color="auto"/>
                <w:right w:val="none" w:sz="0" w:space="0" w:color="auto"/>
              </w:divBdr>
              <w:divsChild>
                <w:div w:id="1193417591">
                  <w:marLeft w:val="0"/>
                  <w:marRight w:val="0"/>
                  <w:marTop w:val="0"/>
                  <w:marBottom w:val="0"/>
                  <w:divBdr>
                    <w:top w:val="none" w:sz="0" w:space="0" w:color="auto"/>
                    <w:left w:val="none" w:sz="0" w:space="0" w:color="auto"/>
                    <w:bottom w:val="none" w:sz="0" w:space="0" w:color="auto"/>
                    <w:right w:val="none" w:sz="0" w:space="0" w:color="auto"/>
                  </w:divBdr>
                </w:div>
              </w:divsChild>
            </w:div>
            <w:div w:id="1179546371">
              <w:marLeft w:val="0"/>
              <w:marRight w:val="0"/>
              <w:marTop w:val="0"/>
              <w:marBottom w:val="0"/>
              <w:divBdr>
                <w:top w:val="none" w:sz="0" w:space="0" w:color="auto"/>
                <w:left w:val="none" w:sz="0" w:space="0" w:color="auto"/>
                <w:bottom w:val="none" w:sz="0" w:space="0" w:color="auto"/>
                <w:right w:val="none" w:sz="0" w:space="0" w:color="auto"/>
              </w:divBdr>
              <w:divsChild>
                <w:div w:id="1396733819">
                  <w:marLeft w:val="0"/>
                  <w:marRight w:val="0"/>
                  <w:marTop w:val="0"/>
                  <w:marBottom w:val="0"/>
                  <w:divBdr>
                    <w:top w:val="none" w:sz="0" w:space="0" w:color="auto"/>
                    <w:left w:val="none" w:sz="0" w:space="0" w:color="auto"/>
                    <w:bottom w:val="none" w:sz="0" w:space="0" w:color="auto"/>
                    <w:right w:val="none" w:sz="0" w:space="0" w:color="auto"/>
                  </w:divBdr>
                </w:div>
              </w:divsChild>
            </w:div>
            <w:div w:id="1180194714">
              <w:marLeft w:val="0"/>
              <w:marRight w:val="0"/>
              <w:marTop w:val="0"/>
              <w:marBottom w:val="0"/>
              <w:divBdr>
                <w:top w:val="none" w:sz="0" w:space="0" w:color="auto"/>
                <w:left w:val="none" w:sz="0" w:space="0" w:color="auto"/>
                <w:bottom w:val="none" w:sz="0" w:space="0" w:color="auto"/>
                <w:right w:val="none" w:sz="0" w:space="0" w:color="auto"/>
              </w:divBdr>
              <w:divsChild>
                <w:div w:id="574824665">
                  <w:marLeft w:val="0"/>
                  <w:marRight w:val="0"/>
                  <w:marTop w:val="0"/>
                  <w:marBottom w:val="0"/>
                  <w:divBdr>
                    <w:top w:val="none" w:sz="0" w:space="0" w:color="auto"/>
                    <w:left w:val="none" w:sz="0" w:space="0" w:color="auto"/>
                    <w:bottom w:val="none" w:sz="0" w:space="0" w:color="auto"/>
                    <w:right w:val="none" w:sz="0" w:space="0" w:color="auto"/>
                  </w:divBdr>
                </w:div>
              </w:divsChild>
            </w:div>
            <w:div w:id="1180269883">
              <w:marLeft w:val="0"/>
              <w:marRight w:val="0"/>
              <w:marTop w:val="0"/>
              <w:marBottom w:val="0"/>
              <w:divBdr>
                <w:top w:val="none" w:sz="0" w:space="0" w:color="auto"/>
                <w:left w:val="none" w:sz="0" w:space="0" w:color="auto"/>
                <w:bottom w:val="none" w:sz="0" w:space="0" w:color="auto"/>
                <w:right w:val="none" w:sz="0" w:space="0" w:color="auto"/>
              </w:divBdr>
              <w:divsChild>
                <w:div w:id="768039714">
                  <w:marLeft w:val="0"/>
                  <w:marRight w:val="0"/>
                  <w:marTop w:val="0"/>
                  <w:marBottom w:val="0"/>
                  <w:divBdr>
                    <w:top w:val="none" w:sz="0" w:space="0" w:color="auto"/>
                    <w:left w:val="none" w:sz="0" w:space="0" w:color="auto"/>
                    <w:bottom w:val="none" w:sz="0" w:space="0" w:color="auto"/>
                    <w:right w:val="none" w:sz="0" w:space="0" w:color="auto"/>
                  </w:divBdr>
                </w:div>
              </w:divsChild>
            </w:div>
            <w:div w:id="1185094855">
              <w:marLeft w:val="0"/>
              <w:marRight w:val="0"/>
              <w:marTop w:val="0"/>
              <w:marBottom w:val="0"/>
              <w:divBdr>
                <w:top w:val="none" w:sz="0" w:space="0" w:color="auto"/>
                <w:left w:val="none" w:sz="0" w:space="0" w:color="auto"/>
                <w:bottom w:val="none" w:sz="0" w:space="0" w:color="auto"/>
                <w:right w:val="none" w:sz="0" w:space="0" w:color="auto"/>
              </w:divBdr>
              <w:divsChild>
                <w:div w:id="1596982294">
                  <w:marLeft w:val="0"/>
                  <w:marRight w:val="0"/>
                  <w:marTop w:val="0"/>
                  <w:marBottom w:val="0"/>
                  <w:divBdr>
                    <w:top w:val="none" w:sz="0" w:space="0" w:color="auto"/>
                    <w:left w:val="none" w:sz="0" w:space="0" w:color="auto"/>
                    <w:bottom w:val="none" w:sz="0" w:space="0" w:color="auto"/>
                    <w:right w:val="none" w:sz="0" w:space="0" w:color="auto"/>
                  </w:divBdr>
                </w:div>
              </w:divsChild>
            </w:div>
            <w:div w:id="1185242043">
              <w:marLeft w:val="0"/>
              <w:marRight w:val="0"/>
              <w:marTop w:val="0"/>
              <w:marBottom w:val="0"/>
              <w:divBdr>
                <w:top w:val="none" w:sz="0" w:space="0" w:color="auto"/>
                <w:left w:val="none" w:sz="0" w:space="0" w:color="auto"/>
                <w:bottom w:val="none" w:sz="0" w:space="0" w:color="auto"/>
                <w:right w:val="none" w:sz="0" w:space="0" w:color="auto"/>
              </w:divBdr>
              <w:divsChild>
                <w:div w:id="1519612451">
                  <w:marLeft w:val="0"/>
                  <w:marRight w:val="0"/>
                  <w:marTop w:val="0"/>
                  <w:marBottom w:val="0"/>
                  <w:divBdr>
                    <w:top w:val="none" w:sz="0" w:space="0" w:color="auto"/>
                    <w:left w:val="none" w:sz="0" w:space="0" w:color="auto"/>
                    <w:bottom w:val="none" w:sz="0" w:space="0" w:color="auto"/>
                    <w:right w:val="none" w:sz="0" w:space="0" w:color="auto"/>
                  </w:divBdr>
                </w:div>
              </w:divsChild>
            </w:div>
            <w:div w:id="1186360177">
              <w:marLeft w:val="0"/>
              <w:marRight w:val="0"/>
              <w:marTop w:val="0"/>
              <w:marBottom w:val="0"/>
              <w:divBdr>
                <w:top w:val="none" w:sz="0" w:space="0" w:color="auto"/>
                <w:left w:val="none" w:sz="0" w:space="0" w:color="auto"/>
                <w:bottom w:val="none" w:sz="0" w:space="0" w:color="auto"/>
                <w:right w:val="none" w:sz="0" w:space="0" w:color="auto"/>
              </w:divBdr>
              <w:divsChild>
                <w:div w:id="1828863596">
                  <w:marLeft w:val="0"/>
                  <w:marRight w:val="0"/>
                  <w:marTop w:val="0"/>
                  <w:marBottom w:val="0"/>
                  <w:divBdr>
                    <w:top w:val="none" w:sz="0" w:space="0" w:color="auto"/>
                    <w:left w:val="none" w:sz="0" w:space="0" w:color="auto"/>
                    <w:bottom w:val="none" w:sz="0" w:space="0" w:color="auto"/>
                    <w:right w:val="none" w:sz="0" w:space="0" w:color="auto"/>
                  </w:divBdr>
                </w:div>
              </w:divsChild>
            </w:div>
            <w:div w:id="1186360511">
              <w:marLeft w:val="0"/>
              <w:marRight w:val="0"/>
              <w:marTop w:val="0"/>
              <w:marBottom w:val="0"/>
              <w:divBdr>
                <w:top w:val="none" w:sz="0" w:space="0" w:color="auto"/>
                <w:left w:val="none" w:sz="0" w:space="0" w:color="auto"/>
                <w:bottom w:val="none" w:sz="0" w:space="0" w:color="auto"/>
                <w:right w:val="none" w:sz="0" w:space="0" w:color="auto"/>
              </w:divBdr>
              <w:divsChild>
                <w:div w:id="1194340888">
                  <w:marLeft w:val="0"/>
                  <w:marRight w:val="0"/>
                  <w:marTop w:val="0"/>
                  <w:marBottom w:val="0"/>
                  <w:divBdr>
                    <w:top w:val="none" w:sz="0" w:space="0" w:color="auto"/>
                    <w:left w:val="none" w:sz="0" w:space="0" w:color="auto"/>
                    <w:bottom w:val="none" w:sz="0" w:space="0" w:color="auto"/>
                    <w:right w:val="none" w:sz="0" w:space="0" w:color="auto"/>
                  </w:divBdr>
                </w:div>
              </w:divsChild>
            </w:div>
            <w:div w:id="1186673591">
              <w:marLeft w:val="0"/>
              <w:marRight w:val="0"/>
              <w:marTop w:val="0"/>
              <w:marBottom w:val="0"/>
              <w:divBdr>
                <w:top w:val="none" w:sz="0" w:space="0" w:color="auto"/>
                <w:left w:val="none" w:sz="0" w:space="0" w:color="auto"/>
                <w:bottom w:val="none" w:sz="0" w:space="0" w:color="auto"/>
                <w:right w:val="none" w:sz="0" w:space="0" w:color="auto"/>
              </w:divBdr>
              <w:divsChild>
                <w:div w:id="630088476">
                  <w:marLeft w:val="0"/>
                  <w:marRight w:val="0"/>
                  <w:marTop w:val="0"/>
                  <w:marBottom w:val="0"/>
                  <w:divBdr>
                    <w:top w:val="none" w:sz="0" w:space="0" w:color="auto"/>
                    <w:left w:val="none" w:sz="0" w:space="0" w:color="auto"/>
                    <w:bottom w:val="none" w:sz="0" w:space="0" w:color="auto"/>
                    <w:right w:val="none" w:sz="0" w:space="0" w:color="auto"/>
                  </w:divBdr>
                </w:div>
              </w:divsChild>
            </w:div>
            <w:div w:id="1188761691">
              <w:marLeft w:val="0"/>
              <w:marRight w:val="0"/>
              <w:marTop w:val="300"/>
              <w:marBottom w:val="300"/>
              <w:divBdr>
                <w:top w:val="none" w:sz="0" w:space="0" w:color="auto"/>
                <w:left w:val="none" w:sz="0" w:space="0" w:color="auto"/>
                <w:bottom w:val="none" w:sz="0" w:space="0" w:color="auto"/>
                <w:right w:val="none" w:sz="0" w:space="0" w:color="auto"/>
              </w:divBdr>
            </w:div>
            <w:div w:id="1189761143">
              <w:marLeft w:val="0"/>
              <w:marRight w:val="0"/>
              <w:marTop w:val="0"/>
              <w:marBottom w:val="0"/>
              <w:divBdr>
                <w:top w:val="none" w:sz="0" w:space="0" w:color="auto"/>
                <w:left w:val="none" w:sz="0" w:space="0" w:color="auto"/>
                <w:bottom w:val="none" w:sz="0" w:space="0" w:color="auto"/>
                <w:right w:val="none" w:sz="0" w:space="0" w:color="auto"/>
              </w:divBdr>
              <w:divsChild>
                <w:div w:id="276300358">
                  <w:marLeft w:val="0"/>
                  <w:marRight w:val="0"/>
                  <w:marTop w:val="0"/>
                  <w:marBottom w:val="0"/>
                  <w:divBdr>
                    <w:top w:val="none" w:sz="0" w:space="0" w:color="auto"/>
                    <w:left w:val="none" w:sz="0" w:space="0" w:color="auto"/>
                    <w:bottom w:val="none" w:sz="0" w:space="0" w:color="auto"/>
                    <w:right w:val="none" w:sz="0" w:space="0" w:color="auto"/>
                  </w:divBdr>
                </w:div>
              </w:divsChild>
            </w:div>
            <w:div w:id="1190531125">
              <w:marLeft w:val="0"/>
              <w:marRight w:val="0"/>
              <w:marTop w:val="300"/>
              <w:marBottom w:val="300"/>
              <w:divBdr>
                <w:top w:val="none" w:sz="0" w:space="0" w:color="auto"/>
                <w:left w:val="none" w:sz="0" w:space="0" w:color="auto"/>
                <w:bottom w:val="none" w:sz="0" w:space="0" w:color="auto"/>
                <w:right w:val="none" w:sz="0" w:space="0" w:color="auto"/>
              </w:divBdr>
            </w:div>
            <w:div w:id="1190606829">
              <w:marLeft w:val="0"/>
              <w:marRight w:val="0"/>
              <w:marTop w:val="0"/>
              <w:marBottom w:val="0"/>
              <w:divBdr>
                <w:top w:val="none" w:sz="0" w:space="0" w:color="auto"/>
                <w:left w:val="none" w:sz="0" w:space="0" w:color="auto"/>
                <w:bottom w:val="none" w:sz="0" w:space="0" w:color="auto"/>
                <w:right w:val="none" w:sz="0" w:space="0" w:color="auto"/>
              </w:divBdr>
              <w:divsChild>
                <w:div w:id="1090272866">
                  <w:marLeft w:val="0"/>
                  <w:marRight w:val="0"/>
                  <w:marTop w:val="0"/>
                  <w:marBottom w:val="0"/>
                  <w:divBdr>
                    <w:top w:val="none" w:sz="0" w:space="0" w:color="auto"/>
                    <w:left w:val="none" w:sz="0" w:space="0" w:color="auto"/>
                    <w:bottom w:val="none" w:sz="0" w:space="0" w:color="auto"/>
                    <w:right w:val="none" w:sz="0" w:space="0" w:color="auto"/>
                  </w:divBdr>
                </w:div>
              </w:divsChild>
            </w:div>
            <w:div w:id="1191379433">
              <w:marLeft w:val="0"/>
              <w:marRight w:val="0"/>
              <w:marTop w:val="300"/>
              <w:marBottom w:val="300"/>
              <w:divBdr>
                <w:top w:val="none" w:sz="0" w:space="0" w:color="auto"/>
                <w:left w:val="none" w:sz="0" w:space="0" w:color="auto"/>
                <w:bottom w:val="none" w:sz="0" w:space="0" w:color="auto"/>
                <w:right w:val="none" w:sz="0" w:space="0" w:color="auto"/>
              </w:divBdr>
            </w:div>
            <w:div w:id="1194422984">
              <w:marLeft w:val="0"/>
              <w:marRight w:val="0"/>
              <w:marTop w:val="0"/>
              <w:marBottom w:val="0"/>
              <w:divBdr>
                <w:top w:val="none" w:sz="0" w:space="0" w:color="auto"/>
                <w:left w:val="none" w:sz="0" w:space="0" w:color="auto"/>
                <w:bottom w:val="none" w:sz="0" w:space="0" w:color="auto"/>
                <w:right w:val="none" w:sz="0" w:space="0" w:color="auto"/>
              </w:divBdr>
              <w:divsChild>
                <w:div w:id="1980184325">
                  <w:marLeft w:val="0"/>
                  <w:marRight w:val="0"/>
                  <w:marTop w:val="0"/>
                  <w:marBottom w:val="0"/>
                  <w:divBdr>
                    <w:top w:val="none" w:sz="0" w:space="0" w:color="auto"/>
                    <w:left w:val="none" w:sz="0" w:space="0" w:color="auto"/>
                    <w:bottom w:val="none" w:sz="0" w:space="0" w:color="auto"/>
                    <w:right w:val="none" w:sz="0" w:space="0" w:color="auto"/>
                  </w:divBdr>
                </w:div>
              </w:divsChild>
            </w:div>
            <w:div w:id="1194732025">
              <w:marLeft w:val="0"/>
              <w:marRight w:val="0"/>
              <w:marTop w:val="0"/>
              <w:marBottom w:val="0"/>
              <w:divBdr>
                <w:top w:val="none" w:sz="0" w:space="0" w:color="auto"/>
                <w:left w:val="none" w:sz="0" w:space="0" w:color="auto"/>
                <w:bottom w:val="none" w:sz="0" w:space="0" w:color="auto"/>
                <w:right w:val="none" w:sz="0" w:space="0" w:color="auto"/>
              </w:divBdr>
              <w:divsChild>
                <w:div w:id="1732999091">
                  <w:marLeft w:val="0"/>
                  <w:marRight w:val="0"/>
                  <w:marTop w:val="0"/>
                  <w:marBottom w:val="0"/>
                  <w:divBdr>
                    <w:top w:val="none" w:sz="0" w:space="0" w:color="auto"/>
                    <w:left w:val="none" w:sz="0" w:space="0" w:color="auto"/>
                    <w:bottom w:val="none" w:sz="0" w:space="0" w:color="auto"/>
                    <w:right w:val="none" w:sz="0" w:space="0" w:color="auto"/>
                  </w:divBdr>
                </w:div>
              </w:divsChild>
            </w:div>
            <w:div w:id="1195384251">
              <w:marLeft w:val="0"/>
              <w:marRight w:val="0"/>
              <w:marTop w:val="0"/>
              <w:marBottom w:val="0"/>
              <w:divBdr>
                <w:top w:val="none" w:sz="0" w:space="0" w:color="auto"/>
                <w:left w:val="none" w:sz="0" w:space="0" w:color="auto"/>
                <w:bottom w:val="none" w:sz="0" w:space="0" w:color="auto"/>
                <w:right w:val="none" w:sz="0" w:space="0" w:color="auto"/>
              </w:divBdr>
              <w:divsChild>
                <w:div w:id="1057046217">
                  <w:marLeft w:val="0"/>
                  <w:marRight w:val="0"/>
                  <w:marTop w:val="0"/>
                  <w:marBottom w:val="0"/>
                  <w:divBdr>
                    <w:top w:val="none" w:sz="0" w:space="0" w:color="auto"/>
                    <w:left w:val="none" w:sz="0" w:space="0" w:color="auto"/>
                    <w:bottom w:val="none" w:sz="0" w:space="0" w:color="auto"/>
                    <w:right w:val="none" w:sz="0" w:space="0" w:color="auto"/>
                  </w:divBdr>
                </w:div>
              </w:divsChild>
            </w:div>
            <w:div w:id="1196893563">
              <w:marLeft w:val="0"/>
              <w:marRight w:val="0"/>
              <w:marTop w:val="0"/>
              <w:marBottom w:val="0"/>
              <w:divBdr>
                <w:top w:val="none" w:sz="0" w:space="0" w:color="auto"/>
                <w:left w:val="none" w:sz="0" w:space="0" w:color="auto"/>
                <w:bottom w:val="none" w:sz="0" w:space="0" w:color="auto"/>
                <w:right w:val="none" w:sz="0" w:space="0" w:color="auto"/>
              </w:divBdr>
              <w:divsChild>
                <w:div w:id="403987060">
                  <w:marLeft w:val="0"/>
                  <w:marRight w:val="0"/>
                  <w:marTop w:val="0"/>
                  <w:marBottom w:val="0"/>
                  <w:divBdr>
                    <w:top w:val="none" w:sz="0" w:space="0" w:color="auto"/>
                    <w:left w:val="none" w:sz="0" w:space="0" w:color="auto"/>
                    <w:bottom w:val="none" w:sz="0" w:space="0" w:color="auto"/>
                    <w:right w:val="none" w:sz="0" w:space="0" w:color="auto"/>
                  </w:divBdr>
                </w:div>
              </w:divsChild>
            </w:div>
            <w:div w:id="1197428730">
              <w:marLeft w:val="0"/>
              <w:marRight w:val="0"/>
              <w:marTop w:val="0"/>
              <w:marBottom w:val="0"/>
              <w:divBdr>
                <w:top w:val="none" w:sz="0" w:space="0" w:color="auto"/>
                <w:left w:val="none" w:sz="0" w:space="0" w:color="auto"/>
                <w:bottom w:val="none" w:sz="0" w:space="0" w:color="auto"/>
                <w:right w:val="none" w:sz="0" w:space="0" w:color="auto"/>
              </w:divBdr>
              <w:divsChild>
                <w:div w:id="309333195">
                  <w:marLeft w:val="0"/>
                  <w:marRight w:val="0"/>
                  <w:marTop w:val="0"/>
                  <w:marBottom w:val="0"/>
                  <w:divBdr>
                    <w:top w:val="none" w:sz="0" w:space="0" w:color="auto"/>
                    <w:left w:val="none" w:sz="0" w:space="0" w:color="auto"/>
                    <w:bottom w:val="none" w:sz="0" w:space="0" w:color="auto"/>
                    <w:right w:val="none" w:sz="0" w:space="0" w:color="auto"/>
                  </w:divBdr>
                </w:div>
              </w:divsChild>
            </w:div>
            <w:div w:id="1197548075">
              <w:marLeft w:val="0"/>
              <w:marRight w:val="0"/>
              <w:marTop w:val="0"/>
              <w:marBottom w:val="0"/>
              <w:divBdr>
                <w:top w:val="none" w:sz="0" w:space="0" w:color="auto"/>
                <w:left w:val="none" w:sz="0" w:space="0" w:color="auto"/>
                <w:bottom w:val="none" w:sz="0" w:space="0" w:color="auto"/>
                <w:right w:val="none" w:sz="0" w:space="0" w:color="auto"/>
              </w:divBdr>
              <w:divsChild>
                <w:div w:id="1121458740">
                  <w:marLeft w:val="0"/>
                  <w:marRight w:val="0"/>
                  <w:marTop w:val="0"/>
                  <w:marBottom w:val="0"/>
                  <w:divBdr>
                    <w:top w:val="none" w:sz="0" w:space="0" w:color="auto"/>
                    <w:left w:val="none" w:sz="0" w:space="0" w:color="auto"/>
                    <w:bottom w:val="none" w:sz="0" w:space="0" w:color="auto"/>
                    <w:right w:val="none" w:sz="0" w:space="0" w:color="auto"/>
                  </w:divBdr>
                </w:div>
              </w:divsChild>
            </w:div>
            <w:div w:id="1198087012">
              <w:marLeft w:val="0"/>
              <w:marRight w:val="0"/>
              <w:marTop w:val="0"/>
              <w:marBottom w:val="0"/>
              <w:divBdr>
                <w:top w:val="none" w:sz="0" w:space="0" w:color="auto"/>
                <w:left w:val="none" w:sz="0" w:space="0" w:color="auto"/>
                <w:bottom w:val="none" w:sz="0" w:space="0" w:color="auto"/>
                <w:right w:val="none" w:sz="0" w:space="0" w:color="auto"/>
              </w:divBdr>
              <w:divsChild>
                <w:div w:id="1257400222">
                  <w:marLeft w:val="0"/>
                  <w:marRight w:val="0"/>
                  <w:marTop w:val="0"/>
                  <w:marBottom w:val="0"/>
                  <w:divBdr>
                    <w:top w:val="none" w:sz="0" w:space="0" w:color="auto"/>
                    <w:left w:val="none" w:sz="0" w:space="0" w:color="auto"/>
                    <w:bottom w:val="none" w:sz="0" w:space="0" w:color="auto"/>
                    <w:right w:val="none" w:sz="0" w:space="0" w:color="auto"/>
                  </w:divBdr>
                </w:div>
              </w:divsChild>
            </w:div>
            <w:div w:id="1198927791">
              <w:marLeft w:val="0"/>
              <w:marRight w:val="0"/>
              <w:marTop w:val="0"/>
              <w:marBottom w:val="0"/>
              <w:divBdr>
                <w:top w:val="none" w:sz="0" w:space="0" w:color="auto"/>
                <w:left w:val="none" w:sz="0" w:space="0" w:color="auto"/>
                <w:bottom w:val="none" w:sz="0" w:space="0" w:color="auto"/>
                <w:right w:val="none" w:sz="0" w:space="0" w:color="auto"/>
              </w:divBdr>
              <w:divsChild>
                <w:div w:id="1008604053">
                  <w:marLeft w:val="0"/>
                  <w:marRight w:val="0"/>
                  <w:marTop w:val="0"/>
                  <w:marBottom w:val="0"/>
                  <w:divBdr>
                    <w:top w:val="none" w:sz="0" w:space="0" w:color="auto"/>
                    <w:left w:val="none" w:sz="0" w:space="0" w:color="auto"/>
                    <w:bottom w:val="none" w:sz="0" w:space="0" w:color="auto"/>
                    <w:right w:val="none" w:sz="0" w:space="0" w:color="auto"/>
                  </w:divBdr>
                </w:div>
              </w:divsChild>
            </w:div>
            <w:div w:id="1201893642">
              <w:marLeft w:val="0"/>
              <w:marRight w:val="0"/>
              <w:marTop w:val="300"/>
              <w:marBottom w:val="300"/>
              <w:divBdr>
                <w:top w:val="none" w:sz="0" w:space="0" w:color="auto"/>
                <w:left w:val="none" w:sz="0" w:space="0" w:color="auto"/>
                <w:bottom w:val="none" w:sz="0" w:space="0" w:color="auto"/>
                <w:right w:val="none" w:sz="0" w:space="0" w:color="auto"/>
              </w:divBdr>
            </w:div>
            <w:div w:id="1203133257">
              <w:marLeft w:val="0"/>
              <w:marRight w:val="0"/>
              <w:marTop w:val="0"/>
              <w:marBottom w:val="0"/>
              <w:divBdr>
                <w:top w:val="none" w:sz="0" w:space="0" w:color="auto"/>
                <w:left w:val="none" w:sz="0" w:space="0" w:color="auto"/>
                <w:bottom w:val="none" w:sz="0" w:space="0" w:color="auto"/>
                <w:right w:val="none" w:sz="0" w:space="0" w:color="auto"/>
              </w:divBdr>
              <w:divsChild>
                <w:div w:id="1346321294">
                  <w:marLeft w:val="0"/>
                  <w:marRight w:val="0"/>
                  <w:marTop w:val="0"/>
                  <w:marBottom w:val="0"/>
                  <w:divBdr>
                    <w:top w:val="none" w:sz="0" w:space="0" w:color="auto"/>
                    <w:left w:val="none" w:sz="0" w:space="0" w:color="auto"/>
                    <w:bottom w:val="none" w:sz="0" w:space="0" w:color="auto"/>
                    <w:right w:val="none" w:sz="0" w:space="0" w:color="auto"/>
                  </w:divBdr>
                </w:div>
              </w:divsChild>
            </w:div>
            <w:div w:id="1203522117">
              <w:marLeft w:val="0"/>
              <w:marRight w:val="0"/>
              <w:marTop w:val="0"/>
              <w:marBottom w:val="0"/>
              <w:divBdr>
                <w:top w:val="none" w:sz="0" w:space="0" w:color="auto"/>
                <w:left w:val="none" w:sz="0" w:space="0" w:color="auto"/>
                <w:bottom w:val="none" w:sz="0" w:space="0" w:color="auto"/>
                <w:right w:val="none" w:sz="0" w:space="0" w:color="auto"/>
              </w:divBdr>
              <w:divsChild>
                <w:div w:id="2133478821">
                  <w:marLeft w:val="0"/>
                  <w:marRight w:val="0"/>
                  <w:marTop w:val="0"/>
                  <w:marBottom w:val="0"/>
                  <w:divBdr>
                    <w:top w:val="none" w:sz="0" w:space="0" w:color="auto"/>
                    <w:left w:val="none" w:sz="0" w:space="0" w:color="auto"/>
                    <w:bottom w:val="none" w:sz="0" w:space="0" w:color="auto"/>
                    <w:right w:val="none" w:sz="0" w:space="0" w:color="auto"/>
                  </w:divBdr>
                </w:div>
              </w:divsChild>
            </w:div>
            <w:div w:id="1203907152">
              <w:marLeft w:val="0"/>
              <w:marRight w:val="0"/>
              <w:marTop w:val="0"/>
              <w:marBottom w:val="0"/>
              <w:divBdr>
                <w:top w:val="none" w:sz="0" w:space="0" w:color="auto"/>
                <w:left w:val="none" w:sz="0" w:space="0" w:color="auto"/>
                <w:bottom w:val="none" w:sz="0" w:space="0" w:color="auto"/>
                <w:right w:val="none" w:sz="0" w:space="0" w:color="auto"/>
              </w:divBdr>
              <w:divsChild>
                <w:div w:id="1913851743">
                  <w:marLeft w:val="0"/>
                  <w:marRight w:val="0"/>
                  <w:marTop w:val="0"/>
                  <w:marBottom w:val="0"/>
                  <w:divBdr>
                    <w:top w:val="none" w:sz="0" w:space="0" w:color="auto"/>
                    <w:left w:val="none" w:sz="0" w:space="0" w:color="auto"/>
                    <w:bottom w:val="none" w:sz="0" w:space="0" w:color="auto"/>
                    <w:right w:val="none" w:sz="0" w:space="0" w:color="auto"/>
                  </w:divBdr>
                </w:div>
              </w:divsChild>
            </w:div>
            <w:div w:id="1204711340">
              <w:marLeft w:val="0"/>
              <w:marRight w:val="0"/>
              <w:marTop w:val="300"/>
              <w:marBottom w:val="300"/>
              <w:divBdr>
                <w:top w:val="none" w:sz="0" w:space="0" w:color="auto"/>
                <w:left w:val="none" w:sz="0" w:space="0" w:color="auto"/>
                <w:bottom w:val="none" w:sz="0" w:space="0" w:color="auto"/>
                <w:right w:val="none" w:sz="0" w:space="0" w:color="auto"/>
              </w:divBdr>
            </w:div>
            <w:div w:id="1204825428">
              <w:marLeft w:val="0"/>
              <w:marRight w:val="0"/>
              <w:marTop w:val="0"/>
              <w:marBottom w:val="0"/>
              <w:divBdr>
                <w:top w:val="none" w:sz="0" w:space="0" w:color="auto"/>
                <w:left w:val="none" w:sz="0" w:space="0" w:color="auto"/>
                <w:bottom w:val="none" w:sz="0" w:space="0" w:color="auto"/>
                <w:right w:val="none" w:sz="0" w:space="0" w:color="auto"/>
              </w:divBdr>
              <w:divsChild>
                <w:div w:id="643509787">
                  <w:marLeft w:val="0"/>
                  <w:marRight w:val="0"/>
                  <w:marTop w:val="0"/>
                  <w:marBottom w:val="0"/>
                  <w:divBdr>
                    <w:top w:val="none" w:sz="0" w:space="0" w:color="auto"/>
                    <w:left w:val="none" w:sz="0" w:space="0" w:color="auto"/>
                    <w:bottom w:val="none" w:sz="0" w:space="0" w:color="auto"/>
                    <w:right w:val="none" w:sz="0" w:space="0" w:color="auto"/>
                  </w:divBdr>
                </w:div>
              </w:divsChild>
            </w:div>
            <w:div w:id="1210459132">
              <w:marLeft w:val="0"/>
              <w:marRight w:val="0"/>
              <w:marTop w:val="0"/>
              <w:marBottom w:val="0"/>
              <w:divBdr>
                <w:top w:val="none" w:sz="0" w:space="0" w:color="auto"/>
                <w:left w:val="none" w:sz="0" w:space="0" w:color="auto"/>
                <w:bottom w:val="none" w:sz="0" w:space="0" w:color="auto"/>
                <w:right w:val="none" w:sz="0" w:space="0" w:color="auto"/>
              </w:divBdr>
              <w:divsChild>
                <w:div w:id="1128202695">
                  <w:marLeft w:val="0"/>
                  <w:marRight w:val="0"/>
                  <w:marTop w:val="0"/>
                  <w:marBottom w:val="0"/>
                  <w:divBdr>
                    <w:top w:val="none" w:sz="0" w:space="0" w:color="auto"/>
                    <w:left w:val="none" w:sz="0" w:space="0" w:color="auto"/>
                    <w:bottom w:val="none" w:sz="0" w:space="0" w:color="auto"/>
                    <w:right w:val="none" w:sz="0" w:space="0" w:color="auto"/>
                  </w:divBdr>
                </w:div>
              </w:divsChild>
            </w:div>
            <w:div w:id="1210610819">
              <w:marLeft w:val="0"/>
              <w:marRight w:val="0"/>
              <w:marTop w:val="0"/>
              <w:marBottom w:val="0"/>
              <w:divBdr>
                <w:top w:val="none" w:sz="0" w:space="0" w:color="auto"/>
                <w:left w:val="none" w:sz="0" w:space="0" w:color="auto"/>
                <w:bottom w:val="none" w:sz="0" w:space="0" w:color="auto"/>
                <w:right w:val="none" w:sz="0" w:space="0" w:color="auto"/>
              </w:divBdr>
              <w:divsChild>
                <w:div w:id="161547780">
                  <w:marLeft w:val="0"/>
                  <w:marRight w:val="0"/>
                  <w:marTop w:val="0"/>
                  <w:marBottom w:val="0"/>
                  <w:divBdr>
                    <w:top w:val="none" w:sz="0" w:space="0" w:color="auto"/>
                    <w:left w:val="none" w:sz="0" w:space="0" w:color="auto"/>
                    <w:bottom w:val="none" w:sz="0" w:space="0" w:color="auto"/>
                    <w:right w:val="none" w:sz="0" w:space="0" w:color="auto"/>
                  </w:divBdr>
                </w:div>
              </w:divsChild>
            </w:div>
            <w:div w:id="1212309368">
              <w:marLeft w:val="0"/>
              <w:marRight w:val="0"/>
              <w:marTop w:val="0"/>
              <w:marBottom w:val="0"/>
              <w:divBdr>
                <w:top w:val="none" w:sz="0" w:space="0" w:color="auto"/>
                <w:left w:val="none" w:sz="0" w:space="0" w:color="auto"/>
                <w:bottom w:val="none" w:sz="0" w:space="0" w:color="auto"/>
                <w:right w:val="none" w:sz="0" w:space="0" w:color="auto"/>
              </w:divBdr>
              <w:divsChild>
                <w:div w:id="1032460625">
                  <w:marLeft w:val="0"/>
                  <w:marRight w:val="0"/>
                  <w:marTop w:val="0"/>
                  <w:marBottom w:val="0"/>
                  <w:divBdr>
                    <w:top w:val="none" w:sz="0" w:space="0" w:color="auto"/>
                    <w:left w:val="none" w:sz="0" w:space="0" w:color="auto"/>
                    <w:bottom w:val="none" w:sz="0" w:space="0" w:color="auto"/>
                    <w:right w:val="none" w:sz="0" w:space="0" w:color="auto"/>
                  </w:divBdr>
                </w:div>
              </w:divsChild>
            </w:div>
            <w:div w:id="1213150913">
              <w:marLeft w:val="0"/>
              <w:marRight w:val="0"/>
              <w:marTop w:val="0"/>
              <w:marBottom w:val="0"/>
              <w:divBdr>
                <w:top w:val="none" w:sz="0" w:space="0" w:color="auto"/>
                <w:left w:val="none" w:sz="0" w:space="0" w:color="auto"/>
                <w:bottom w:val="none" w:sz="0" w:space="0" w:color="auto"/>
                <w:right w:val="none" w:sz="0" w:space="0" w:color="auto"/>
              </w:divBdr>
              <w:divsChild>
                <w:div w:id="1084649752">
                  <w:marLeft w:val="0"/>
                  <w:marRight w:val="0"/>
                  <w:marTop w:val="0"/>
                  <w:marBottom w:val="0"/>
                  <w:divBdr>
                    <w:top w:val="none" w:sz="0" w:space="0" w:color="auto"/>
                    <w:left w:val="none" w:sz="0" w:space="0" w:color="auto"/>
                    <w:bottom w:val="none" w:sz="0" w:space="0" w:color="auto"/>
                    <w:right w:val="none" w:sz="0" w:space="0" w:color="auto"/>
                  </w:divBdr>
                </w:div>
              </w:divsChild>
            </w:div>
            <w:div w:id="1213884480">
              <w:marLeft w:val="0"/>
              <w:marRight w:val="0"/>
              <w:marTop w:val="0"/>
              <w:marBottom w:val="0"/>
              <w:divBdr>
                <w:top w:val="none" w:sz="0" w:space="0" w:color="auto"/>
                <w:left w:val="none" w:sz="0" w:space="0" w:color="auto"/>
                <w:bottom w:val="none" w:sz="0" w:space="0" w:color="auto"/>
                <w:right w:val="none" w:sz="0" w:space="0" w:color="auto"/>
              </w:divBdr>
              <w:divsChild>
                <w:div w:id="243732439">
                  <w:marLeft w:val="0"/>
                  <w:marRight w:val="0"/>
                  <w:marTop w:val="0"/>
                  <w:marBottom w:val="0"/>
                  <w:divBdr>
                    <w:top w:val="none" w:sz="0" w:space="0" w:color="auto"/>
                    <w:left w:val="none" w:sz="0" w:space="0" w:color="auto"/>
                    <w:bottom w:val="none" w:sz="0" w:space="0" w:color="auto"/>
                    <w:right w:val="none" w:sz="0" w:space="0" w:color="auto"/>
                  </w:divBdr>
                </w:div>
              </w:divsChild>
            </w:div>
            <w:div w:id="1214345589">
              <w:marLeft w:val="0"/>
              <w:marRight w:val="0"/>
              <w:marTop w:val="0"/>
              <w:marBottom w:val="0"/>
              <w:divBdr>
                <w:top w:val="none" w:sz="0" w:space="0" w:color="auto"/>
                <w:left w:val="none" w:sz="0" w:space="0" w:color="auto"/>
                <w:bottom w:val="none" w:sz="0" w:space="0" w:color="auto"/>
                <w:right w:val="none" w:sz="0" w:space="0" w:color="auto"/>
              </w:divBdr>
              <w:divsChild>
                <w:div w:id="1850296494">
                  <w:marLeft w:val="0"/>
                  <w:marRight w:val="0"/>
                  <w:marTop w:val="0"/>
                  <w:marBottom w:val="0"/>
                  <w:divBdr>
                    <w:top w:val="none" w:sz="0" w:space="0" w:color="auto"/>
                    <w:left w:val="none" w:sz="0" w:space="0" w:color="auto"/>
                    <w:bottom w:val="none" w:sz="0" w:space="0" w:color="auto"/>
                    <w:right w:val="none" w:sz="0" w:space="0" w:color="auto"/>
                  </w:divBdr>
                </w:div>
              </w:divsChild>
            </w:div>
            <w:div w:id="1215194145">
              <w:marLeft w:val="0"/>
              <w:marRight w:val="0"/>
              <w:marTop w:val="300"/>
              <w:marBottom w:val="300"/>
              <w:divBdr>
                <w:top w:val="none" w:sz="0" w:space="0" w:color="auto"/>
                <w:left w:val="none" w:sz="0" w:space="0" w:color="auto"/>
                <w:bottom w:val="none" w:sz="0" w:space="0" w:color="auto"/>
                <w:right w:val="none" w:sz="0" w:space="0" w:color="auto"/>
              </w:divBdr>
            </w:div>
            <w:div w:id="1215699843">
              <w:marLeft w:val="0"/>
              <w:marRight w:val="0"/>
              <w:marTop w:val="0"/>
              <w:marBottom w:val="0"/>
              <w:divBdr>
                <w:top w:val="none" w:sz="0" w:space="0" w:color="auto"/>
                <w:left w:val="none" w:sz="0" w:space="0" w:color="auto"/>
                <w:bottom w:val="none" w:sz="0" w:space="0" w:color="auto"/>
                <w:right w:val="none" w:sz="0" w:space="0" w:color="auto"/>
              </w:divBdr>
              <w:divsChild>
                <w:div w:id="1240402636">
                  <w:marLeft w:val="0"/>
                  <w:marRight w:val="0"/>
                  <w:marTop w:val="0"/>
                  <w:marBottom w:val="0"/>
                  <w:divBdr>
                    <w:top w:val="none" w:sz="0" w:space="0" w:color="auto"/>
                    <w:left w:val="none" w:sz="0" w:space="0" w:color="auto"/>
                    <w:bottom w:val="none" w:sz="0" w:space="0" w:color="auto"/>
                    <w:right w:val="none" w:sz="0" w:space="0" w:color="auto"/>
                  </w:divBdr>
                </w:div>
              </w:divsChild>
            </w:div>
            <w:div w:id="1216233585">
              <w:marLeft w:val="0"/>
              <w:marRight w:val="0"/>
              <w:marTop w:val="300"/>
              <w:marBottom w:val="300"/>
              <w:divBdr>
                <w:top w:val="none" w:sz="0" w:space="0" w:color="auto"/>
                <w:left w:val="none" w:sz="0" w:space="0" w:color="auto"/>
                <w:bottom w:val="none" w:sz="0" w:space="0" w:color="auto"/>
                <w:right w:val="none" w:sz="0" w:space="0" w:color="auto"/>
              </w:divBdr>
            </w:div>
            <w:div w:id="1219169481">
              <w:marLeft w:val="0"/>
              <w:marRight w:val="0"/>
              <w:marTop w:val="0"/>
              <w:marBottom w:val="0"/>
              <w:divBdr>
                <w:top w:val="none" w:sz="0" w:space="0" w:color="auto"/>
                <w:left w:val="none" w:sz="0" w:space="0" w:color="auto"/>
                <w:bottom w:val="none" w:sz="0" w:space="0" w:color="auto"/>
                <w:right w:val="none" w:sz="0" w:space="0" w:color="auto"/>
              </w:divBdr>
              <w:divsChild>
                <w:div w:id="1011682357">
                  <w:marLeft w:val="0"/>
                  <w:marRight w:val="0"/>
                  <w:marTop w:val="0"/>
                  <w:marBottom w:val="0"/>
                  <w:divBdr>
                    <w:top w:val="none" w:sz="0" w:space="0" w:color="auto"/>
                    <w:left w:val="none" w:sz="0" w:space="0" w:color="auto"/>
                    <w:bottom w:val="none" w:sz="0" w:space="0" w:color="auto"/>
                    <w:right w:val="none" w:sz="0" w:space="0" w:color="auto"/>
                  </w:divBdr>
                </w:div>
              </w:divsChild>
            </w:div>
            <w:div w:id="1222134227">
              <w:marLeft w:val="0"/>
              <w:marRight w:val="0"/>
              <w:marTop w:val="300"/>
              <w:marBottom w:val="300"/>
              <w:divBdr>
                <w:top w:val="none" w:sz="0" w:space="0" w:color="auto"/>
                <w:left w:val="none" w:sz="0" w:space="0" w:color="auto"/>
                <w:bottom w:val="none" w:sz="0" w:space="0" w:color="auto"/>
                <w:right w:val="none" w:sz="0" w:space="0" w:color="auto"/>
              </w:divBdr>
            </w:div>
            <w:div w:id="1222524357">
              <w:marLeft w:val="0"/>
              <w:marRight w:val="0"/>
              <w:marTop w:val="0"/>
              <w:marBottom w:val="0"/>
              <w:divBdr>
                <w:top w:val="none" w:sz="0" w:space="0" w:color="auto"/>
                <w:left w:val="none" w:sz="0" w:space="0" w:color="auto"/>
                <w:bottom w:val="none" w:sz="0" w:space="0" w:color="auto"/>
                <w:right w:val="none" w:sz="0" w:space="0" w:color="auto"/>
              </w:divBdr>
              <w:divsChild>
                <w:div w:id="329334430">
                  <w:marLeft w:val="0"/>
                  <w:marRight w:val="0"/>
                  <w:marTop w:val="0"/>
                  <w:marBottom w:val="0"/>
                  <w:divBdr>
                    <w:top w:val="none" w:sz="0" w:space="0" w:color="auto"/>
                    <w:left w:val="none" w:sz="0" w:space="0" w:color="auto"/>
                    <w:bottom w:val="none" w:sz="0" w:space="0" w:color="auto"/>
                    <w:right w:val="none" w:sz="0" w:space="0" w:color="auto"/>
                  </w:divBdr>
                </w:div>
              </w:divsChild>
            </w:div>
            <w:div w:id="1223516778">
              <w:marLeft w:val="0"/>
              <w:marRight w:val="0"/>
              <w:marTop w:val="0"/>
              <w:marBottom w:val="0"/>
              <w:divBdr>
                <w:top w:val="none" w:sz="0" w:space="0" w:color="auto"/>
                <w:left w:val="none" w:sz="0" w:space="0" w:color="auto"/>
                <w:bottom w:val="none" w:sz="0" w:space="0" w:color="auto"/>
                <w:right w:val="none" w:sz="0" w:space="0" w:color="auto"/>
              </w:divBdr>
              <w:divsChild>
                <w:div w:id="197087973">
                  <w:marLeft w:val="0"/>
                  <w:marRight w:val="0"/>
                  <w:marTop w:val="0"/>
                  <w:marBottom w:val="0"/>
                  <w:divBdr>
                    <w:top w:val="none" w:sz="0" w:space="0" w:color="auto"/>
                    <w:left w:val="none" w:sz="0" w:space="0" w:color="auto"/>
                    <w:bottom w:val="none" w:sz="0" w:space="0" w:color="auto"/>
                    <w:right w:val="none" w:sz="0" w:space="0" w:color="auto"/>
                  </w:divBdr>
                </w:div>
              </w:divsChild>
            </w:div>
            <w:div w:id="1224101630">
              <w:marLeft w:val="0"/>
              <w:marRight w:val="0"/>
              <w:marTop w:val="0"/>
              <w:marBottom w:val="0"/>
              <w:divBdr>
                <w:top w:val="none" w:sz="0" w:space="0" w:color="auto"/>
                <w:left w:val="none" w:sz="0" w:space="0" w:color="auto"/>
                <w:bottom w:val="none" w:sz="0" w:space="0" w:color="auto"/>
                <w:right w:val="none" w:sz="0" w:space="0" w:color="auto"/>
              </w:divBdr>
              <w:divsChild>
                <w:div w:id="203254790">
                  <w:marLeft w:val="0"/>
                  <w:marRight w:val="0"/>
                  <w:marTop w:val="0"/>
                  <w:marBottom w:val="0"/>
                  <w:divBdr>
                    <w:top w:val="none" w:sz="0" w:space="0" w:color="auto"/>
                    <w:left w:val="none" w:sz="0" w:space="0" w:color="auto"/>
                    <w:bottom w:val="none" w:sz="0" w:space="0" w:color="auto"/>
                    <w:right w:val="none" w:sz="0" w:space="0" w:color="auto"/>
                  </w:divBdr>
                </w:div>
              </w:divsChild>
            </w:div>
            <w:div w:id="1225721353">
              <w:marLeft w:val="0"/>
              <w:marRight w:val="0"/>
              <w:marTop w:val="0"/>
              <w:marBottom w:val="0"/>
              <w:divBdr>
                <w:top w:val="none" w:sz="0" w:space="0" w:color="auto"/>
                <w:left w:val="none" w:sz="0" w:space="0" w:color="auto"/>
                <w:bottom w:val="none" w:sz="0" w:space="0" w:color="auto"/>
                <w:right w:val="none" w:sz="0" w:space="0" w:color="auto"/>
              </w:divBdr>
              <w:divsChild>
                <w:div w:id="105929923">
                  <w:marLeft w:val="0"/>
                  <w:marRight w:val="0"/>
                  <w:marTop w:val="0"/>
                  <w:marBottom w:val="0"/>
                  <w:divBdr>
                    <w:top w:val="none" w:sz="0" w:space="0" w:color="auto"/>
                    <w:left w:val="none" w:sz="0" w:space="0" w:color="auto"/>
                    <w:bottom w:val="none" w:sz="0" w:space="0" w:color="auto"/>
                    <w:right w:val="none" w:sz="0" w:space="0" w:color="auto"/>
                  </w:divBdr>
                </w:div>
              </w:divsChild>
            </w:div>
            <w:div w:id="1227183607">
              <w:marLeft w:val="0"/>
              <w:marRight w:val="0"/>
              <w:marTop w:val="0"/>
              <w:marBottom w:val="0"/>
              <w:divBdr>
                <w:top w:val="none" w:sz="0" w:space="0" w:color="auto"/>
                <w:left w:val="none" w:sz="0" w:space="0" w:color="auto"/>
                <w:bottom w:val="none" w:sz="0" w:space="0" w:color="auto"/>
                <w:right w:val="none" w:sz="0" w:space="0" w:color="auto"/>
              </w:divBdr>
              <w:divsChild>
                <w:div w:id="560095324">
                  <w:marLeft w:val="0"/>
                  <w:marRight w:val="0"/>
                  <w:marTop w:val="0"/>
                  <w:marBottom w:val="0"/>
                  <w:divBdr>
                    <w:top w:val="none" w:sz="0" w:space="0" w:color="auto"/>
                    <w:left w:val="none" w:sz="0" w:space="0" w:color="auto"/>
                    <w:bottom w:val="none" w:sz="0" w:space="0" w:color="auto"/>
                    <w:right w:val="none" w:sz="0" w:space="0" w:color="auto"/>
                  </w:divBdr>
                </w:div>
              </w:divsChild>
            </w:div>
            <w:div w:id="1227953219">
              <w:marLeft w:val="0"/>
              <w:marRight w:val="0"/>
              <w:marTop w:val="0"/>
              <w:marBottom w:val="0"/>
              <w:divBdr>
                <w:top w:val="none" w:sz="0" w:space="0" w:color="auto"/>
                <w:left w:val="none" w:sz="0" w:space="0" w:color="auto"/>
                <w:bottom w:val="none" w:sz="0" w:space="0" w:color="auto"/>
                <w:right w:val="none" w:sz="0" w:space="0" w:color="auto"/>
              </w:divBdr>
              <w:divsChild>
                <w:div w:id="1582594922">
                  <w:marLeft w:val="0"/>
                  <w:marRight w:val="0"/>
                  <w:marTop w:val="0"/>
                  <w:marBottom w:val="0"/>
                  <w:divBdr>
                    <w:top w:val="none" w:sz="0" w:space="0" w:color="auto"/>
                    <w:left w:val="none" w:sz="0" w:space="0" w:color="auto"/>
                    <w:bottom w:val="none" w:sz="0" w:space="0" w:color="auto"/>
                    <w:right w:val="none" w:sz="0" w:space="0" w:color="auto"/>
                  </w:divBdr>
                </w:div>
              </w:divsChild>
            </w:div>
            <w:div w:id="1229221253">
              <w:marLeft w:val="0"/>
              <w:marRight w:val="0"/>
              <w:marTop w:val="0"/>
              <w:marBottom w:val="0"/>
              <w:divBdr>
                <w:top w:val="none" w:sz="0" w:space="0" w:color="auto"/>
                <w:left w:val="none" w:sz="0" w:space="0" w:color="auto"/>
                <w:bottom w:val="none" w:sz="0" w:space="0" w:color="auto"/>
                <w:right w:val="none" w:sz="0" w:space="0" w:color="auto"/>
              </w:divBdr>
              <w:divsChild>
                <w:div w:id="564293541">
                  <w:marLeft w:val="0"/>
                  <w:marRight w:val="0"/>
                  <w:marTop w:val="0"/>
                  <w:marBottom w:val="0"/>
                  <w:divBdr>
                    <w:top w:val="none" w:sz="0" w:space="0" w:color="auto"/>
                    <w:left w:val="none" w:sz="0" w:space="0" w:color="auto"/>
                    <w:bottom w:val="none" w:sz="0" w:space="0" w:color="auto"/>
                    <w:right w:val="none" w:sz="0" w:space="0" w:color="auto"/>
                  </w:divBdr>
                </w:div>
              </w:divsChild>
            </w:div>
            <w:div w:id="1230118785">
              <w:marLeft w:val="0"/>
              <w:marRight w:val="0"/>
              <w:marTop w:val="300"/>
              <w:marBottom w:val="300"/>
              <w:divBdr>
                <w:top w:val="none" w:sz="0" w:space="0" w:color="auto"/>
                <w:left w:val="none" w:sz="0" w:space="0" w:color="auto"/>
                <w:bottom w:val="none" w:sz="0" w:space="0" w:color="auto"/>
                <w:right w:val="none" w:sz="0" w:space="0" w:color="auto"/>
              </w:divBdr>
            </w:div>
            <w:div w:id="1233203023">
              <w:marLeft w:val="0"/>
              <w:marRight w:val="0"/>
              <w:marTop w:val="0"/>
              <w:marBottom w:val="0"/>
              <w:divBdr>
                <w:top w:val="none" w:sz="0" w:space="0" w:color="auto"/>
                <w:left w:val="none" w:sz="0" w:space="0" w:color="auto"/>
                <w:bottom w:val="none" w:sz="0" w:space="0" w:color="auto"/>
                <w:right w:val="none" w:sz="0" w:space="0" w:color="auto"/>
              </w:divBdr>
              <w:divsChild>
                <w:div w:id="1012563638">
                  <w:marLeft w:val="0"/>
                  <w:marRight w:val="0"/>
                  <w:marTop w:val="0"/>
                  <w:marBottom w:val="0"/>
                  <w:divBdr>
                    <w:top w:val="none" w:sz="0" w:space="0" w:color="auto"/>
                    <w:left w:val="none" w:sz="0" w:space="0" w:color="auto"/>
                    <w:bottom w:val="none" w:sz="0" w:space="0" w:color="auto"/>
                    <w:right w:val="none" w:sz="0" w:space="0" w:color="auto"/>
                  </w:divBdr>
                </w:div>
              </w:divsChild>
            </w:div>
            <w:div w:id="1233660064">
              <w:marLeft w:val="0"/>
              <w:marRight w:val="0"/>
              <w:marTop w:val="0"/>
              <w:marBottom w:val="0"/>
              <w:divBdr>
                <w:top w:val="none" w:sz="0" w:space="0" w:color="auto"/>
                <w:left w:val="none" w:sz="0" w:space="0" w:color="auto"/>
                <w:bottom w:val="none" w:sz="0" w:space="0" w:color="auto"/>
                <w:right w:val="none" w:sz="0" w:space="0" w:color="auto"/>
              </w:divBdr>
              <w:divsChild>
                <w:div w:id="473717998">
                  <w:marLeft w:val="0"/>
                  <w:marRight w:val="0"/>
                  <w:marTop w:val="0"/>
                  <w:marBottom w:val="0"/>
                  <w:divBdr>
                    <w:top w:val="none" w:sz="0" w:space="0" w:color="auto"/>
                    <w:left w:val="none" w:sz="0" w:space="0" w:color="auto"/>
                    <w:bottom w:val="none" w:sz="0" w:space="0" w:color="auto"/>
                    <w:right w:val="none" w:sz="0" w:space="0" w:color="auto"/>
                  </w:divBdr>
                </w:div>
              </w:divsChild>
            </w:div>
            <w:div w:id="1235166698">
              <w:marLeft w:val="0"/>
              <w:marRight w:val="0"/>
              <w:marTop w:val="0"/>
              <w:marBottom w:val="0"/>
              <w:divBdr>
                <w:top w:val="none" w:sz="0" w:space="0" w:color="auto"/>
                <w:left w:val="none" w:sz="0" w:space="0" w:color="auto"/>
                <w:bottom w:val="none" w:sz="0" w:space="0" w:color="auto"/>
                <w:right w:val="none" w:sz="0" w:space="0" w:color="auto"/>
              </w:divBdr>
              <w:divsChild>
                <w:div w:id="353842855">
                  <w:marLeft w:val="0"/>
                  <w:marRight w:val="0"/>
                  <w:marTop w:val="0"/>
                  <w:marBottom w:val="0"/>
                  <w:divBdr>
                    <w:top w:val="none" w:sz="0" w:space="0" w:color="auto"/>
                    <w:left w:val="none" w:sz="0" w:space="0" w:color="auto"/>
                    <w:bottom w:val="none" w:sz="0" w:space="0" w:color="auto"/>
                    <w:right w:val="none" w:sz="0" w:space="0" w:color="auto"/>
                  </w:divBdr>
                </w:div>
              </w:divsChild>
            </w:div>
            <w:div w:id="1235820979">
              <w:marLeft w:val="0"/>
              <w:marRight w:val="0"/>
              <w:marTop w:val="300"/>
              <w:marBottom w:val="300"/>
              <w:divBdr>
                <w:top w:val="none" w:sz="0" w:space="0" w:color="auto"/>
                <w:left w:val="none" w:sz="0" w:space="0" w:color="auto"/>
                <w:bottom w:val="none" w:sz="0" w:space="0" w:color="auto"/>
                <w:right w:val="none" w:sz="0" w:space="0" w:color="auto"/>
              </w:divBdr>
            </w:div>
            <w:div w:id="1236089529">
              <w:marLeft w:val="0"/>
              <w:marRight w:val="0"/>
              <w:marTop w:val="0"/>
              <w:marBottom w:val="0"/>
              <w:divBdr>
                <w:top w:val="none" w:sz="0" w:space="0" w:color="auto"/>
                <w:left w:val="none" w:sz="0" w:space="0" w:color="auto"/>
                <w:bottom w:val="none" w:sz="0" w:space="0" w:color="auto"/>
                <w:right w:val="none" w:sz="0" w:space="0" w:color="auto"/>
              </w:divBdr>
              <w:divsChild>
                <w:div w:id="47269248">
                  <w:marLeft w:val="0"/>
                  <w:marRight w:val="0"/>
                  <w:marTop w:val="0"/>
                  <w:marBottom w:val="0"/>
                  <w:divBdr>
                    <w:top w:val="none" w:sz="0" w:space="0" w:color="auto"/>
                    <w:left w:val="none" w:sz="0" w:space="0" w:color="auto"/>
                    <w:bottom w:val="none" w:sz="0" w:space="0" w:color="auto"/>
                    <w:right w:val="none" w:sz="0" w:space="0" w:color="auto"/>
                  </w:divBdr>
                </w:div>
              </w:divsChild>
            </w:div>
            <w:div w:id="1237745305">
              <w:marLeft w:val="0"/>
              <w:marRight w:val="0"/>
              <w:marTop w:val="0"/>
              <w:marBottom w:val="0"/>
              <w:divBdr>
                <w:top w:val="none" w:sz="0" w:space="0" w:color="auto"/>
                <w:left w:val="none" w:sz="0" w:space="0" w:color="auto"/>
                <w:bottom w:val="none" w:sz="0" w:space="0" w:color="auto"/>
                <w:right w:val="none" w:sz="0" w:space="0" w:color="auto"/>
              </w:divBdr>
              <w:divsChild>
                <w:div w:id="833645497">
                  <w:marLeft w:val="0"/>
                  <w:marRight w:val="0"/>
                  <w:marTop w:val="0"/>
                  <w:marBottom w:val="0"/>
                  <w:divBdr>
                    <w:top w:val="none" w:sz="0" w:space="0" w:color="auto"/>
                    <w:left w:val="none" w:sz="0" w:space="0" w:color="auto"/>
                    <w:bottom w:val="none" w:sz="0" w:space="0" w:color="auto"/>
                    <w:right w:val="none" w:sz="0" w:space="0" w:color="auto"/>
                  </w:divBdr>
                </w:div>
              </w:divsChild>
            </w:div>
            <w:div w:id="1238200813">
              <w:marLeft w:val="0"/>
              <w:marRight w:val="0"/>
              <w:marTop w:val="0"/>
              <w:marBottom w:val="0"/>
              <w:divBdr>
                <w:top w:val="none" w:sz="0" w:space="0" w:color="auto"/>
                <w:left w:val="none" w:sz="0" w:space="0" w:color="auto"/>
                <w:bottom w:val="none" w:sz="0" w:space="0" w:color="auto"/>
                <w:right w:val="none" w:sz="0" w:space="0" w:color="auto"/>
              </w:divBdr>
              <w:divsChild>
                <w:div w:id="1122118991">
                  <w:marLeft w:val="0"/>
                  <w:marRight w:val="0"/>
                  <w:marTop w:val="0"/>
                  <w:marBottom w:val="0"/>
                  <w:divBdr>
                    <w:top w:val="none" w:sz="0" w:space="0" w:color="auto"/>
                    <w:left w:val="none" w:sz="0" w:space="0" w:color="auto"/>
                    <w:bottom w:val="none" w:sz="0" w:space="0" w:color="auto"/>
                    <w:right w:val="none" w:sz="0" w:space="0" w:color="auto"/>
                  </w:divBdr>
                </w:div>
              </w:divsChild>
            </w:div>
            <w:div w:id="1238711331">
              <w:marLeft w:val="0"/>
              <w:marRight w:val="0"/>
              <w:marTop w:val="0"/>
              <w:marBottom w:val="0"/>
              <w:divBdr>
                <w:top w:val="none" w:sz="0" w:space="0" w:color="auto"/>
                <w:left w:val="none" w:sz="0" w:space="0" w:color="auto"/>
                <w:bottom w:val="none" w:sz="0" w:space="0" w:color="auto"/>
                <w:right w:val="none" w:sz="0" w:space="0" w:color="auto"/>
              </w:divBdr>
              <w:divsChild>
                <w:div w:id="648249091">
                  <w:marLeft w:val="0"/>
                  <w:marRight w:val="0"/>
                  <w:marTop w:val="0"/>
                  <w:marBottom w:val="0"/>
                  <w:divBdr>
                    <w:top w:val="none" w:sz="0" w:space="0" w:color="auto"/>
                    <w:left w:val="none" w:sz="0" w:space="0" w:color="auto"/>
                    <w:bottom w:val="none" w:sz="0" w:space="0" w:color="auto"/>
                    <w:right w:val="none" w:sz="0" w:space="0" w:color="auto"/>
                  </w:divBdr>
                </w:div>
              </w:divsChild>
            </w:div>
            <w:div w:id="1241449892">
              <w:marLeft w:val="0"/>
              <w:marRight w:val="0"/>
              <w:marTop w:val="0"/>
              <w:marBottom w:val="0"/>
              <w:divBdr>
                <w:top w:val="none" w:sz="0" w:space="0" w:color="auto"/>
                <w:left w:val="none" w:sz="0" w:space="0" w:color="auto"/>
                <w:bottom w:val="none" w:sz="0" w:space="0" w:color="auto"/>
                <w:right w:val="none" w:sz="0" w:space="0" w:color="auto"/>
              </w:divBdr>
              <w:divsChild>
                <w:div w:id="1163230826">
                  <w:marLeft w:val="0"/>
                  <w:marRight w:val="0"/>
                  <w:marTop w:val="0"/>
                  <w:marBottom w:val="0"/>
                  <w:divBdr>
                    <w:top w:val="none" w:sz="0" w:space="0" w:color="auto"/>
                    <w:left w:val="none" w:sz="0" w:space="0" w:color="auto"/>
                    <w:bottom w:val="none" w:sz="0" w:space="0" w:color="auto"/>
                    <w:right w:val="none" w:sz="0" w:space="0" w:color="auto"/>
                  </w:divBdr>
                </w:div>
              </w:divsChild>
            </w:div>
            <w:div w:id="1242985972">
              <w:marLeft w:val="0"/>
              <w:marRight w:val="0"/>
              <w:marTop w:val="300"/>
              <w:marBottom w:val="300"/>
              <w:divBdr>
                <w:top w:val="none" w:sz="0" w:space="0" w:color="auto"/>
                <w:left w:val="none" w:sz="0" w:space="0" w:color="auto"/>
                <w:bottom w:val="none" w:sz="0" w:space="0" w:color="auto"/>
                <w:right w:val="none" w:sz="0" w:space="0" w:color="auto"/>
              </w:divBdr>
            </w:div>
            <w:div w:id="1243099987">
              <w:marLeft w:val="0"/>
              <w:marRight w:val="0"/>
              <w:marTop w:val="0"/>
              <w:marBottom w:val="0"/>
              <w:divBdr>
                <w:top w:val="none" w:sz="0" w:space="0" w:color="auto"/>
                <w:left w:val="none" w:sz="0" w:space="0" w:color="auto"/>
                <w:bottom w:val="none" w:sz="0" w:space="0" w:color="auto"/>
                <w:right w:val="none" w:sz="0" w:space="0" w:color="auto"/>
              </w:divBdr>
              <w:divsChild>
                <w:div w:id="466898124">
                  <w:marLeft w:val="0"/>
                  <w:marRight w:val="0"/>
                  <w:marTop w:val="0"/>
                  <w:marBottom w:val="0"/>
                  <w:divBdr>
                    <w:top w:val="none" w:sz="0" w:space="0" w:color="auto"/>
                    <w:left w:val="none" w:sz="0" w:space="0" w:color="auto"/>
                    <w:bottom w:val="none" w:sz="0" w:space="0" w:color="auto"/>
                    <w:right w:val="none" w:sz="0" w:space="0" w:color="auto"/>
                  </w:divBdr>
                </w:div>
              </w:divsChild>
            </w:div>
            <w:div w:id="1244341512">
              <w:marLeft w:val="0"/>
              <w:marRight w:val="0"/>
              <w:marTop w:val="300"/>
              <w:marBottom w:val="300"/>
              <w:divBdr>
                <w:top w:val="none" w:sz="0" w:space="0" w:color="auto"/>
                <w:left w:val="none" w:sz="0" w:space="0" w:color="auto"/>
                <w:bottom w:val="none" w:sz="0" w:space="0" w:color="auto"/>
                <w:right w:val="none" w:sz="0" w:space="0" w:color="auto"/>
              </w:divBdr>
            </w:div>
            <w:div w:id="1244487171">
              <w:marLeft w:val="0"/>
              <w:marRight w:val="0"/>
              <w:marTop w:val="0"/>
              <w:marBottom w:val="0"/>
              <w:divBdr>
                <w:top w:val="none" w:sz="0" w:space="0" w:color="auto"/>
                <w:left w:val="none" w:sz="0" w:space="0" w:color="auto"/>
                <w:bottom w:val="none" w:sz="0" w:space="0" w:color="auto"/>
                <w:right w:val="none" w:sz="0" w:space="0" w:color="auto"/>
              </w:divBdr>
              <w:divsChild>
                <w:div w:id="829752576">
                  <w:marLeft w:val="0"/>
                  <w:marRight w:val="0"/>
                  <w:marTop w:val="0"/>
                  <w:marBottom w:val="0"/>
                  <w:divBdr>
                    <w:top w:val="none" w:sz="0" w:space="0" w:color="auto"/>
                    <w:left w:val="none" w:sz="0" w:space="0" w:color="auto"/>
                    <w:bottom w:val="none" w:sz="0" w:space="0" w:color="auto"/>
                    <w:right w:val="none" w:sz="0" w:space="0" w:color="auto"/>
                  </w:divBdr>
                </w:div>
              </w:divsChild>
            </w:div>
            <w:div w:id="1246456393">
              <w:marLeft w:val="0"/>
              <w:marRight w:val="0"/>
              <w:marTop w:val="0"/>
              <w:marBottom w:val="0"/>
              <w:divBdr>
                <w:top w:val="none" w:sz="0" w:space="0" w:color="auto"/>
                <w:left w:val="none" w:sz="0" w:space="0" w:color="auto"/>
                <w:bottom w:val="none" w:sz="0" w:space="0" w:color="auto"/>
                <w:right w:val="none" w:sz="0" w:space="0" w:color="auto"/>
              </w:divBdr>
              <w:divsChild>
                <w:div w:id="1826235440">
                  <w:marLeft w:val="0"/>
                  <w:marRight w:val="0"/>
                  <w:marTop w:val="0"/>
                  <w:marBottom w:val="0"/>
                  <w:divBdr>
                    <w:top w:val="none" w:sz="0" w:space="0" w:color="auto"/>
                    <w:left w:val="none" w:sz="0" w:space="0" w:color="auto"/>
                    <w:bottom w:val="none" w:sz="0" w:space="0" w:color="auto"/>
                    <w:right w:val="none" w:sz="0" w:space="0" w:color="auto"/>
                  </w:divBdr>
                </w:div>
              </w:divsChild>
            </w:div>
            <w:div w:id="1246573094">
              <w:marLeft w:val="0"/>
              <w:marRight w:val="0"/>
              <w:marTop w:val="0"/>
              <w:marBottom w:val="0"/>
              <w:divBdr>
                <w:top w:val="none" w:sz="0" w:space="0" w:color="auto"/>
                <w:left w:val="none" w:sz="0" w:space="0" w:color="auto"/>
                <w:bottom w:val="none" w:sz="0" w:space="0" w:color="auto"/>
                <w:right w:val="none" w:sz="0" w:space="0" w:color="auto"/>
              </w:divBdr>
              <w:divsChild>
                <w:div w:id="1379891914">
                  <w:marLeft w:val="0"/>
                  <w:marRight w:val="0"/>
                  <w:marTop w:val="0"/>
                  <w:marBottom w:val="0"/>
                  <w:divBdr>
                    <w:top w:val="none" w:sz="0" w:space="0" w:color="auto"/>
                    <w:left w:val="none" w:sz="0" w:space="0" w:color="auto"/>
                    <w:bottom w:val="none" w:sz="0" w:space="0" w:color="auto"/>
                    <w:right w:val="none" w:sz="0" w:space="0" w:color="auto"/>
                  </w:divBdr>
                </w:div>
              </w:divsChild>
            </w:div>
            <w:div w:id="1247766079">
              <w:marLeft w:val="0"/>
              <w:marRight w:val="0"/>
              <w:marTop w:val="0"/>
              <w:marBottom w:val="0"/>
              <w:divBdr>
                <w:top w:val="none" w:sz="0" w:space="0" w:color="auto"/>
                <w:left w:val="none" w:sz="0" w:space="0" w:color="auto"/>
                <w:bottom w:val="none" w:sz="0" w:space="0" w:color="auto"/>
                <w:right w:val="none" w:sz="0" w:space="0" w:color="auto"/>
              </w:divBdr>
              <w:divsChild>
                <w:div w:id="546263164">
                  <w:marLeft w:val="0"/>
                  <w:marRight w:val="0"/>
                  <w:marTop w:val="0"/>
                  <w:marBottom w:val="0"/>
                  <w:divBdr>
                    <w:top w:val="none" w:sz="0" w:space="0" w:color="auto"/>
                    <w:left w:val="none" w:sz="0" w:space="0" w:color="auto"/>
                    <w:bottom w:val="none" w:sz="0" w:space="0" w:color="auto"/>
                    <w:right w:val="none" w:sz="0" w:space="0" w:color="auto"/>
                  </w:divBdr>
                </w:div>
              </w:divsChild>
            </w:div>
            <w:div w:id="1247806183">
              <w:marLeft w:val="0"/>
              <w:marRight w:val="0"/>
              <w:marTop w:val="0"/>
              <w:marBottom w:val="0"/>
              <w:divBdr>
                <w:top w:val="none" w:sz="0" w:space="0" w:color="auto"/>
                <w:left w:val="none" w:sz="0" w:space="0" w:color="auto"/>
                <w:bottom w:val="none" w:sz="0" w:space="0" w:color="auto"/>
                <w:right w:val="none" w:sz="0" w:space="0" w:color="auto"/>
              </w:divBdr>
              <w:divsChild>
                <w:div w:id="1201820773">
                  <w:marLeft w:val="0"/>
                  <w:marRight w:val="0"/>
                  <w:marTop w:val="0"/>
                  <w:marBottom w:val="0"/>
                  <w:divBdr>
                    <w:top w:val="none" w:sz="0" w:space="0" w:color="auto"/>
                    <w:left w:val="none" w:sz="0" w:space="0" w:color="auto"/>
                    <w:bottom w:val="none" w:sz="0" w:space="0" w:color="auto"/>
                    <w:right w:val="none" w:sz="0" w:space="0" w:color="auto"/>
                  </w:divBdr>
                </w:div>
              </w:divsChild>
            </w:div>
            <w:div w:id="1250655893">
              <w:marLeft w:val="0"/>
              <w:marRight w:val="0"/>
              <w:marTop w:val="0"/>
              <w:marBottom w:val="0"/>
              <w:divBdr>
                <w:top w:val="none" w:sz="0" w:space="0" w:color="auto"/>
                <w:left w:val="none" w:sz="0" w:space="0" w:color="auto"/>
                <w:bottom w:val="none" w:sz="0" w:space="0" w:color="auto"/>
                <w:right w:val="none" w:sz="0" w:space="0" w:color="auto"/>
              </w:divBdr>
              <w:divsChild>
                <w:div w:id="1544906874">
                  <w:marLeft w:val="0"/>
                  <w:marRight w:val="0"/>
                  <w:marTop w:val="0"/>
                  <w:marBottom w:val="0"/>
                  <w:divBdr>
                    <w:top w:val="none" w:sz="0" w:space="0" w:color="auto"/>
                    <w:left w:val="none" w:sz="0" w:space="0" w:color="auto"/>
                    <w:bottom w:val="none" w:sz="0" w:space="0" w:color="auto"/>
                    <w:right w:val="none" w:sz="0" w:space="0" w:color="auto"/>
                  </w:divBdr>
                </w:div>
              </w:divsChild>
            </w:div>
            <w:div w:id="1250695454">
              <w:marLeft w:val="0"/>
              <w:marRight w:val="0"/>
              <w:marTop w:val="0"/>
              <w:marBottom w:val="0"/>
              <w:divBdr>
                <w:top w:val="none" w:sz="0" w:space="0" w:color="auto"/>
                <w:left w:val="none" w:sz="0" w:space="0" w:color="auto"/>
                <w:bottom w:val="none" w:sz="0" w:space="0" w:color="auto"/>
                <w:right w:val="none" w:sz="0" w:space="0" w:color="auto"/>
              </w:divBdr>
              <w:divsChild>
                <w:div w:id="903104102">
                  <w:marLeft w:val="0"/>
                  <w:marRight w:val="0"/>
                  <w:marTop w:val="0"/>
                  <w:marBottom w:val="0"/>
                  <w:divBdr>
                    <w:top w:val="none" w:sz="0" w:space="0" w:color="auto"/>
                    <w:left w:val="none" w:sz="0" w:space="0" w:color="auto"/>
                    <w:bottom w:val="none" w:sz="0" w:space="0" w:color="auto"/>
                    <w:right w:val="none" w:sz="0" w:space="0" w:color="auto"/>
                  </w:divBdr>
                </w:div>
              </w:divsChild>
            </w:div>
            <w:div w:id="1251768049">
              <w:marLeft w:val="0"/>
              <w:marRight w:val="0"/>
              <w:marTop w:val="0"/>
              <w:marBottom w:val="0"/>
              <w:divBdr>
                <w:top w:val="none" w:sz="0" w:space="0" w:color="auto"/>
                <w:left w:val="none" w:sz="0" w:space="0" w:color="auto"/>
                <w:bottom w:val="none" w:sz="0" w:space="0" w:color="auto"/>
                <w:right w:val="none" w:sz="0" w:space="0" w:color="auto"/>
              </w:divBdr>
              <w:divsChild>
                <w:div w:id="398870435">
                  <w:marLeft w:val="0"/>
                  <w:marRight w:val="0"/>
                  <w:marTop w:val="0"/>
                  <w:marBottom w:val="0"/>
                  <w:divBdr>
                    <w:top w:val="none" w:sz="0" w:space="0" w:color="auto"/>
                    <w:left w:val="none" w:sz="0" w:space="0" w:color="auto"/>
                    <w:bottom w:val="none" w:sz="0" w:space="0" w:color="auto"/>
                    <w:right w:val="none" w:sz="0" w:space="0" w:color="auto"/>
                  </w:divBdr>
                </w:div>
              </w:divsChild>
            </w:div>
            <w:div w:id="1252161691">
              <w:marLeft w:val="0"/>
              <w:marRight w:val="0"/>
              <w:marTop w:val="0"/>
              <w:marBottom w:val="0"/>
              <w:divBdr>
                <w:top w:val="none" w:sz="0" w:space="0" w:color="auto"/>
                <w:left w:val="none" w:sz="0" w:space="0" w:color="auto"/>
                <w:bottom w:val="none" w:sz="0" w:space="0" w:color="auto"/>
                <w:right w:val="none" w:sz="0" w:space="0" w:color="auto"/>
              </w:divBdr>
              <w:divsChild>
                <w:div w:id="2115050453">
                  <w:marLeft w:val="0"/>
                  <w:marRight w:val="0"/>
                  <w:marTop w:val="0"/>
                  <w:marBottom w:val="0"/>
                  <w:divBdr>
                    <w:top w:val="none" w:sz="0" w:space="0" w:color="auto"/>
                    <w:left w:val="none" w:sz="0" w:space="0" w:color="auto"/>
                    <w:bottom w:val="none" w:sz="0" w:space="0" w:color="auto"/>
                    <w:right w:val="none" w:sz="0" w:space="0" w:color="auto"/>
                  </w:divBdr>
                </w:div>
              </w:divsChild>
            </w:div>
            <w:div w:id="1255630752">
              <w:marLeft w:val="0"/>
              <w:marRight w:val="0"/>
              <w:marTop w:val="300"/>
              <w:marBottom w:val="300"/>
              <w:divBdr>
                <w:top w:val="none" w:sz="0" w:space="0" w:color="auto"/>
                <w:left w:val="none" w:sz="0" w:space="0" w:color="auto"/>
                <w:bottom w:val="none" w:sz="0" w:space="0" w:color="auto"/>
                <w:right w:val="none" w:sz="0" w:space="0" w:color="auto"/>
              </w:divBdr>
            </w:div>
            <w:div w:id="1259872041">
              <w:marLeft w:val="0"/>
              <w:marRight w:val="0"/>
              <w:marTop w:val="0"/>
              <w:marBottom w:val="0"/>
              <w:divBdr>
                <w:top w:val="none" w:sz="0" w:space="0" w:color="auto"/>
                <w:left w:val="none" w:sz="0" w:space="0" w:color="auto"/>
                <w:bottom w:val="none" w:sz="0" w:space="0" w:color="auto"/>
                <w:right w:val="none" w:sz="0" w:space="0" w:color="auto"/>
              </w:divBdr>
              <w:divsChild>
                <w:div w:id="707872868">
                  <w:marLeft w:val="0"/>
                  <w:marRight w:val="0"/>
                  <w:marTop w:val="0"/>
                  <w:marBottom w:val="0"/>
                  <w:divBdr>
                    <w:top w:val="none" w:sz="0" w:space="0" w:color="auto"/>
                    <w:left w:val="none" w:sz="0" w:space="0" w:color="auto"/>
                    <w:bottom w:val="none" w:sz="0" w:space="0" w:color="auto"/>
                    <w:right w:val="none" w:sz="0" w:space="0" w:color="auto"/>
                  </w:divBdr>
                </w:div>
              </w:divsChild>
            </w:div>
            <w:div w:id="1261528012">
              <w:marLeft w:val="0"/>
              <w:marRight w:val="0"/>
              <w:marTop w:val="0"/>
              <w:marBottom w:val="0"/>
              <w:divBdr>
                <w:top w:val="none" w:sz="0" w:space="0" w:color="auto"/>
                <w:left w:val="none" w:sz="0" w:space="0" w:color="auto"/>
                <w:bottom w:val="none" w:sz="0" w:space="0" w:color="auto"/>
                <w:right w:val="none" w:sz="0" w:space="0" w:color="auto"/>
              </w:divBdr>
              <w:divsChild>
                <w:div w:id="794103968">
                  <w:marLeft w:val="0"/>
                  <w:marRight w:val="0"/>
                  <w:marTop w:val="0"/>
                  <w:marBottom w:val="0"/>
                  <w:divBdr>
                    <w:top w:val="none" w:sz="0" w:space="0" w:color="auto"/>
                    <w:left w:val="none" w:sz="0" w:space="0" w:color="auto"/>
                    <w:bottom w:val="none" w:sz="0" w:space="0" w:color="auto"/>
                    <w:right w:val="none" w:sz="0" w:space="0" w:color="auto"/>
                  </w:divBdr>
                </w:div>
              </w:divsChild>
            </w:div>
            <w:div w:id="1261722034">
              <w:marLeft w:val="0"/>
              <w:marRight w:val="0"/>
              <w:marTop w:val="0"/>
              <w:marBottom w:val="0"/>
              <w:divBdr>
                <w:top w:val="none" w:sz="0" w:space="0" w:color="auto"/>
                <w:left w:val="none" w:sz="0" w:space="0" w:color="auto"/>
                <w:bottom w:val="none" w:sz="0" w:space="0" w:color="auto"/>
                <w:right w:val="none" w:sz="0" w:space="0" w:color="auto"/>
              </w:divBdr>
              <w:divsChild>
                <w:div w:id="172841825">
                  <w:marLeft w:val="0"/>
                  <w:marRight w:val="0"/>
                  <w:marTop w:val="0"/>
                  <w:marBottom w:val="0"/>
                  <w:divBdr>
                    <w:top w:val="none" w:sz="0" w:space="0" w:color="auto"/>
                    <w:left w:val="none" w:sz="0" w:space="0" w:color="auto"/>
                    <w:bottom w:val="none" w:sz="0" w:space="0" w:color="auto"/>
                    <w:right w:val="none" w:sz="0" w:space="0" w:color="auto"/>
                  </w:divBdr>
                </w:div>
              </w:divsChild>
            </w:div>
            <w:div w:id="1262836627">
              <w:marLeft w:val="0"/>
              <w:marRight w:val="0"/>
              <w:marTop w:val="0"/>
              <w:marBottom w:val="0"/>
              <w:divBdr>
                <w:top w:val="none" w:sz="0" w:space="0" w:color="auto"/>
                <w:left w:val="none" w:sz="0" w:space="0" w:color="auto"/>
                <w:bottom w:val="none" w:sz="0" w:space="0" w:color="auto"/>
                <w:right w:val="none" w:sz="0" w:space="0" w:color="auto"/>
              </w:divBdr>
              <w:divsChild>
                <w:div w:id="536938782">
                  <w:marLeft w:val="0"/>
                  <w:marRight w:val="0"/>
                  <w:marTop w:val="0"/>
                  <w:marBottom w:val="0"/>
                  <w:divBdr>
                    <w:top w:val="none" w:sz="0" w:space="0" w:color="auto"/>
                    <w:left w:val="none" w:sz="0" w:space="0" w:color="auto"/>
                    <w:bottom w:val="none" w:sz="0" w:space="0" w:color="auto"/>
                    <w:right w:val="none" w:sz="0" w:space="0" w:color="auto"/>
                  </w:divBdr>
                </w:div>
              </w:divsChild>
            </w:div>
            <w:div w:id="1264611654">
              <w:marLeft w:val="0"/>
              <w:marRight w:val="0"/>
              <w:marTop w:val="0"/>
              <w:marBottom w:val="0"/>
              <w:divBdr>
                <w:top w:val="none" w:sz="0" w:space="0" w:color="auto"/>
                <w:left w:val="none" w:sz="0" w:space="0" w:color="auto"/>
                <w:bottom w:val="none" w:sz="0" w:space="0" w:color="auto"/>
                <w:right w:val="none" w:sz="0" w:space="0" w:color="auto"/>
              </w:divBdr>
              <w:divsChild>
                <w:div w:id="718552247">
                  <w:marLeft w:val="0"/>
                  <w:marRight w:val="0"/>
                  <w:marTop w:val="0"/>
                  <w:marBottom w:val="0"/>
                  <w:divBdr>
                    <w:top w:val="none" w:sz="0" w:space="0" w:color="auto"/>
                    <w:left w:val="none" w:sz="0" w:space="0" w:color="auto"/>
                    <w:bottom w:val="none" w:sz="0" w:space="0" w:color="auto"/>
                    <w:right w:val="none" w:sz="0" w:space="0" w:color="auto"/>
                  </w:divBdr>
                </w:div>
              </w:divsChild>
            </w:div>
            <w:div w:id="1264921045">
              <w:marLeft w:val="0"/>
              <w:marRight w:val="0"/>
              <w:marTop w:val="0"/>
              <w:marBottom w:val="0"/>
              <w:divBdr>
                <w:top w:val="none" w:sz="0" w:space="0" w:color="auto"/>
                <w:left w:val="none" w:sz="0" w:space="0" w:color="auto"/>
                <w:bottom w:val="none" w:sz="0" w:space="0" w:color="auto"/>
                <w:right w:val="none" w:sz="0" w:space="0" w:color="auto"/>
              </w:divBdr>
              <w:divsChild>
                <w:div w:id="1625388312">
                  <w:marLeft w:val="0"/>
                  <w:marRight w:val="0"/>
                  <w:marTop w:val="0"/>
                  <w:marBottom w:val="0"/>
                  <w:divBdr>
                    <w:top w:val="none" w:sz="0" w:space="0" w:color="auto"/>
                    <w:left w:val="none" w:sz="0" w:space="0" w:color="auto"/>
                    <w:bottom w:val="none" w:sz="0" w:space="0" w:color="auto"/>
                    <w:right w:val="none" w:sz="0" w:space="0" w:color="auto"/>
                  </w:divBdr>
                </w:div>
              </w:divsChild>
            </w:div>
            <w:div w:id="1266764050">
              <w:marLeft w:val="0"/>
              <w:marRight w:val="0"/>
              <w:marTop w:val="0"/>
              <w:marBottom w:val="0"/>
              <w:divBdr>
                <w:top w:val="none" w:sz="0" w:space="0" w:color="auto"/>
                <w:left w:val="none" w:sz="0" w:space="0" w:color="auto"/>
                <w:bottom w:val="none" w:sz="0" w:space="0" w:color="auto"/>
                <w:right w:val="none" w:sz="0" w:space="0" w:color="auto"/>
              </w:divBdr>
              <w:divsChild>
                <w:div w:id="879823681">
                  <w:marLeft w:val="0"/>
                  <w:marRight w:val="0"/>
                  <w:marTop w:val="0"/>
                  <w:marBottom w:val="0"/>
                  <w:divBdr>
                    <w:top w:val="none" w:sz="0" w:space="0" w:color="auto"/>
                    <w:left w:val="none" w:sz="0" w:space="0" w:color="auto"/>
                    <w:bottom w:val="none" w:sz="0" w:space="0" w:color="auto"/>
                    <w:right w:val="none" w:sz="0" w:space="0" w:color="auto"/>
                  </w:divBdr>
                </w:div>
              </w:divsChild>
            </w:div>
            <w:div w:id="1268081342">
              <w:marLeft w:val="0"/>
              <w:marRight w:val="0"/>
              <w:marTop w:val="300"/>
              <w:marBottom w:val="300"/>
              <w:divBdr>
                <w:top w:val="none" w:sz="0" w:space="0" w:color="auto"/>
                <w:left w:val="none" w:sz="0" w:space="0" w:color="auto"/>
                <w:bottom w:val="none" w:sz="0" w:space="0" w:color="auto"/>
                <w:right w:val="none" w:sz="0" w:space="0" w:color="auto"/>
              </w:divBdr>
            </w:div>
            <w:div w:id="1269268055">
              <w:marLeft w:val="0"/>
              <w:marRight w:val="0"/>
              <w:marTop w:val="0"/>
              <w:marBottom w:val="0"/>
              <w:divBdr>
                <w:top w:val="none" w:sz="0" w:space="0" w:color="auto"/>
                <w:left w:val="none" w:sz="0" w:space="0" w:color="auto"/>
                <w:bottom w:val="none" w:sz="0" w:space="0" w:color="auto"/>
                <w:right w:val="none" w:sz="0" w:space="0" w:color="auto"/>
              </w:divBdr>
              <w:divsChild>
                <w:div w:id="746851914">
                  <w:marLeft w:val="0"/>
                  <w:marRight w:val="0"/>
                  <w:marTop w:val="0"/>
                  <w:marBottom w:val="0"/>
                  <w:divBdr>
                    <w:top w:val="none" w:sz="0" w:space="0" w:color="auto"/>
                    <w:left w:val="none" w:sz="0" w:space="0" w:color="auto"/>
                    <w:bottom w:val="none" w:sz="0" w:space="0" w:color="auto"/>
                    <w:right w:val="none" w:sz="0" w:space="0" w:color="auto"/>
                  </w:divBdr>
                </w:div>
              </w:divsChild>
            </w:div>
            <w:div w:id="1270503137">
              <w:marLeft w:val="0"/>
              <w:marRight w:val="0"/>
              <w:marTop w:val="0"/>
              <w:marBottom w:val="0"/>
              <w:divBdr>
                <w:top w:val="none" w:sz="0" w:space="0" w:color="auto"/>
                <w:left w:val="none" w:sz="0" w:space="0" w:color="auto"/>
                <w:bottom w:val="none" w:sz="0" w:space="0" w:color="auto"/>
                <w:right w:val="none" w:sz="0" w:space="0" w:color="auto"/>
              </w:divBdr>
              <w:divsChild>
                <w:div w:id="1531722504">
                  <w:marLeft w:val="0"/>
                  <w:marRight w:val="0"/>
                  <w:marTop w:val="0"/>
                  <w:marBottom w:val="0"/>
                  <w:divBdr>
                    <w:top w:val="none" w:sz="0" w:space="0" w:color="auto"/>
                    <w:left w:val="none" w:sz="0" w:space="0" w:color="auto"/>
                    <w:bottom w:val="none" w:sz="0" w:space="0" w:color="auto"/>
                    <w:right w:val="none" w:sz="0" w:space="0" w:color="auto"/>
                  </w:divBdr>
                </w:div>
              </w:divsChild>
            </w:div>
            <w:div w:id="1271162832">
              <w:marLeft w:val="0"/>
              <w:marRight w:val="0"/>
              <w:marTop w:val="0"/>
              <w:marBottom w:val="0"/>
              <w:divBdr>
                <w:top w:val="none" w:sz="0" w:space="0" w:color="auto"/>
                <w:left w:val="none" w:sz="0" w:space="0" w:color="auto"/>
                <w:bottom w:val="none" w:sz="0" w:space="0" w:color="auto"/>
                <w:right w:val="none" w:sz="0" w:space="0" w:color="auto"/>
              </w:divBdr>
              <w:divsChild>
                <w:div w:id="1629582406">
                  <w:marLeft w:val="0"/>
                  <w:marRight w:val="0"/>
                  <w:marTop w:val="0"/>
                  <w:marBottom w:val="0"/>
                  <w:divBdr>
                    <w:top w:val="none" w:sz="0" w:space="0" w:color="auto"/>
                    <w:left w:val="none" w:sz="0" w:space="0" w:color="auto"/>
                    <w:bottom w:val="none" w:sz="0" w:space="0" w:color="auto"/>
                    <w:right w:val="none" w:sz="0" w:space="0" w:color="auto"/>
                  </w:divBdr>
                </w:div>
              </w:divsChild>
            </w:div>
            <w:div w:id="1271626008">
              <w:marLeft w:val="0"/>
              <w:marRight w:val="0"/>
              <w:marTop w:val="300"/>
              <w:marBottom w:val="300"/>
              <w:divBdr>
                <w:top w:val="none" w:sz="0" w:space="0" w:color="auto"/>
                <w:left w:val="none" w:sz="0" w:space="0" w:color="auto"/>
                <w:bottom w:val="none" w:sz="0" w:space="0" w:color="auto"/>
                <w:right w:val="none" w:sz="0" w:space="0" w:color="auto"/>
              </w:divBdr>
            </w:div>
            <w:div w:id="1273711492">
              <w:marLeft w:val="0"/>
              <w:marRight w:val="0"/>
              <w:marTop w:val="0"/>
              <w:marBottom w:val="0"/>
              <w:divBdr>
                <w:top w:val="none" w:sz="0" w:space="0" w:color="auto"/>
                <w:left w:val="none" w:sz="0" w:space="0" w:color="auto"/>
                <w:bottom w:val="none" w:sz="0" w:space="0" w:color="auto"/>
                <w:right w:val="none" w:sz="0" w:space="0" w:color="auto"/>
              </w:divBdr>
              <w:divsChild>
                <w:div w:id="125898024">
                  <w:marLeft w:val="0"/>
                  <w:marRight w:val="0"/>
                  <w:marTop w:val="0"/>
                  <w:marBottom w:val="0"/>
                  <w:divBdr>
                    <w:top w:val="none" w:sz="0" w:space="0" w:color="auto"/>
                    <w:left w:val="none" w:sz="0" w:space="0" w:color="auto"/>
                    <w:bottom w:val="none" w:sz="0" w:space="0" w:color="auto"/>
                    <w:right w:val="none" w:sz="0" w:space="0" w:color="auto"/>
                  </w:divBdr>
                </w:div>
              </w:divsChild>
            </w:div>
            <w:div w:id="1274440607">
              <w:marLeft w:val="0"/>
              <w:marRight w:val="0"/>
              <w:marTop w:val="0"/>
              <w:marBottom w:val="0"/>
              <w:divBdr>
                <w:top w:val="none" w:sz="0" w:space="0" w:color="auto"/>
                <w:left w:val="none" w:sz="0" w:space="0" w:color="auto"/>
                <w:bottom w:val="none" w:sz="0" w:space="0" w:color="auto"/>
                <w:right w:val="none" w:sz="0" w:space="0" w:color="auto"/>
              </w:divBdr>
              <w:divsChild>
                <w:div w:id="1538472539">
                  <w:marLeft w:val="0"/>
                  <w:marRight w:val="0"/>
                  <w:marTop w:val="0"/>
                  <w:marBottom w:val="0"/>
                  <w:divBdr>
                    <w:top w:val="none" w:sz="0" w:space="0" w:color="auto"/>
                    <w:left w:val="none" w:sz="0" w:space="0" w:color="auto"/>
                    <w:bottom w:val="none" w:sz="0" w:space="0" w:color="auto"/>
                    <w:right w:val="none" w:sz="0" w:space="0" w:color="auto"/>
                  </w:divBdr>
                </w:div>
              </w:divsChild>
            </w:div>
            <w:div w:id="1274551276">
              <w:marLeft w:val="0"/>
              <w:marRight w:val="0"/>
              <w:marTop w:val="0"/>
              <w:marBottom w:val="0"/>
              <w:divBdr>
                <w:top w:val="none" w:sz="0" w:space="0" w:color="auto"/>
                <w:left w:val="none" w:sz="0" w:space="0" w:color="auto"/>
                <w:bottom w:val="none" w:sz="0" w:space="0" w:color="auto"/>
                <w:right w:val="none" w:sz="0" w:space="0" w:color="auto"/>
              </w:divBdr>
              <w:divsChild>
                <w:div w:id="1465199644">
                  <w:marLeft w:val="0"/>
                  <w:marRight w:val="0"/>
                  <w:marTop w:val="0"/>
                  <w:marBottom w:val="0"/>
                  <w:divBdr>
                    <w:top w:val="none" w:sz="0" w:space="0" w:color="auto"/>
                    <w:left w:val="none" w:sz="0" w:space="0" w:color="auto"/>
                    <w:bottom w:val="none" w:sz="0" w:space="0" w:color="auto"/>
                    <w:right w:val="none" w:sz="0" w:space="0" w:color="auto"/>
                  </w:divBdr>
                </w:div>
              </w:divsChild>
            </w:div>
            <w:div w:id="1276137898">
              <w:marLeft w:val="0"/>
              <w:marRight w:val="0"/>
              <w:marTop w:val="0"/>
              <w:marBottom w:val="0"/>
              <w:divBdr>
                <w:top w:val="none" w:sz="0" w:space="0" w:color="auto"/>
                <w:left w:val="none" w:sz="0" w:space="0" w:color="auto"/>
                <w:bottom w:val="none" w:sz="0" w:space="0" w:color="auto"/>
                <w:right w:val="none" w:sz="0" w:space="0" w:color="auto"/>
              </w:divBdr>
              <w:divsChild>
                <w:div w:id="63378215">
                  <w:marLeft w:val="0"/>
                  <w:marRight w:val="0"/>
                  <w:marTop w:val="0"/>
                  <w:marBottom w:val="0"/>
                  <w:divBdr>
                    <w:top w:val="none" w:sz="0" w:space="0" w:color="auto"/>
                    <w:left w:val="none" w:sz="0" w:space="0" w:color="auto"/>
                    <w:bottom w:val="none" w:sz="0" w:space="0" w:color="auto"/>
                    <w:right w:val="none" w:sz="0" w:space="0" w:color="auto"/>
                  </w:divBdr>
                </w:div>
              </w:divsChild>
            </w:div>
            <w:div w:id="1276643037">
              <w:marLeft w:val="0"/>
              <w:marRight w:val="0"/>
              <w:marTop w:val="0"/>
              <w:marBottom w:val="0"/>
              <w:divBdr>
                <w:top w:val="none" w:sz="0" w:space="0" w:color="auto"/>
                <w:left w:val="none" w:sz="0" w:space="0" w:color="auto"/>
                <w:bottom w:val="none" w:sz="0" w:space="0" w:color="auto"/>
                <w:right w:val="none" w:sz="0" w:space="0" w:color="auto"/>
              </w:divBdr>
              <w:divsChild>
                <w:div w:id="426197799">
                  <w:marLeft w:val="0"/>
                  <w:marRight w:val="0"/>
                  <w:marTop w:val="0"/>
                  <w:marBottom w:val="0"/>
                  <w:divBdr>
                    <w:top w:val="none" w:sz="0" w:space="0" w:color="auto"/>
                    <w:left w:val="none" w:sz="0" w:space="0" w:color="auto"/>
                    <w:bottom w:val="none" w:sz="0" w:space="0" w:color="auto"/>
                    <w:right w:val="none" w:sz="0" w:space="0" w:color="auto"/>
                  </w:divBdr>
                </w:div>
              </w:divsChild>
            </w:div>
            <w:div w:id="1276785963">
              <w:marLeft w:val="0"/>
              <w:marRight w:val="0"/>
              <w:marTop w:val="0"/>
              <w:marBottom w:val="0"/>
              <w:divBdr>
                <w:top w:val="none" w:sz="0" w:space="0" w:color="auto"/>
                <w:left w:val="none" w:sz="0" w:space="0" w:color="auto"/>
                <w:bottom w:val="none" w:sz="0" w:space="0" w:color="auto"/>
                <w:right w:val="none" w:sz="0" w:space="0" w:color="auto"/>
              </w:divBdr>
              <w:divsChild>
                <w:div w:id="81148077">
                  <w:marLeft w:val="0"/>
                  <w:marRight w:val="0"/>
                  <w:marTop w:val="0"/>
                  <w:marBottom w:val="0"/>
                  <w:divBdr>
                    <w:top w:val="none" w:sz="0" w:space="0" w:color="auto"/>
                    <w:left w:val="none" w:sz="0" w:space="0" w:color="auto"/>
                    <w:bottom w:val="none" w:sz="0" w:space="0" w:color="auto"/>
                    <w:right w:val="none" w:sz="0" w:space="0" w:color="auto"/>
                  </w:divBdr>
                </w:div>
              </w:divsChild>
            </w:div>
            <w:div w:id="1282885752">
              <w:marLeft w:val="0"/>
              <w:marRight w:val="0"/>
              <w:marTop w:val="300"/>
              <w:marBottom w:val="300"/>
              <w:divBdr>
                <w:top w:val="none" w:sz="0" w:space="0" w:color="auto"/>
                <w:left w:val="none" w:sz="0" w:space="0" w:color="auto"/>
                <w:bottom w:val="none" w:sz="0" w:space="0" w:color="auto"/>
                <w:right w:val="none" w:sz="0" w:space="0" w:color="auto"/>
              </w:divBdr>
            </w:div>
            <w:div w:id="1284337794">
              <w:marLeft w:val="0"/>
              <w:marRight w:val="0"/>
              <w:marTop w:val="0"/>
              <w:marBottom w:val="0"/>
              <w:divBdr>
                <w:top w:val="none" w:sz="0" w:space="0" w:color="auto"/>
                <w:left w:val="none" w:sz="0" w:space="0" w:color="auto"/>
                <w:bottom w:val="none" w:sz="0" w:space="0" w:color="auto"/>
                <w:right w:val="none" w:sz="0" w:space="0" w:color="auto"/>
              </w:divBdr>
              <w:divsChild>
                <w:div w:id="1935743697">
                  <w:marLeft w:val="0"/>
                  <w:marRight w:val="0"/>
                  <w:marTop w:val="0"/>
                  <w:marBottom w:val="0"/>
                  <w:divBdr>
                    <w:top w:val="none" w:sz="0" w:space="0" w:color="auto"/>
                    <w:left w:val="none" w:sz="0" w:space="0" w:color="auto"/>
                    <w:bottom w:val="none" w:sz="0" w:space="0" w:color="auto"/>
                    <w:right w:val="none" w:sz="0" w:space="0" w:color="auto"/>
                  </w:divBdr>
                </w:div>
              </w:divsChild>
            </w:div>
            <w:div w:id="1284464414">
              <w:marLeft w:val="0"/>
              <w:marRight w:val="0"/>
              <w:marTop w:val="300"/>
              <w:marBottom w:val="300"/>
              <w:divBdr>
                <w:top w:val="none" w:sz="0" w:space="0" w:color="auto"/>
                <w:left w:val="none" w:sz="0" w:space="0" w:color="auto"/>
                <w:bottom w:val="none" w:sz="0" w:space="0" w:color="auto"/>
                <w:right w:val="none" w:sz="0" w:space="0" w:color="auto"/>
              </w:divBdr>
            </w:div>
            <w:div w:id="1285187804">
              <w:marLeft w:val="0"/>
              <w:marRight w:val="0"/>
              <w:marTop w:val="0"/>
              <w:marBottom w:val="0"/>
              <w:divBdr>
                <w:top w:val="none" w:sz="0" w:space="0" w:color="auto"/>
                <w:left w:val="none" w:sz="0" w:space="0" w:color="auto"/>
                <w:bottom w:val="none" w:sz="0" w:space="0" w:color="auto"/>
                <w:right w:val="none" w:sz="0" w:space="0" w:color="auto"/>
              </w:divBdr>
              <w:divsChild>
                <w:div w:id="2130394759">
                  <w:marLeft w:val="0"/>
                  <w:marRight w:val="0"/>
                  <w:marTop w:val="0"/>
                  <w:marBottom w:val="0"/>
                  <w:divBdr>
                    <w:top w:val="none" w:sz="0" w:space="0" w:color="auto"/>
                    <w:left w:val="none" w:sz="0" w:space="0" w:color="auto"/>
                    <w:bottom w:val="none" w:sz="0" w:space="0" w:color="auto"/>
                    <w:right w:val="none" w:sz="0" w:space="0" w:color="auto"/>
                  </w:divBdr>
                </w:div>
              </w:divsChild>
            </w:div>
            <w:div w:id="1287202179">
              <w:marLeft w:val="0"/>
              <w:marRight w:val="0"/>
              <w:marTop w:val="300"/>
              <w:marBottom w:val="300"/>
              <w:divBdr>
                <w:top w:val="none" w:sz="0" w:space="0" w:color="auto"/>
                <w:left w:val="none" w:sz="0" w:space="0" w:color="auto"/>
                <w:bottom w:val="none" w:sz="0" w:space="0" w:color="auto"/>
                <w:right w:val="none" w:sz="0" w:space="0" w:color="auto"/>
              </w:divBdr>
            </w:div>
            <w:div w:id="1287540835">
              <w:marLeft w:val="0"/>
              <w:marRight w:val="0"/>
              <w:marTop w:val="0"/>
              <w:marBottom w:val="0"/>
              <w:divBdr>
                <w:top w:val="none" w:sz="0" w:space="0" w:color="auto"/>
                <w:left w:val="none" w:sz="0" w:space="0" w:color="auto"/>
                <w:bottom w:val="none" w:sz="0" w:space="0" w:color="auto"/>
                <w:right w:val="none" w:sz="0" w:space="0" w:color="auto"/>
              </w:divBdr>
              <w:divsChild>
                <w:div w:id="847477414">
                  <w:marLeft w:val="0"/>
                  <w:marRight w:val="0"/>
                  <w:marTop w:val="0"/>
                  <w:marBottom w:val="0"/>
                  <w:divBdr>
                    <w:top w:val="none" w:sz="0" w:space="0" w:color="auto"/>
                    <w:left w:val="none" w:sz="0" w:space="0" w:color="auto"/>
                    <w:bottom w:val="none" w:sz="0" w:space="0" w:color="auto"/>
                    <w:right w:val="none" w:sz="0" w:space="0" w:color="auto"/>
                  </w:divBdr>
                </w:div>
              </w:divsChild>
            </w:div>
            <w:div w:id="1288120304">
              <w:marLeft w:val="0"/>
              <w:marRight w:val="0"/>
              <w:marTop w:val="0"/>
              <w:marBottom w:val="0"/>
              <w:divBdr>
                <w:top w:val="none" w:sz="0" w:space="0" w:color="auto"/>
                <w:left w:val="none" w:sz="0" w:space="0" w:color="auto"/>
                <w:bottom w:val="none" w:sz="0" w:space="0" w:color="auto"/>
                <w:right w:val="none" w:sz="0" w:space="0" w:color="auto"/>
              </w:divBdr>
              <w:divsChild>
                <w:div w:id="1484733066">
                  <w:marLeft w:val="0"/>
                  <w:marRight w:val="0"/>
                  <w:marTop w:val="0"/>
                  <w:marBottom w:val="0"/>
                  <w:divBdr>
                    <w:top w:val="none" w:sz="0" w:space="0" w:color="auto"/>
                    <w:left w:val="none" w:sz="0" w:space="0" w:color="auto"/>
                    <w:bottom w:val="none" w:sz="0" w:space="0" w:color="auto"/>
                    <w:right w:val="none" w:sz="0" w:space="0" w:color="auto"/>
                  </w:divBdr>
                </w:div>
              </w:divsChild>
            </w:div>
            <w:div w:id="1288505591">
              <w:marLeft w:val="0"/>
              <w:marRight w:val="0"/>
              <w:marTop w:val="0"/>
              <w:marBottom w:val="0"/>
              <w:divBdr>
                <w:top w:val="none" w:sz="0" w:space="0" w:color="auto"/>
                <w:left w:val="none" w:sz="0" w:space="0" w:color="auto"/>
                <w:bottom w:val="none" w:sz="0" w:space="0" w:color="auto"/>
                <w:right w:val="none" w:sz="0" w:space="0" w:color="auto"/>
              </w:divBdr>
              <w:divsChild>
                <w:div w:id="930435463">
                  <w:marLeft w:val="0"/>
                  <w:marRight w:val="0"/>
                  <w:marTop w:val="0"/>
                  <w:marBottom w:val="0"/>
                  <w:divBdr>
                    <w:top w:val="none" w:sz="0" w:space="0" w:color="auto"/>
                    <w:left w:val="none" w:sz="0" w:space="0" w:color="auto"/>
                    <w:bottom w:val="none" w:sz="0" w:space="0" w:color="auto"/>
                    <w:right w:val="none" w:sz="0" w:space="0" w:color="auto"/>
                  </w:divBdr>
                </w:div>
              </w:divsChild>
            </w:div>
            <w:div w:id="1289553947">
              <w:marLeft w:val="0"/>
              <w:marRight w:val="0"/>
              <w:marTop w:val="300"/>
              <w:marBottom w:val="300"/>
              <w:divBdr>
                <w:top w:val="none" w:sz="0" w:space="0" w:color="auto"/>
                <w:left w:val="none" w:sz="0" w:space="0" w:color="auto"/>
                <w:bottom w:val="none" w:sz="0" w:space="0" w:color="auto"/>
                <w:right w:val="none" w:sz="0" w:space="0" w:color="auto"/>
              </w:divBdr>
            </w:div>
            <w:div w:id="1289623234">
              <w:marLeft w:val="0"/>
              <w:marRight w:val="0"/>
              <w:marTop w:val="0"/>
              <w:marBottom w:val="0"/>
              <w:divBdr>
                <w:top w:val="none" w:sz="0" w:space="0" w:color="auto"/>
                <w:left w:val="none" w:sz="0" w:space="0" w:color="auto"/>
                <w:bottom w:val="none" w:sz="0" w:space="0" w:color="auto"/>
                <w:right w:val="none" w:sz="0" w:space="0" w:color="auto"/>
              </w:divBdr>
              <w:divsChild>
                <w:div w:id="176039574">
                  <w:marLeft w:val="0"/>
                  <w:marRight w:val="0"/>
                  <w:marTop w:val="0"/>
                  <w:marBottom w:val="0"/>
                  <w:divBdr>
                    <w:top w:val="none" w:sz="0" w:space="0" w:color="auto"/>
                    <w:left w:val="none" w:sz="0" w:space="0" w:color="auto"/>
                    <w:bottom w:val="none" w:sz="0" w:space="0" w:color="auto"/>
                    <w:right w:val="none" w:sz="0" w:space="0" w:color="auto"/>
                  </w:divBdr>
                </w:div>
              </w:divsChild>
            </w:div>
            <w:div w:id="1291327955">
              <w:marLeft w:val="0"/>
              <w:marRight w:val="0"/>
              <w:marTop w:val="0"/>
              <w:marBottom w:val="0"/>
              <w:divBdr>
                <w:top w:val="none" w:sz="0" w:space="0" w:color="auto"/>
                <w:left w:val="none" w:sz="0" w:space="0" w:color="auto"/>
                <w:bottom w:val="none" w:sz="0" w:space="0" w:color="auto"/>
                <w:right w:val="none" w:sz="0" w:space="0" w:color="auto"/>
              </w:divBdr>
              <w:divsChild>
                <w:div w:id="1059983780">
                  <w:marLeft w:val="0"/>
                  <w:marRight w:val="0"/>
                  <w:marTop w:val="0"/>
                  <w:marBottom w:val="0"/>
                  <w:divBdr>
                    <w:top w:val="none" w:sz="0" w:space="0" w:color="auto"/>
                    <w:left w:val="none" w:sz="0" w:space="0" w:color="auto"/>
                    <w:bottom w:val="none" w:sz="0" w:space="0" w:color="auto"/>
                    <w:right w:val="none" w:sz="0" w:space="0" w:color="auto"/>
                  </w:divBdr>
                </w:div>
              </w:divsChild>
            </w:div>
            <w:div w:id="1294210059">
              <w:marLeft w:val="0"/>
              <w:marRight w:val="0"/>
              <w:marTop w:val="0"/>
              <w:marBottom w:val="0"/>
              <w:divBdr>
                <w:top w:val="none" w:sz="0" w:space="0" w:color="auto"/>
                <w:left w:val="none" w:sz="0" w:space="0" w:color="auto"/>
                <w:bottom w:val="none" w:sz="0" w:space="0" w:color="auto"/>
                <w:right w:val="none" w:sz="0" w:space="0" w:color="auto"/>
              </w:divBdr>
              <w:divsChild>
                <w:div w:id="1288001564">
                  <w:marLeft w:val="0"/>
                  <w:marRight w:val="0"/>
                  <w:marTop w:val="0"/>
                  <w:marBottom w:val="0"/>
                  <w:divBdr>
                    <w:top w:val="none" w:sz="0" w:space="0" w:color="auto"/>
                    <w:left w:val="none" w:sz="0" w:space="0" w:color="auto"/>
                    <w:bottom w:val="none" w:sz="0" w:space="0" w:color="auto"/>
                    <w:right w:val="none" w:sz="0" w:space="0" w:color="auto"/>
                  </w:divBdr>
                </w:div>
              </w:divsChild>
            </w:div>
            <w:div w:id="1295212879">
              <w:marLeft w:val="0"/>
              <w:marRight w:val="0"/>
              <w:marTop w:val="0"/>
              <w:marBottom w:val="0"/>
              <w:divBdr>
                <w:top w:val="none" w:sz="0" w:space="0" w:color="auto"/>
                <w:left w:val="none" w:sz="0" w:space="0" w:color="auto"/>
                <w:bottom w:val="none" w:sz="0" w:space="0" w:color="auto"/>
                <w:right w:val="none" w:sz="0" w:space="0" w:color="auto"/>
              </w:divBdr>
              <w:divsChild>
                <w:div w:id="2016032684">
                  <w:marLeft w:val="0"/>
                  <w:marRight w:val="0"/>
                  <w:marTop w:val="0"/>
                  <w:marBottom w:val="0"/>
                  <w:divBdr>
                    <w:top w:val="none" w:sz="0" w:space="0" w:color="auto"/>
                    <w:left w:val="none" w:sz="0" w:space="0" w:color="auto"/>
                    <w:bottom w:val="none" w:sz="0" w:space="0" w:color="auto"/>
                    <w:right w:val="none" w:sz="0" w:space="0" w:color="auto"/>
                  </w:divBdr>
                </w:div>
              </w:divsChild>
            </w:div>
            <w:div w:id="1295335048">
              <w:marLeft w:val="0"/>
              <w:marRight w:val="0"/>
              <w:marTop w:val="0"/>
              <w:marBottom w:val="0"/>
              <w:divBdr>
                <w:top w:val="none" w:sz="0" w:space="0" w:color="auto"/>
                <w:left w:val="none" w:sz="0" w:space="0" w:color="auto"/>
                <w:bottom w:val="none" w:sz="0" w:space="0" w:color="auto"/>
                <w:right w:val="none" w:sz="0" w:space="0" w:color="auto"/>
              </w:divBdr>
              <w:divsChild>
                <w:div w:id="273946858">
                  <w:marLeft w:val="0"/>
                  <w:marRight w:val="0"/>
                  <w:marTop w:val="0"/>
                  <w:marBottom w:val="0"/>
                  <w:divBdr>
                    <w:top w:val="none" w:sz="0" w:space="0" w:color="auto"/>
                    <w:left w:val="none" w:sz="0" w:space="0" w:color="auto"/>
                    <w:bottom w:val="none" w:sz="0" w:space="0" w:color="auto"/>
                    <w:right w:val="none" w:sz="0" w:space="0" w:color="auto"/>
                  </w:divBdr>
                </w:div>
              </w:divsChild>
            </w:div>
            <w:div w:id="1295451525">
              <w:marLeft w:val="0"/>
              <w:marRight w:val="0"/>
              <w:marTop w:val="0"/>
              <w:marBottom w:val="0"/>
              <w:divBdr>
                <w:top w:val="none" w:sz="0" w:space="0" w:color="auto"/>
                <w:left w:val="none" w:sz="0" w:space="0" w:color="auto"/>
                <w:bottom w:val="none" w:sz="0" w:space="0" w:color="auto"/>
                <w:right w:val="none" w:sz="0" w:space="0" w:color="auto"/>
              </w:divBdr>
              <w:divsChild>
                <w:div w:id="1979797478">
                  <w:marLeft w:val="0"/>
                  <w:marRight w:val="0"/>
                  <w:marTop w:val="0"/>
                  <w:marBottom w:val="0"/>
                  <w:divBdr>
                    <w:top w:val="none" w:sz="0" w:space="0" w:color="auto"/>
                    <w:left w:val="none" w:sz="0" w:space="0" w:color="auto"/>
                    <w:bottom w:val="none" w:sz="0" w:space="0" w:color="auto"/>
                    <w:right w:val="none" w:sz="0" w:space="0" w:color="auto"/>
                  </w:divBdr>
                </w:div>
              </w:divsChild>
            </w:div>
            <w:div w:id="1299456074">
              <w:marLeft w:val="0"/>
              <w:marRight w:val="0"/>
              <w:marTop w:val="0"/>
              <w:marBottom w:val="0"/>
              <w:divBdr>
                <w:top w:val="none" w:sz="0" w:space="0" w:color="auto"/>
                <w:left w:val="none" w:sz="0" w:space="0" w:color="auto"/>
                <w:bottom w:val="none" w:sz="0" w:space="0" w:color="auto"/>
                <w:right w:val="none" w:sz="0" w:space="0" w:color="auto"/>
              </w:divBdr>
              <w:divsChild>
                <w:div w:id="452554154">
                  <w:marLeft w:val="0"/>
                  <w:marRight w:val="0"/>
                  <w:marTop w:val="0"/>
                  <w:marBottom w:val="0"/>
                  <w:divBdr>
                    <w:top w:val="none" w:sz="0" w:space="0" w:color="auto"/>
                    <w:left w:val="none" w:sz="0" w:space="0" w:color="auto"/>
                    <w:bottom w:val="none" w:sz="0" w:space="0" w:color="auto"/>
                    <w:right w:val="none" w:sz="0" w:space="0" w:color="auto"/>
                  </w:divBdr>
                </w:div>
              </w:divsChild>
            </w:div>
            <w:div w:id="1301500075">
              <w:marLeft w:val="0"/>
              <w:marRight w:val="0"/>
              <w:marTop w:val="0"/>
              <w:marBottom w:val="0"/>
              <w:divBdr>
                <w:top w:val="none" w:sz="0" w:space="0" w:color="auto"/>
                <w:left w:val="none" w:sz="0" w:space="0" w:color="auto"/>
                <w:bottom w:val="none" w:sz="0" w:space="0" w:color="auto"/>
                <w:right w:val="none" w:sz="0" w:space="0" w:color="auto"/>
              </w:divBdr>
              <w:divsChild>
                <w:div w:id="2057004411">
                  <w:marLeft w:val="0"/>
                  <w:marRight w:val="0"/>
                  <w:marTop w:val="0"/>
                  <w:marBottom w:val="0"/>
                  <w:divBdr>
                    <w:top w:val="none" w:sz="0" w:space="0" w:color="auto"/>
                    <w:left w:val="none" w:sz="0" w:space="0" w:color="auto"/>
                    <w:bottom w:val="none" w:sz="0" w:space="0" w:color="auto"/>
                    <w:right w:val="none" w:sz="0" w:space="0" w:color="auto"/>
                  </w:divBdr>
                </w:div>
              </w:divsChild>
            </w:div>
            <w:div w:id="1302804497">
              <w:marLeft w:val="0"/>
              <w:marRight w:val="0"/>
              <w:marTop w:val="0"/>
              <w:marBottom w:val="0"/>
              <w:divBdr>
                <w:top w:val="none" w:sz="0" w:space="0" w:color="auto"/>
                <w:left w:val="none" w:sz="0" w:space="0" w:color="auto"/>
                <w:bottom w:val="none" w:sz="0" w:space="0" w:color="auto"/>
                <w:right w:val="none" w:sz="0" w:space="0" w:color="auto"/>
              </w:divBdr>
              <w:divsChild>
                <w:div w:id="930433661">
                  <w:marLeft w:val="0"/>
                  <w:marRight w:val="0"/>
                  <w:marTop w:val="0"/>
                  <w:marBottom w:val="0"/>
                  <w:divBdr>
                    <w:top w:val="none" w:sz="0" w:space="0" w:color="auto"/>
                    <w:left w:val="none" w:sz="0" w:space="0" w:color="auto"/>
                    <w:bottom w:val="none" w:sz="0" w:space="0" w:color="auto"/>
                    <w:right w:val="none" w:sz="0" w:space="0" w:color="auto"/>
                  </w:divBdr>
                </w:div>
              </w:divsChild>
            </w:div>
            <w:div w:id="1303462933">
              <w:marLeft w:val="0"/>
              <w:marRight w:val="0"/>
              <w:marTop w:val="0"/>
              <w:marBottom w:val="0"/>
              <w:divBdr>
                <w:top w:val="none" w:sz="0" w:space="0" w:color="auto"/>
                <w:left w:val="none" w:sz="0" w:space="0" w:color="auto"/>
                <w:bottom w:val="none" w:sz="0" w:space="0" w:color="auto"/>
                <w:right w:val="none" w:sz="0" w:space="0" w:color="auto"/>
              </w:divBdr>
              <w:divsChild>
                <w:div w:id="180820662">
                  <w:marLeft w:val="0"/>
                  <w:marRight w:val="0"/>
                  <w:marTop w:val="0"/>
                  <w:marBottom w:val="0"/>
                  <w:divBdr>
                    <w:top w:val="none" w:sz="0" w:space="0" w:color="auto"/>
                    <w:left w:val="none" w:sz="0" w:space="0" w:color="auto"/>
                    <w:bottom w:val="none" w:sz="0" w:space="0" w:color="auto"/>
                    <w:right w:val="none" w:sz="0" w:space="0" w:color="auto"/>
                  </w:divBdr>
                </w:div>
              </w:divsChild>
            </w:div>
            <w:div w:id="1303583200">
              <w:marLeft w:val="0"/>
              <w:marRight w:val="0"/>
              <w:marTop w:val="0"/>
              <w:marBottom w:val="0"/>
              <w:divBdr>
                <w:top w:val="none" w:sz="0" w:space="0" w:color="auto"/>
                <w:left w:val="none" w:sz="0" w:space="0" w:color="auto"/>
                <w:bottom w:val="none" w:sz="0" w:space="0" w:color="auto"/>
                <w:right w:val="none" w:sz="0" w:space="0" w:color="auto"/>
              </w:divBdr>
              <w:divsChild>
                <w:div w:id="193618839">
                  <w:marLeft w:val="0"/>
                  <w:marRight w:val="0"/>
                  <w:marTop w:val="0"/>
                  <w:marBottom w:val="0"/>
                  <w:divBdr>
                    <w:top w:val="none" w:sz="0" w:space="0" w:color="auto"/>
                    <w:left w:val="none" w:sz="0" w:space="0" w:color="auto"/>
                    <w:bottom w:val="none" w:sz="0" w:space="0" w:color="auto"/>
                    <w:right w:val="none" w:sz="0" w:space="0" w:color="auto"/>
                  </w:divBdr>
                </w:div>
              </w:divsChild>
            </w:div>
            <w:div w:id="1304041816">
              <w:marLeft w:val="0"/>
              <w:marRight w:val="0"/>
              <w:marTop w:val="300"/>
              <w:marBottom w:val="300"/>
              <w:divBdr>
                <w:top w:val="none" w:sz="0" w:space="0" w:color="auto"/>
                <w:left w:val="none" w:sz="0" w:space="0" w:color="auto"/>
                <w:bottom w:val="none" w:sz="0" w:space="0" w:color="auto"/>
                <w:right w:val="none" w:sz="0" w:space="0" w:color="auto"/>
              </w:divBdr>
            </w:div>
            <w:div w:id="1304694521">
              <w:marLeft w:val="0"/>
              <w:marRight w:val="0"/>
              <w:marTop w:val="0"/>
              <w:marBottom w:val="0"/>
              <w:divBdr>
                <w:top w:val="none" w:sz="0" w:space="0" w:color="auto"/>
                <w:left w:val="none" w:sz="0" w:space="0" w:color="auto"/>
                <w:bottom w:val="none" w:sz="0" w:space="0" w:color="auto"/>
                <w:right w:val="none" w:sz="0" w:space="0" w:color="auto"/>
              </w:divBdr>
              <w:divsChild>
                <w:div w:id="687223226">
                  <w:marLeft w:val="0"/>
                  <w:marRight w:val="0"/>
                  <w:marTop w:val="0"/>
                  <w:marBottom w:val="0"/>
                  <w:divBdr>
                    <w:top w:val="none" w:sz="0" w:space="0" w:color="auto"/>
                    <w:left w:val="none" w:sz="0" w:space="0" w:color="auto"/>
                    <w:bottom w:val="none" w:sz="0" w:space="0" w:color="auto"/>
                    <w:right w:val="none" w:sz="0" w:space="0" w:color="auto"/>
                  </w:divBdr>
                </w:div>
              </w:divsChild>
            </w:div>
            <w:div w:id="1304887803">
              <w:marLeft w:val="0"/>
              <w:marRight w:val="0"/>
              <w:marTop w:val="0"/>
              <w:marBottom w:val="0"/>
              <w:divBdr>
                <w:top w:val="none" w:sz="0" w:space="0" w:color="auto"/>
                <w:left w:val="none" w:sz="0" w:space="0" w:color="auto"/>
                <w:bottom w:val="none" w:sz="0" w:space="0" w:color="auto"/>
                <w:right w:val="none" w:sz="0" w:space="0" w:color="auto"/>
              </w:divBdr>
              <w:divsChild>
                <w:div w:id="130944363">
                  <w:marLeft w:val="0"/>
                  <w:marRight w:val="0"/>
                  <w:marTop w:val="0"/>
                  <w:marBottom w:val="0"/>
                  <w:divBdr>
                    <w:top w:val="none" w:sz="0" w:space="0" w:color="auto"/>
                    <w:left w:val="none" w:sz="0" w:space="0" w:color="auto"/>
                    <w:bottom w:val="none" w:sz="0" w:space="0" w:color="auto"/>
                    <w:right w:val="none" w:sz="0" w:space="0" w:color="auto"/>
                  </w:divBdr>
                </w:div>
              </w:divsChild>
            </w:div>
            <w:div w:id="1307007858">
              <w:marLeft w:val="0"/>
              <w:marRight w:val="0"/>
              <w:marTop w:val="300"/>
              <w:marBottom w:val="300"/>
              <w:divBdr>
                <w:top w:val="none" w:sz="0" w:space="0" w:color="auto"/>
                <w:left w:val="none" w:sz="0" w:space="0" w:color="auto"/>
                <w:bottom w:val="none" w:sz="0" w:space="0" w:color="auto"/>
                <w:right w:val="none" w:sz="0" w:space="0" w:color="auto"/>
              </w:divBdr>
            </w:div>
            <w:div w:id="1307934456">
              <w:marLeft w:val="0"/>
              <w:marRight w:val="0"/>
              <w:marTop w:val="0"/>
              <w:marBottom w:val="0"/>
              <w:divBdr>
                <w:top w:val="none" w:sz="0" w:space="0" w:color="auto"/>
                <w:left w:val="none" w:sz="0" w:space="0" w:color="auto"/>
                <w:bottom w:val="none" w:sz="0" w:space="0" w:color="auto"/>
                <w:right w:val="none" w:sz="0" w:space="0" w:color="auto"/>
              </w:divBdr>
              <w:divsChild>
                <w:div w:id="37895321">
                  <w:marLeft w:val="0"/>
                  <w:marRight w:val="0"/>
                  <w:marTop w:val="0"/>
                  <w:marBottom w:val="0"/>
                  <w:divBdr>
                    <w:top w:val="none" w:sz="0" w:space="0" w:color="auto"/>
                    <w:left w:val="none" w:sz="0" w:space="0" w:color="auto"/>
                    <w:bottom w:val="none" w:sz="0" w:space="0" w:color="auto"/>
                    <w:right w:val="none" w:sz="0" w:space="0" w:color="auto"/>
                  </w:divBdr>
                </w:div>
              </w:divsChild>
            </w:div>
            <w:div w:id="1308515655">
              <w:marLeft w:val="0"/>
              <w:marRight w:val="0"/>
              <w:marTop w:val="300"/>
              <w:marBottom w:val="300"/>
              <w:divBdr>
                <w:top w:val="none" w:sz="0" w:space="0" w:color="auto"/>
                <w:left w:val="none" w:sz="0" w:space="0" w:color="auto"/>
                <w:bottom w:val="none" w:sz="0" w:space="0" w:color="auto"/>
                <w:right w:val="none" w:sz="0" w:space="0" w:color="auto"/>
              </w:divBdr>
            </w:div>
            <w:div w:id="1309672017">
              <w:marLeft w:val="0"/>
              <w:marRight w:val="0"/>
              <w:marTop w:val="0"/>
              <w:marBottom w:val="0"/>
              <w:divBdr>
                <w:top w:val="none" w:sz="0" w:space="0" w:color="auto"/>
                <w:left w:val="none" w:sz="0" w:space="0" w:color="auto"/>
                <w:bottom w:val="none" w:sz="0" w:space="0" w:color="auto"/>
                <w:right w:val="none" w:sz="0" w:space="0" w:color="auto"/>
              </w:divBdr>
              <w:divsChild>
                <w:div w:id="2001734572">
                  <w:marLeft w:val="0"/>
                  <w:marRight w:val="0"/>
                  <w:marTop w:val="0"/>
                  <w:marBottom w:val="0"/>
                  <w:divBdr>
                    <w:top w:val="none" w:sz="0" w:space="0" w:color="auto"/>
                    <w:left w:val="none" w:sz="0" w:space="0" w:color="auto"/>
                    <w:bottom w:val="none" w:sz="0" w:space="0" w:color="auto"/>
                    <w:right w:val="none" w:sz="0" w:space="0" w:color="auto"/>
                  </w:divBdr>
                </w:div>
              </w:divsChild>
            </w:div>
            <w:div w:id="1311060547">
              <w:marLeft w:val="0"/>
              <w:marRight w:val="0"/>
              <w:marTop w:val="0"/>
              <w:marBottom w:val="0"/>
              <w:divBdr>
                <w:top w:val="none" w:sz="0" w:space="0" w:color="auto"/>
                <w:left w:val="none" w:sz="0" w:space="0" w:color="auto"/>
                <w:bottom w:val="none" w:sz="0" w:space="0" w:color="auto"/>
                <w:right w:val="none" w:sz="0" w:space="0" w:color="auto"/>
              </w:divBdr>
              <w:divsChild>
                <w:div w:id="134958231">
                  <w:marLeft w:val="0"/>
                  <w:marRight w:val="0"/>
                  <w:marTop w:val="0"/>
                  <w:marBottom w:val="0"/>
                  <w:divBdr>
                    <w:top w:val="none" w:sz="0" w:space="0" w:color="auto"/>
                    <w:left w:val="none" w:sz="0" w:space="0" w:color="auto"/>
                    <w:bottom w:val="none" w:sz="0" w:space="0" w:color="auto"/>
                    <w:right w:val="none" w:sz="0" w:space="0" w:color="auto"/>
                  </w:divBdr>
                </w:div>
              </w:divsChild>
            </w:div>
            <w:div w:id="1311209651">
              <w:marLeft w:val="0"/>
              <w:marRight w:val="0"/>
              <w:marTop w:val="0"/>
              <w:marBottom w:val="0"/>
              <w:divBdr>
                <w:top w:val="none" w:sz="0" w:space="0" w:color="auto"/>
                <w:left w:val="none" w:sz="0" w:space="0" w:color="auto"/>
                <w:bottom w:val="none" w:sz="0" w:space="0" w:color="auto"/>
                <w:right w:val="none" w:sz="0" w:space="0" w:color="auto"/>
              </w:divBdr>
              <w:divsChild>
                <w:div w:id="975989796">
                  <w:marLeft w:val="0"/>
                  <w:marRight w:val="0"/>
                  <w:marTop w:val="0"/>
                  <w:marBottom w:val="0"/>
                  <w:divBdr>
                    <w:top w:val="none" w:sz="0" w:space="0" w:color="auto"/>
                    <w:left w:val="none" w:sz="0" w:space="0" w:color="auto"/>
                    <w:bottom w:val="none" w:sz="0" w:space="0" w:color="auto"/>
                    <w:right w:val="none" w:sz="0" w:space="0" w:color="auto"/>
                  </w:divBdr>
                </w:div>
              </w:divsChild>
            </w:div>
            <w:div w:id="1315719925">
              <w:marLeft w:val="0"/>
              <w:marRight w:val="0"/>
              <w:marTop w:val="0"/>
              <w:marBottom w:val="0"/>
              <w:divBdr>
                <w:top w:val="none" w:sz="0" w:space="0" w:color="auto"/>
                <w:left w:val="none" w:sz="0" w:space="0" w:color="auto"/>
                <w:bottom w:val="none" w:sz="0" w:space="0" w:color="auto"/>
                <w:right w:val="none" w:sz="0" w:space="0" w:color="auto"/>
              </w:divBdr>
              <w:divsChild>
                <w:div w:id="258605939">
                  <w:marLeft w:val="0"/>
                  <w:marRight w:val="0"/>
                  <w:marTop w:val="0"/>
                  <w:marBottom w:val="0"/>
                  <w:divBdr>
                    <w:top w:val="none" w:sz="0" w:space="0" w:color="auto"/>
                    <w:left w:val="none" w:sz="0" w:space="0" w:color="auto"/>
                    <w:bottom w:val="none" w:sz="0" w:space="0" w:color="auto"/>
                    <w:right w:val="none" w:sz="0" w:space="0" w:color="auto"/>
                  </w:divBdr>
                </w:div>
              </w:divsChild>
            </w:div>
            <w:div w:id="1315841267">
              <w:marLeft w:val="0"/>
              <w:marRight w:val="0"/>
              <w:marTop w:val="0"/>
              <w:marBottom w:val="0"/>
              <w:divBdr>
                <w:top w:val="none" w:sz="0" w:space="0" w:color="auto"/>
                <w:left w:val="none" w:sz="0" w:space="0" w:color="auto"/>
                <w:bottom w:val="none" w:sz="0" w:space="0" w:color="auto"/>
                <w:right w:val="none" w:sz="0" w:space="0" w:color="auto"/>
              </w:divBdr>
              <w:divsChild>
                <w:div w:id="735322223">
                  <w:marLeft w:val="0"/>
                  <w:marRight w:val="0"/>
                  <w:marTop w:val="0"/>
                  <w:marBottom w:val="0"/>
                  <w:divBdr>
                    <w:top w:val="none" w:sz="0" w:space="0" w:color="auto"/>
                    <w:left w:val="none" w:sz="0" w:space="0" w:color="auto"/>
                    <w:bottom w:val="none" w:sz="0" w:space="0" w:color="auto"/>
                    <w:right w:val="none" w:sz="0" w:space="0" w:color="auto"/>
                  </w:divBdr>
                </w:div>
              </w:divsChild>
            </w:div>
            <w:div w:id="1316296172">
              <w:marLeft w:val="0"/>
              <w:marRight w:val="0"/>
              <w:marTop w:val="0"/>
              <w:marBottom w:val="0"/>
              <w:divBdr>
                <w:top w:val="none" w:sz="0" w:space="0" w:color="auto"/>
                <w:left w:val="none" w:sz="0" w:space="0" w:color="auto"/>
                <w:bottom w:val="none" w:sz="0" w:space="0" w:color="auto"/>
                <w:right w:val="none" w:sz="0" w:space="0" w:color="auto"/>
              </w:divBdr>
              <w:divsChild>
                <w:div w:id="692999393">
                  <w:marLeft w:val="0"/>
                  <w:marRight w:val="0"/>
                  <w:marTop w:val="0"/>
                  <w:marBottom w:val="0"/>
                  <w:divBdr>
                    <w:top w:val="none" w:sz="0" w:space="0" w:color="auto"/>
                    <w:left w:val="none" w:sz="0" w:space="0" w:color="auto"/>
                    <w:bottom w:val="none" w:sz="0" w:space="0" w:color="auto"/>
                    <w:right w:val="none" w:sz="0" w:space="0" w:color="auto"/>
                  </w:divBdr>
                </w:div>
              </w:divsChild>
            </w:div>
            <w:div w:id="1318222155">
              <w:marLeft w:val="0"/>
              <w:marRight w:val="0"/>
              <w:marTop w:val="300"/>
              <w:marBottom w:val="300"/>
              <w:divBdr>
                <w:top w:val="none" w:sz="0" w:space="0" w:color="auto"/>
                <w:left w:val="none" w:sz="0" w:space="0" w:color="auto"/>
                <w:bottom w:val="none" w:sz="0" w:space="0" w:color="auto"/>
                <w:right w:val="none" w:sz="0" w:space="0" w:color="auto"/>
              </w:divBdr>
            </w:div>
            <w:div w:id="1322002983">
              <w:marLeft w:val="0"/>
              <w:marRight w:val="0"/>
              <w:marTop w:val="0"/>
              <w:marBottom w:val="0"/>
              <w:divBdr>
                <w:top w:val="none" w:sz="0" w:space="0" w:color="auto"/>
                <w:left w:val="none" w:sz="0" w:space="0" w:color="auto"/>
                <w:bottom w:val="none" w:sz="0" w:space="0" w:color="auto"/>
                <w:right w:val="none" w:sz="0" w:space="0" w:color="auto"/>
              </w:divBdr>
              <w:divsChild>
                <w:div w:id="1471093077">
                  <w:marLeft w:val="0"/>
                  <w:marRight w:val="0"/>
                  <w:marTop w:val="0"/>
                  <w:marBottom w:val="0"/>
                  <w:divBdr>
                    <w:top w:val="none" w:sz="0" w:space="0" w:color="auto"/>
                    <w:left w:val="none" w:sz="0" w:space="0" w:color="auto"/>
                    <w:bottom w:val="none" w:sz="0" w:space="0" w:color="auto"/>
                    <w:right w:val="none" w:sz="0" w:space="0" w:color="auto"/>
                  </w:divBdr>
                </w:div>
              </w:divsChild>
            </w:div>
            <w:div w:id="1322856114">
              <w:marLeft w:val="0"/>
              <w:marRight w:val="0"/>
              <w:marTop w:val="0"/>
              <w:marBottom w:val="0"/>
              <w:divBdr>
                <w:top w:val="none" w:sz="0" w:space="0" w:color="auto"/>
                <w:left w:val="none" w:sz="0" w:space="0" w:color="auto"/>
                <w:bottom w:val="none" w:sz="0" w:space="0" w:color="auto"/>
                <w:right w:val="none" w:sz="0" w:space="0" w:color="auto"/>
              </w:divBdr>
              <w:divsChild>
                <w:div w:id="554048879">
                  <w:marLeft w:val="0"/>
                  <w:marRight w:val="0"/>
                  <w:marTop w:val="0"/>
                  <w:marBottom w:val="0"/>
                  <w:divBdr>
                    <w:top w:val="none" w:sz="0" w:space="0" w:color="auto"/>
                    <w:left w:val="none" w:sz="0" w:space="0" w:color="auto"/>
                    <w:bottom w:val="none" w:sz="0" w:space="0" w:color="auto"/>
                    <w:right w:val="none" w:sz="0" w:space="0" w:color="auto"/>
                  </w:divBdr>
                </w:div>
              </w:divsChild>
            </w:div>
            <w:div w:id="1327634606">
              <w:marLeft w:val="0"/>
              <w:marRight w:val="0"/>
              <w:marTop w:val="0"/>
              <w:marBottom w:val="0"/>
              <w:divBdr>
                <w:top w:val="none" w:sz="0" w:space="0" w:color="auto"/>
                <w:left w:val="none" w:sz="0" w:space="0" w:color="auto"/>
                <w:bottom w:val="none" w:sz="0" w:space="0" w:color="auto"/>
                <w:right w:val="none" w:sz="0" w:space="0" w:color="auto"/>
              </w:divBdr>
              <w:divsChild>
                <w:div w:id="897664127">
                  <w:marLeft w:val="0"/>
                  <w:marRight w:val="0"/>
                  <w:marTop w:val="0"/>
                  <w:marBottom w:val="0"/>
                  <w:divBdr>
                    <w:top w:val="none" w:sz="0" w:space="0" w:color="auto"/>
                    <w:left w:val="none" w:sz="0" w:space="0" w:color="auto"/>
                    <w:bottom w:val="none" w:sz="0" w:space="0" w:color="auto"/>
                    <w:right w:val="none" w:sz="0" w:space="0" w:color="auto"/>
                  </w:divBdr>
                </w:div>
              </w:divsChild>
            </w:div>
            <w:div w:id="1328628540">
              <w:marLeft w:val="0"/>
              <w:marRight w:val="0"/>
              <w:marTop w:val="0"/>
              <w:marBottom w:val="0"/>
              <w:divBdr>
                <w:top w:val="none" w:sz="0" w:space="0" w:color="auto"/>
                <w:left w:val="none" w:sz="0" w:space="0" w:color="auto"/>
                <w:bottom w:val="none" w:sz="0" w:space="0" w:color="auto"/>
                <w:right w:val="none" w:sz="0" w:space="0" w:color="auto"/>
              </w:divBdr>
              <w:divsChild>
                <w:div w:id="1093211186">
                  <w:marLeft w:val="0"/>
                  <w:marRight w:val="0"/>
                  <w:marTop w:val="0"/>
                  <w:marBottom w:val="0"/>
                  <w:divBdr>
                    <w:top w:val="none" w:sz="0" w:space="0" w:color="auto"/>
                    <w:left w:val="none" w:sz="0" w:space="0" w:color="auto"/>
                    <w:bottom w:val="none" w:sz="0" w:space="0" w:color="auto"/>
                    <w:right w:val="none" w:sz="0" w:space="0" w:color="auto"/>
                  </w:divBdr>
                </w:div>
              </w:divsChild>
            </w:div>
            <w:div w:id="1331982141">
              <w:marLeft w:val="0"/>
              <w:marRight w:val="0"/>
              <w:marTop w:val="300"/>
              <w:marBottom w:val="300"/>
              <w:divBdr>
                <w:top w:val="none" w:sz="0" w:space="0" w:color="auto"/>
                <w:left w:val="none" w:sz="0" w:space="0" w:color="auto"/>
                <w:bottom w:val="none" w:sz="0" w:space="0" w:color="auto"/>
                <w:right w:val="none" w:sz="0" w:space="0" w:color="auto"/>
              </w:divBdr>
            </w:div>
            <w:div w:id="1332875487">
              <w:marLeft w:val="0"/>
              <w:marRight w:val="0"/>
              <w:marTop w:val="0"/>
              <w:marBottom w:val="0"/>
              <w:divBdr>
                <w:top w:val="none" w:sz="0" w:space="0" w:color="auto"/>
                <w:left w:val="none" w:sz="0" w:space="0" w:color="auto"/>
                <w:bottom w:val="none" w:sz="0" w:space="0" w:color="auto"/>
                <w:right w:val="none" w:sz="0" w:space="0" w:color="auto"/>
              </w:divBdr>
              <w:divsChild>
                <w:div w:id="1070810215">
                  <w:marLeft w:val="0"/>
                  <w:marRight w:val="0"/>
                  <w:marTop w:val="0"/>
                  <w:marBottom w:val="0"/>
                  <w:divBdr>
                    <w:top w:val="none" w:sz="0" w:space="0" w:color="auto"/>
                    <w:left w:val="none" w:sz="0" w:space="0" w:color="auto"/>
                    <w:bottom w:val="none" w:sz="0" w:space="0" w:color="auto"/>
                    <w:right w:val="none" w:sz="0" w:space="0" w:color="auto"/>
                  </w:divBdr>
                </w:div>
              </w:divsChild>
            </w:div>
            <w:div w:id="1335181466">
              <w:marLeft w:val="0"/>
              <w:marRight w:val="0"/>
              <w:marTop w:val="0"/>
              <w:marBottom w:val="0"/>
              <w:divBdr>
                <w:top w:val="none" w:sz="0" w:space="0" w:color="auto"/>
                <w:left w:val="none" w:sz="0" w:space="0" w:color="auto"/>
                <w:bottom w:val="none" w:sz="0" w:space="0" w:color="auto"/>
                <w:right w:val="none" w:sz="0" w:space="0" w:color="auto"/>
              </w:divBdr>
              <w:divsChild>
                <w:div w:id="441656518">
                  <w:marLeft w:val="0"/>
                  <w:marRight w:val="0"/>
                  <w:marTop w:val="0"/>
                  <w:marBottom w:val="0"/>
                  <w:divBdr>
                    <w:top w:val="none" w:sz="0" w:space="0" w:color="auto"/>
                    <w:left w:val="none" w:sz="0" w:space="0" w:color="auto"/>
                    <w:bottom w:val="none" w:sz="0" w:space="0" w:color="auto"/>
                    <w:right w:val="none" w:sz="0" w:space="0" w:color="auto"/>
                  </w:divBdr>
                </w:div>
              </w:divsChild>
            </w:div>
            <w:div w:id="1335300328">
              <w:marLeft w:val="0"/>
              <w:marRight w:val="0"/>
              <w:marTop w:val="0"/>
              <w:marBottom w:val="0"/>
              <w:divBdr>
                <w:top w:val="none" w:sz="0" w:space="0" w:color="auto"/>
                <w:left w:val="none" w:sz="0" w:space="0" w:color="auto"/>
                <w:bottom w:val="none" w:sz="0" w:space="0" w:color="auto"/>
                <w:right w:val="none" w:sz="0" w:space="0" w:color="auto"/>
              </w:divBdr>
              <w:divsChild>
                <w:div w:id="805661972">
                  <w:marLeft w:val="0"/>
                  <w:marRight w:val="0"/>
                  <w:marTop w:val="0"/>
                  <w:marBottom w:val="0"/>
                  <w:divBdr>
                    <w:top w:val="none" w:sz="0" w:space="0" w:color="auto"/>
                    <w:left w:val="none" w:sz="0" w:space="0" w:color="auto"/>
                    <w:bottom w:val="none" w:sz="0" w:space="0" w:color="auto"/>
                    <w:right w:val="none" w:sz="0" w:space="0" w:color="auto"/>
                  </w:divBdr>
                </w:div>
              </w:divsChild>
            </w:div>
            <w:div w:id="1337878659">
              <w:marLeft w:val="0"/>
              <w:marRight w:val="0"/>
              <w:marTop w:val="0"/>
              <w:marBottom w:val="0"/>
              <w:divBdr>
                <w:top w:val="none" w:sz="0" w:space="0" w:color="auto"/>
                <w:left w:val="none" w:sz="0" w:space="0" w:color="auto"/>
                <w:bottom w:val="none" w:sz="0" w:space="0" w:color="auto"/>
                <w:right w:val="none" w:sz="0" w:space="0" w:color="auto"/>
              </w:divBdr>
              <w:divsChild>
                <w:div w:id="1201240181">
                  <w:marLeft w:val="0"/>
                  <w:marRight w:val="0"/>
                  <w:marTop w:val="0"/>
                  <w:marBottom w:val="0"/>
                  <w:divBdr>
                    <w:top w:val="none" w:sz="0" w:space="0" w:color="auto"/>
                    <w:left w:val="none" w:sz="0" w:space="0" w:color="auto"/>
                    <w:bottom w:val="none" w:sz="0" w:space="0" w:color="auto"/>
                    <w:right w:val="none" w:sz="0" w:space="0" w:color="auto"/>
                  </w:divBdr>
                </w:div>
              </w:divsChild>
            </w:div>
            <w:div w:id="1338771046">
              <w:marLeft w:val="0"/>
              <w:marRight w:val="0"/>
              <w:marTop w:val="0"/>
              <w:marBottom w:val="0"/>
              <w:divBdr>
                <w:top w:val="none" w:sz="0" w:space="0" w:color="auto"/>
                <w:left w:val="none" w:sz="0" w:space="0" w:color="auto"/>
                <w:bottom w:val="none" w:sz="0" w:space="0" w:color="auto"/>
                <w:right w:val="none" w:sz="0" w:space="0" w:color="auto"/>
              </w:divBdr>
              <w:divsChild>
                <w:div w:id="1754737646">
                  <w:marLeft w:val="0"/>
                  <w:marRight w:val="0"/>
                  <w:marTop w:val="0"/>
                  <w:marBottom w:val="0"/>
                  <w:divBdr>
                    <w:top w:val="none" w:sz="0" w:space="0" w:color="auto"/>
                    <w:left w:val="none" w:sz="0" w:space="0" w:color="auto"/>
                    <w:bottom w:val="none" w:sz="0" w:space="0" w:color="auto"/>
                    <w:right w:val="none" w:sz="0" w:space="0" w:color="auto"/>
                  </w:divBdr>
                </w:div>
              </w:divsChild>
            </w:div>
            <w:div w:id="1341349268">
              <w:marLeft w:val="0"/>
              <w:marRight w:val="0"/>
              <w:marTop w:val="0"/>
              <w:marBottom w:val="0"/>
              <w:divBdr>
                <w:top w:val="none" w:sz="0" w:space="0" w:color="auto"/>
                <w:left w:val="none" w:sz="0" w:space="0" w:color="auto"/>
                <w:bottom w:val="none" w:sz="0" w:space="0" w:color="auto"/>
                <w:right w:val="none" w:sz="0" w:space="0" w:color="auto"/>
              </w:divBdr>
              <w:divsChild>
                <w:div w:id="157039629">
                  <w:marLeft w:val="0"/>
                  <w:marRight w:val="0"/>
                  <w:marTop w:val="0"/>
                  <w:marBottom w:val="0"/>
                  <w:divBdr>
                    <w:top w:val="none" w:sz="0" w:space="0" w:color="auto"/>
                    <w:left w:val="none" w:sz="0" w:space="0" w:color="auto"/>
                    <w:bottom w:val="none" w:sz="0" w:space="0" w:color="auto"/>
                    <w:right w:val="none" w:sz="0" w:space="0" w:color="auto"/>
                  </w:divBdr>
                </w:div>
              </w:divsChild>
            </w:div>
            <w:div w:id="1341657264">
              <w:marLeft w:val="0"/>
              <w:marRight w:val="0"/>
              <w:marTop w:val="0"/>
              <w:marBottom w:val="0"/>
              <w:divBdr>
                <w:top w:val="none" w:sz="0" w:space="0" w:color="auto"/>
                <w:left w:val="none" w:sz="0" w:space="0" w:color="auto"/>
                <w:bottom w:val="none" w:sz="0" w:space="0" w:color="auto"/>
                <w:right w:val="none" w:sz="0" w:space="0" w:color="auto"/>
              </w:divBdr>
              <w:divsChild>
                <w:div w:id="472405040">
                  <w:marLeft w:val="0"/>
                  <w:marRight w:val="0"/>
                  <w:marTop w:val="0"/>
                  <w:marBottom w:val="0"/>
                  <w:divBdr>
                    <w:top w:val="none" w:sz="0" w:space="0" w:color="auto"/>
                    <w:left w:val="none" w:sz="0" w:space="0" w:color="auto"/>
                    <w:bottom w:val="none" w:sz="0" w:space="0" w:color="auto"/>
                    <w:right w:val="none" w:sz="0" w:space="0" w:color="auto"/>
                  </w:divBdr>
                </w:div>
              </w:divsChild>
            </w:div>
            <w:div w:id="1342928086">
              <w:marLeft w:val="0"/>
              <w:marRight w:val="0"/>
              <w:marTop w:val="0"/>
              <w:marBottom w:val="0"/>
              <w:divBdr>
                <w:top w:val="none" w:sz="0" w:space="0" w:color="auto"/>
                <w:left w:val="none" w:sz="0" w:space="0" w:color="auto"/>
                <w:bottom w:val="none" w:sz="0" w:space="0" w:color="auto"/>
                <w:right w:val="none" w:sz="0" w:space="0" w:color="auto"/>
              </w:divBdr>
              <w:divsChild>
                <w:div w:id="1792551290">
                  <w:marLeft w:val="0"/>
                  <w:marRight w:val="0"/>
                  <w:marTop w:val="0"/>
                  <w:marBottom w:val="0"/>
                  <w:divBdr>
                    <w:top w:val="none" w:sz="0" w:space="0" w:color="auto"/>
                    <w:left w:val="none" w:sz="0" w:space="0" w:color="auto"/>
                    <w:bottom w:val="none" w:sz="0" w:space="0" w:color="auto"/>
                    <w:right w:val="none" w:sz="0" w:space="0" w:color="auto"/>
                  </w:divBdr>
                </w:div>
              </w:divsChild>
            </w:div>
            <w:div w:id="1343124077">
              <w:marLeft w:val="0"/>
              <w:marRight w:val="0"/>
              <w:marTop w:val="0"/>
              <w:marBottom w:val="0"/>
              <w:divBdr>
                <w:top w:val="none" w:sz="0" w:space="0" w:color="auto"/>
                <w:left w:val="none" w:sz="0" w:space="0" w:color="auto"/>
                <w:bottom w:val="none" w:sz="0" w:space="0" w:color="auto"/>
                <w:right w:val="none" w:sz="0" w:space="0" w:color="auto"/>
              </w:divBdr>
              <w:divsChild>
                <w:div w:id="332687603">
                  <w:marLeft w:val="0"/>
                  <w:marRight w:val="0"/>
                  <w:marTop w:val="0"/>
                  <w:marBottom w:val="0"/>
                  <w:divBdr>
                    <w:top w:val="none" w:sz="0" w:space="0" w:color="auto"/>
                    <w:left w:val="none" w:sz="0" w:space="0" w:color="auto"/>
                    <w:bottom w:val="none" w:sz="0" w:space="0" w:color="auto"/>
                    <w:right w:val="none" w:sz="0" w:space="0" w:color="auto"/>
                  </w:divBdr>
                </w:div>
              </w:divsChild>
            </w:div>
            <w:div w:id="1343124104">
              <w:marLeft w:val="0"/>
              <w:marRight w:val="0"/>
              <w:marTop w:val="0"/>
              <w:marBottom w:val="0"/>
              <w:divBdr>
                <w:top w:val="none" w:sz="0" w:space="0" w:color="auto"/>
                <w:left w:val="none" w:sz="0" w:space="0" w:color="auto"/>
                <w:bottom w:val="none" w:sz="0" w:space="0" w:color="auto"/>
                <w:right w:val="none" w:sz="0" w:space="0" w:color="auto"/>
              </w:divBdr>
              <w:divsChild>
                <w:div w:id="595021858">
                  <w:marLeft w:val="0"/>
                  <w:marRight w:val="0"/>
                  <w:marTop w:val="0"/>
                  <w:marBottom w:val="0"/>
                  <w:divBdr>
                    <w:top w:val="none" w:sz="0" w:space="0" w:color="auto"/>
                    <w:left w:val="none" w:sz="0" w:space="0" w:color="auto"/>
                    <w:bottom w:val="none" w:sz="0" w:space="0" w:color="auto"/>
                    <w:right w:val="none" w:sz="0" w:space="0" w:color="auto"/>
                  </w:divBdr>
                </w:div>
              </w:divsChild>
            </w:div>
            <w:div w:id="1343431405">
              <w:marLeft w:val="0"/>
              <w:marRight w:val="0"/>
              <w:marTop w:val="0"/>
              <w:marBottom w:val="0"/>
              <w:divBdr>
                <w:top w:val="none" w:sz="0" w:space="0" w:color="auto"/>
                <w:left w:val="none" w:sz="0" w:space="0" w:color="auto"/>
                <w:bottom w:val="none" w:sz="0" w:space="0" w:color="auto"/>
                <w:right w:val="none" w:sz="0" w:space="0" w:color="auto"/>
              </w:divBdr>
              <w:divsChild>
                <w:div w:id="1707825467">
                  <w:marLeft w:val="0"/>
                  <w:marRight w:val="0"/>
                  <w:marTop w:val="0"/>
                  <w:marBottom w:val="0"/>
                  <w:divBdr>
                    <w:top w:val="none" w:sz="0" w:space="0" w:color="auto"/>
                    <w:left w:val="none" w:sz="0" w:space="0" w:color="auto"/>
                    <w:bottom w:val="none" w:sz="0" w:space="0" w:color="auto"/>
                    <w:right w:val="none" w:sz="0" w:space="0" w:color="auto"/>
                  </w:divBdr>
                </w:div>
              </w:divsChild>
            </w:div>
            <w:div w:id="1346975369">
              <w:marLeft w:val="0"/>
              <w:marRight w:val="0"/>
              <w:marTop w:val="0"/>
              <w:marBottom w:val="0"/>
              <w:divBdr>
                <w:top w:val="none" w:sz="0" w:space="0" w:color="auto"/>
                <w:left w:val="none" w:sz="0" w:space="0" w:color="auto"/>
                <w:bottom w:val="none" w:sz="0" w:space="0" w:color="auto"/>
                <w:right w:val="none" w:sz="0" w:space="0" w:color="auto"/>
              </w:divBdr>
              <w:divsChild>
                <w:div w:id="613098297">
                  <w:marLeft w:val="0"/>
                  <w:marRight w:val="0"/>
                  <w:marTop w:val="0"/>
                  <w:marBottom w:val="0"/>
                  <w:divBdr>
                    <w:top w:val="none" w:sz="0" w:space="0" w:color="auto"/>
                    <w:left w:val="none" w:sz="0" w:space="0" w:color="auto"/>
                    <w:bottom w:val="none" w:sz="0" w:space="0" w:color="auto"/>
                    <w:right w:val="none" w:sz="0" w:space="0" w:color="auto"/>
                  </w:divBdr>
                </w:div>
              </w:divsChild>
            </w:div>
            <w:div w:id="1347363917">
              <w:marLeft w:val="0"/>
              <w:marRight w:val="0"/>
              <w:marTop w:val="0"/>
              <w:marBottom w:val="0"/>
              <w:divBdr>
                <w:top w:val="none" w:sz="0" w:space="0" w:color="auto"/>
                <w:left w:val="none" w:sz="0" w:space="0" w:color="auto"/>
                <w:bottom w:val="none" w:sz="0" w:space="0" w:color="auto"/>
                <w:right w:val="none" w:sz="0" w:space="0" w:color="auto"/>
              </w:divBdr>
              <w:divsChild>
                <w:div w:id="1248657934">
                  <w:marLeft w:val="0"/>
                  <w:marRight w:val="0"/>
                  <w:marTop w:val="0"/>
                  <w:marBottom w:val="0"/>
                  <w:divBdr>
                    <w:top w:val="none" w:sz="0" w:space="0" w:color="auto"/>
                    <w:left w:val="none" w:sz="0" w:space="0" w:color="auto"/>
                    <w:bottom w:val="none" w:sz="0" w:space="0" w:color="auto"/>
                    <w:right w:val="none" w:sz="0" w:space="0" w:color="auto"/>
                  </w:divBdr>
                </w:div>
              </w:divsChild>
            </w:div>
            <w:div w:id="1349091214">
              <w:marLeft w:val="0"/>
              <w:marRight w:val="0"/>
              <w:marTop w:val="0"/>
              <w:marBottom w:val="0"/>
              <w:divBdr>
                <w:top w:val="none" w:sz="0" w:space="0" w:color="auto"/>
                <w:left w:val="none" w:sz="0" w:space="0" w:color="auto"/>
                <w:bottom w:val="none" w:sz="0" w:space="0" w:color="auto"/>
                <w:right w:val="none" w:sz="0" w:space="0" w:color="auto"/>
              </w:divBdr>
              <w:divsChild>
                <w:div w:id="1783113282">
                  <w:marLeft w:val="0"/>
                  <w:marRight w:val="0"/>
                  <w:marTop w:val="0"/>
                  <w:marBottom w:val="0"/>
                  <w:divBdr>
                    <w:top w:val="none" w:sz="0" w:space="0" w:color="auto"/>
                    <w:left w:val="none" w:sz="0" w:space="0" w:color="auto"/>
                    <w:bottom w:val="none" w:sz="0" w:space="0" w:color="auto"/>
                    <w:right w:val="none" w:sz="0" w:space="0" w:color="auto"/>
                  </w:divBdr>
                </w:div>
              </w:divsChild>
            </w:div>
            <w:div w:id="1350839116">
              <w:marLeft w:val="0"/>
              <w:marRight w:val="0"/>
              <w:marTop w:val="0"/>
              <w:marBottom w:val="0"/>
              <w:divBdr>
                <w:top w:val="none" w:sz="0" w:space="0" w:color="auto"/>
                <w:left w:val="none" w:sz="0" w:space="0" w:color="auto"/>
                <w:bottom w:val="none" w:sz="0" w:space="0" w:color="auto"/>
                <w:right w:val="none" w:sz="0" w:space="0" w:color="auto"/>
              </w:divBdr>
              <w:divsChild>
                <w:div w:id="1074426997">
                  <w:marLeft w:val="0"/>
                  <w:marRight w:val="0"/>
                  <w:marTop w:val="0"/>
                  <w:marBottom w:val="0"/>
                  <w:divBdr>
                    <w:top w:val="none" w:sz="0" w:space="0" w:color="auto"/>
                    <w:left w:val="none" w:sz="0" w:space="0" w:color="auto"/>
                    <w:bottom w:val="none" w:sz="0" w:space="0" w:color="auto"/>
                    <w:right w:val="none" w:sz="0" w:space="0" w:color="auto"/>
                  </w:divBdr>
                </w:div>
              </w:divsChild>
            </w:div>
            <w:div w:id="1351489746">
              <w:marLeft w:val="0"/>
              <w:marRight w:val="0"/>
              <w:marTop w:val="0"/>
              <w:marBottom w:val="0"/>
              <w:divBdr>
                <w:top w:val="none" w:sz="0" w:space="0" w:color="auto"/>
                <w:left w:val="none" w:sz="0" w:space="0" w:color="auto"/>
                <w:bottom w:val="none" w:sz="0" w:space="0" w:color="auto"/>
                <w:right w:val="none" w:sz="0" w:space="0" w:color="auto"/>
              </w:divBdr>
              <w:divsChild>
                <w:div w:id="1478256843">
                  <w:marLeft w:val="0"/>
                  <w:marRight w:val="0"/>
                  <w:marTop w:val="0"/>
                  <w:marBottom w:val="0"/>
                  <w:divBdr>
                    <w:top w:val="none" w:sz="0" w:space="0" w:color="auto"/>
                    <w:left w:val="none" w:sz="0" w:space="0" w:color="auto"/>
                    <w:bottom w:val="none" w:sz="0" w:space="0" w:color="auto"/>
                    <w:right w:val="none" w:sz="0" w:space="0" w:color="auto"/>
                  </w:divBdr>
                </w:div>
              </w:divsChild>
            </w:div>
            <w:div w:id="1351834640">
              <w:marLeft w:val="0"/>
              <w:marRight w:val="0"/>
              <w:marTop w:val="0"/>
              <w:marBottom w:val="0"/>
              <w:divBdr>
                <w:top w:val="none" w:sz="0" w:space="0" w:color="auto"/>
                <w:left w:val="none" w:sz="0" w:space="0" w:color="auto"/>
                <w:bottom w:val="none" w:sz="0" w:space="0" w:color="auto"/>
                <w:right w:val="none" w:sz="0" w:space="0" w:color="auto"/>
              </w:divBdr>
              <w:divsChild>
                <w:div w:id="610942746">
                  <w:marLeft w:val="0"/>
                  <w:marRight w:val="0"/>
                  <w:marTop w:val="0"/>
                  <w:marBottom w:val="0"/>
                  <w:divBdr>
                    <w:top w:val="none" w:sz="0" w:space="0" w:color="auto"/>
                    <w:left w:val="none" w:sz="0" w:space="0" w:color="auto"/>
                    <w:bottom w:val="none" w:sz="0" w:space="0" w:color="auto"/>
                    <w:right w:val="none" w:sz="0" w:space="0" w:color="auto"/>
                  </w:divBdr>
                </w:div>
              </w:divsChild>
            </w:div>
            <w:div w:id="1352102190">
              <w:marLeft w:val="0"/>
              <w:marRight w:val="0"/>
              <w:marTop w:val="0"/>
              <w:marBottom w:val="0"/>
              <w:divBdr>
                <w:top w:val="none" w:sz="0" w:space="0" w:color="auto"/>
                <w:left w:val="none" w:sz="0" w:space="0" w:color="auto"/>
                <w:bottom w:val="none" w:sz="0" w:space="0" w:color="auto"/>
                <w:right w:val="none" w:sz="0" w:space="0" w:color="auto"/>
              </w:divBdr>
              <w:divsChild>
                <w:div w:id="1238320095">
                  <w:marLeft w:val="0"/>
                  <w:marRight w:val="0"/>
                  <w:marTop w:val="0"/>
                  <w:marBottom w:val="0"/>
                  <w:divBdr>
                    <w:top w:val="none" w:sz="0" w:space="0" w:color="auto"/>
                    <w:left w:val="none" w:sz="0" w:space="0" w:color="auto"/>
                    <w:bottom w:val="none" w:sz="0" w:space="0" w:color="auto"/>
                    <w:right w:val="none" w:sz="0" w:space="0" w:color="auto"/>
                  </w:divBdr>
                </w:div>
              </w:divsChild>
            </w:div>
            <w:div w:id="1354644903">
              <w:marLeft w:val="0"/>
              <w:marRight w:val="0"/>
              <w:marTop w:val="0"/>
              <w:marBottom w:val="0"/>
              <w:divBdr>
                <w:top w:val="none" w:sz="0" w:space="0" w:color="auto"/>
                <w:left w:val="none" w:sz="0" w:space="0" w:color="auto"/>
                <w:bottom w:val="none" w:sz="0" w:space="0" w:color="auto"/>
                <w:right w:val="none" w:sz="0" w:space="0" w:color="auto"/>
              </w:divBdr>
              <w:divsChild>
                <w:div w:id="909731739">
                  <w:marLeft w:val="0"/>
                  <w:marRight w:val="0"/>
                  <w:marTop w:val="0"/>
                  <w:marBottom w:val="0"/>
                  <w:divBdr>
                    <w:top w:val="none" w:sz="0" w:space="0" w:color="auto"/>
                    <w:left w:val="none" w:sz="0" w:space="0" w:color="auto"/>
                    <w:bottom w:val="none" w:sz="0" w:space="0" w:color="auto"/>
                    <w:right w:val="none" w:sz="0" w:space="0" w:color="auto"/>
                  </w:divBdr>
                </w:div>
              </w:divsChild>
            </w:div>
            <w:div w:id="1355350471">
              <w:marLeft w:val="0"/>
              <w:marRight w:val="0"/>
              <w:marTop w:val="0"/>
              <w:marBottom w:val="0"/>
              <w:divBdr>
                <w:top w:val="none" w:sz="0" w:space="0" w:color="auto"/>
                <w:left w:val="none" w:sz="0" w:space="0" w:color="auto"/>
                <w:bottom w:val="none" w:sz="0" w:space="0" w:color="auto"/>
                <w:right w:val="none" w:sz="0" w:space="0" w:color="auto"/>
              </w:divBdr>
              <w:divsChild>
                <w:div w:id="455215981">
                  <w:marLeft w:val="0"/>
                  <w:marRight w:val="0"/>
                  <w:marTop w:val="0"/>
                  <w:marBottom w:val="0"/>
                  <w:divBdr>
                    <w:top w:val="none" w:sz="0" w:space="0" w:color="auto"/>
                    <w:left w:val="none" w:sz="0" w:space="0" w:color="auto"/>
                    <w:bottom w:val="none" w:sz="0" w:space="0" w:color="auto"/>
                    <w:right w:val="none" w:sz="0" w:space="0" w:color="auto"/>
                  </w:divBdr>
                </w:div>
              </w:divsChild>
            </w:div>
            <w:div w:id="1357730081">
              <w:marLeft w:val="0"/>
              <w:marRight w:val="0"/>
              <w:marTop w:val="0"/>
              <w:marBottom w:val="0"/>
              <w:divBdr>
                <w:top w:val="none" w:sz="0" w:space="0" w:color="auto"/>
                <w:left w:val="none" w:sz="0" w:space="0" w:color="auto"/>
                <w:bottom w:val="none" w:sz="0" w:space="0" w:color="auto"/>
                <w:right w:val="none" w:sz="0" w:space="0" w:color="auto"/>
              </w:divBdr>
              <w:divsChild>
                <w:div w:id="391975199">
                  <w:marLeft w:val="0"/>
                  <w:marRight w:val="0"/>
                  <w:marTop w:val="0"/>
                  <w:marBottom w:val="0"/>
                  <w:divBdr>
                    <w:top w:val="none" w:sz="0" w:space="0" w:color="auto"/>
                    <w:left w:val="none" w:sz="0" w:space="0" w:color="auto"/>
                    <w:bottom w:val="none" w:sz="0" w:space="0" w:color="auto"/>
                    <w:right w:val="none" w:sz="0" w:space="0" w:color="auto"/>
                  </w:divBdr>
                </w:div>
              </w:divsChild>
            </w:div>
            <w:div w:id="1359351468">
              <w:marLeft w:val="0"/>
              <w:marRight w:val="0"/>
              <w:marTop w:val="0"/>
              <w:marBottom w:val="0"/>
              <w:divBdr>
                <w:top w:val="none" w:sz="0" w:space="0" w:color="auto"/>
                <w:left w:val="none" w:sz="0" w:space="0" w:color="auto"/>
                <w:bottom w:val="none" w:sz="0" w:space="0" w:color="auto"/>
                <w:right w:val="none" w:sz="0" w:space="0" w:color="auto"/>
              </w:divBdr>
              <w:divsChild>
                <w:div w:id="859123934">
                  <w:marLeft w:val="0"/>
                  <w:marRight w:val="0"/>
                  <w:marTop w:val="0"/>
                  <w:marBottom w:val="0"/>
                  <w:divBdr>
                    <w:top w:val="none" w:sz="0" w:space="0" w:color="auto"/>
                    <w:left w:val="none" w:sz="0" w:space="0" w:color="auto"/>
                    <w:bottom w:val="none" w:sz="0" w:space="0" w:color="auto"/>
                    <w:right w:val="none" w:sz="0" w:space="0" w:color="auto"/>
                  </w:divBdr>
                </w:div>
              </w:divsChild>
            </w:div>
            <w:div w:id="1362508133">
              <w:marLeft w:val="0"/>
              <w:marRight w:val="0"/>
              <w:marTop w:val="0"/>
              <w:marBottom w:val="0"/>
              <w:divBdr>
                <w:top w:val="none" w:sz="0" w:space="0" w:color="auto"/>
                <w:left w:val="none" w:sz="0" w:space="0" w:color="auto"/>
                <w:bottom w:val="none" w:sz="0" w:space="0" w:color="auto"/>
                <w:right w:val="none" w:sz="0" w:space="0" w:color="auto"/>
              </w:divBdr>
              <w:divsChild>
                <w:div w:id="1617829445">
                  <w:marLeft w:val="0"/>
                  <w:marRight w:val="0"/>
                  <w:marTop w:val="0"/>
                  <w:marBottom w:val="0"/>
                  <w:divBdr>
                    <w:top w:val="none" w:sz="0" w:space="0" w:color="auto"/>
                    <w:left w:val="none" w:sz="0" w:space="0" w:color="auto"/>
                    <w:bottom w:val="none" w:sz="0" w:space="0" w:color="auto"/>
                    <w:right w:val="none" w:sz="0" w:space="0" w:color="auto"/>
                  </w:divBdr>
                </w:div>
              </w:divsChild>
            </w:div>
            <w:div w:id="1365472966">
              <w:marLeft w:val="0"/>
              <w:marRight w:val="0"/>
              <w:marTop w:val="0"/>
              <w:marBottom w:val="0"/>
              <w:divBdr>
                <w:top w:val="none" w:sz="0" w:space="0" w:color="auto"/>
                <w:left w:val="none" w:sz="0" w:space="0" w:color="auto"/>
                <w:bottom w:val="none" w:sz="0" w:space="0" w:color="auto"/>
                <w:right w:val="none" w:sz="0" w:space="0" w:color="auto"/>
              </w:divBdr>
              <w:divsChild>
                <w:div w:id="1257245859">
                  <w:marLeft w:val="0"/>
                  <w:marRight w:val="0"/>
                  <w:marTop w:val="0"/>
                  <w:marBottom w:val="0"/>
                  <w:divBdr>
                    <w:top w:val="none" w:sz="0" w:space="0" w:color="auto"/>
                    <w:left w:val="none" w:sz="0" w:space="0" w:color="auto"/>
                    <w:bottom w:val="none" w:sz="0" w:space="0" w:color="auto"/>
                    <w:right w:val="none" w:sz="0" w:space="0" w:color="auto"/>
                  </w:divBdr>
                </w:div>
              </w:divsChild>
            </w:div>
            <w:div w:id="1365866347">
              <w:marLeft w:val="0"/>
              <w:marRight w:val="0"/>
              <w:marTop w:val="0"/>
              <w:marBottom w:val="0"/>
              <w:divBdr>
                <w:top w:val="none" w:sz="0" w:space="0" w:color="auto"/>
                <w:left w:val="none" w:sz="0" w:space="0" w:color="auto"/>
                <w:bottom w:val="none" w:sz="0" w:space="0" w:color="auto"/>
                <w:right w:val="none" w:sz="0" w:space="0" w:color="auto"/>
              </w:divBdr>
              <w:divsChild>
                <w:div w:id="306478091">
                  <w:marLeft w:val="0"/>
                  <w:marRight w:val="0"/>
                  <w:marTop w:val="0"/>
                  <w:marBottom w:val="0"/>
                  <w:divBdr>
                    <w:top w:val="none" w:sz="0" w:space="0" w:color="auto"/>
                    <w:left w:val="none" w:sz="0" w:space="0" w:color="auto"/>
                    <w:bottom w:val="none" w:sz="0" w:space="0" w:color="auto"/>
                    <w:right w:val="none" w:sz="0" w:space="0" w:color="auto"/>
                  </w:divBdr>
                </w:div>
              </w:divsChild>
            </w:div>
            <w:div w:id="1367483681">
              <w:marLeft w:val="0"/>
              <w:marRight w:val="0"/>
              <w:marTop w:val="300"/>
              <w:marBottom w:val="300"/>
              <w:divBdr>
                <w:top w:val="none" w:sz="0" w:space="0" w:color="auto"/>
                <w:left w:val="none" w:sz="0" w:space="0" w:color="auto"/>
                <w:bottom w:val="none" w:sz="0" w:space="0" w:color="auto"/>
                <w:right w:val="none" w:sz="0" w:space="0" w:color="auto"/>
              </w:divBdr>
            </w:div>
            <w:div w:id="1368336906">
              <w:marLeft w:val="0"/>
              <w:marRight w:val="0"/>
              <w:marTop w:val="0"/>
              <w:marBottom w:val="0"/>
              <w:divBdr>
                <w:top w:val="none" w:sz="0" w:space="0" w:color="auto"/>
                <w:left w:val="none" w:sz="0" w:space="0" w:color="auto"/>
                <w:bottom w:val="none" w:sz="0" w:space="0" w:color="auto"/>
                <w:right w:val="none" w:sz="0" w:space="0" w:color="auto"/>
              </w:divBdr>
              <w:divsChild>
                <w:div w:id="712774259">
                  <w:marLeft w:val="0"/>
                  <w:marRight w:val="0"/>
                  <w:marTop w:val="0"/>
                  <w:marBottom w:val="0"/>
                  <w:divBdr>
                    <w:top w:val="none" w:sz="0" w:space="0" w:color="auto"/>
                    <w:left w:val="none" w:sz="0" w:space="0" w:color="auto"/>
                    <w:bottom w:val="none" w:sz="0" w:space="0" w:color="auto"/>
                    <w:right w:val="none" w:sz="0" w:space="0" w:color="auto"/>
                  </w:divBdr>
                </w:div>
              </w:divsChild>
            </w:div>
            <w:div w:id="1371302336">
              <w:marLeft w:val="0"/>
              <w:marRight w:val="0"/>
              <w:marTop w:val="300"/>
              <w:marBottom w:val="300"/>
              <w:divBdr>
                <w:top w:val="none" w:sz="0" w:space="0" w:color="auto"/>
                <w:left w:val="none" w:sz="0" w:space="0" w:color="auto"/>
                <w:bottom w:val="none" w:sz="0" w:space="0" w:color="auto"/>
                <w:right w:val="none" w:sz="0" w:space="0" w:color="auto"/>
              </w:divBdr>
            </w:div>
            <w:div w:id="1372992377">
              <w:marLeft w:val="0"/>
              <w:marRight w:val="0"/>
              <w:marTop w:val="0"/>
              <w:marBottom w:val="0"/>
              <w:divBdr>
                <w:top w:val="none" w:sz="0" w:space="0" w:color="auto"/>
                <w:left w:val="none" w:sz="0" w:space="0" w:color="auto"/>
                <w:bottom w:val="none" w:sz="0" w:space="0" w:color="auto"/>
                <w:right w:val="none" w:sz="0" w:space="0" w:color="auto"/>
              </w:divBdr>
              <w:divsChild>
                <w:div w:id="88043957">
                  <w:marLeft w:val="0"/>
                  <w:marRight w:val="0"/>
                  <w:marTop w:val="0"/>
                  <w:marBottom w:val="0"/>
                  <w:divBdr>
                    <w:top w:val="none" w:sz="0" w:space="0" w:color="auto"/>
                    <w:left w:val="none" w:sz="0" w:space="0" w:color="auto"/>
                    <w:bottom w:val="none" w:sz="0" w:space="0" w:color="auto"/>
                    <w:right w:val="none" w:sz="0" w:space="0" w:color="auto"/>
                  </w:divBdr>
                </w:div>
              </w:divsChild>
            </w:div>
            <w:div w:id="1373116676">
              <w:marLeft w:val="0"/>
              <w:marRight w:val="0"/>
              <w:marTop w:val="0"/>
              <w:marBottom w:val="0"/>
              <w:divBdr>
                <w:top w:val="none" w:sz="0" w:space="0" w:color="auto"/>
                <w:left w:val="none" w:sz="0" w:space="0" w:color="auto"/>
                <w:bottom w:val="none" w:sz="0" w:space="0" w:color="auto"/>
                <w:right w:val="none" w:sz="0" w:space="0" w:color="auto"/>
              </w:divBdr>
              <w:divsChild>
                <w:div w:id="774176830">
                  <w:marLeft w:val="0"/>
                  <w:marRight w:val="0"/>
                  <w:marTop w:val="0"/>
                  <w:marBottom w:val="0"/>
                  <w:divBdr>
                    <w:top w:val="none" w:sz="0" w:space="0" w:color="auto"/>
                    <w:left w:val="none" w:sz="0" w:space="0" w:color="auto"/>
                    <w:bottom w:val="none" w:sz="0" w:space="0" w:color="auto"/>
                    <w:right w:val="none" w:sz="0" w:space="0" w:color="auto"/>
                  </w:divBdr>
                </w:div>
              </w:divsChild>
            </w:div>
            <w:div w:id="1373265928">
              <w:marLeft w:val="0"/>
              <w:marRight w:val="0"/>
              <w:marTop w:val="0"/>
              <w:marBottom w:val="0"/>
              <w:divBdr>
                <w:top w:val="none" w:sz="0" w:space="0" w:color="auto"/>
                <w:left w:val="none" w:sz="0" w:space="0" w:color="auto"/>
                <w:bottom w:val="none" w:sz="0" w:space="0" w:color="auto"/>
                <w:right w:val="none" w:sz="0" w:space="0" w:color="auto"/>
              </w:divBdr>
              <w:divsChild>
                <w:div w:id="183135629">
                  <w:marLeft w:val="0"/>
                  <w:marRight w:val="0"/>
                  <w:marTop w:val="0"/>
                  <w:marBottom w:val="0"/>
                  <w:divBdr>
                    <w:top w:val="none" w:sz="0" w:space="0" w:color="auto"/>
                    <w:left w:val="none" w:sz="0" w:space="0" w:color="auto"/>
                    <w:bottom w:val="none" w:sz="0" w:space="0" w:color="auto"/>
                    <w:right w:val="none" w:sz="0" w:space="0" w:color="auto"/>
                  </w:divBdr>
                </w:div>
              </w:divsChild>
            </w:div>
            <w:div w:id="1374381568">
              <w:marLeft w:val="0"/>
              <w:marRight w:val="0"/>
              <w:marTop w:val="0"/>
              <w:marBottom w:val="0"/>
              <w:divBdr>
                <w:top w:val="none" w:sz="0" w:space="0" w:color="auto"/>
                <w:left w:val="none" w:sz="0" w:space="0" w:color="auto"/>
                <w:bottom w:val="none" w:sz="0" w:space="0" w:color="auto"/>
                <w:right w:val="none" w:sz="0" w:space="0" w:color="auto"/>
              </w:divBdr>
              <w:divsChild>
                <w:div w:id="593781535">
                  <w:marLeft w:val="0"/>
                  <w:marRight w:val="0"/>
                  <w:marTop w:val="0"/>
                  <w:marBottom w:val="0"/>
                  <w:divBdr>
                    <w:top w:val="none" w:sz="0" w:space="0" w:color="auto"/>
                    <w:left w:val="none" w:sz="0" w:space="0" w:color="auto"/>
                    <w:bottom w:val="none" w:sz="0" w:space="0" w:color="auto"/>
                    <w:right w:val="none" w:sz="0" w:space="0" w:color="auto"/>
                  </w:divBdr>
                </w:div>
              </w:divsChild>
            </w:div>
            <w:div w:id="1375231436">
              <w:marLeft w:val="0"/>
              <w:marRight w:val="0"/>
              <w:marTop w:val="0"/>
              <w:marBottom w:val="0"/>
              <w:divBdr>
                <w:top w:val="none" w:sz="0" w:space="0" w:color="auto"/>
                <w:left w:val="none" w:sz="0" w:space="0" w:color="auto"/>
                <w:bottom w:val="none" w:sz="0" w:space="0" w:color="auto"/>
                <w:right w:val="none" w:sz="0" w:space="0" w:color="auto"/>
              </w:divBdr>
              <w:divsChild>
                <w:div w:id="15086437">
                  <w:marLeft w:val="0"/>
                  <w:marRight w:val="0"/>
                  <w:marTop w:val="0"/>
                  <w:marBottom w:val="0"/>
                  <w:divBdr>
                    <w:top w:val="none" w:sz="0" w:space="0" w:color="auto"/>
                    <w:left w:val="none" w:sz="0" w:space="0" w:color="auto"/>
                    <w:bottom w:val="none" w:sz="0" w:space="0" w:color="auto"/>
                    <w:right w:val="none" w:sz="0" w:space="0" w:color="auto"/>
                  </w:divBdr>
                </w:div>
              </w:divsChild>
            </w:div>
            <w:div w:id="1375889479">
              <w:marLeft w:val="0"/>
              <w:marRight w:val="0"/>
              <w:marTop w:val="0"/>
              <w:marBottom w:val="0"/>
              <w:divBdr>
                <w:top w:val="none" w:sz="0" w:space="0" w:color="auto"/>
                <w:left w:val="none" w:sz="0" w:space="0" w:color="auto"/>
                <w:bottom w:val="none" w:sz="0" w:space="0" w:color="auto"/>
                <w:right w:val="none" w:sz="0" w:space="0" w:color="auto"/>
              </w:divBdr>
              <w:divsChild>
                <w:div w:id="116460517">
                  <w:marLeft w:val="0"/>
                  <w:marRight w:val="0"/>
                  <w:marTop w:val="0"/>
                  <w:marBottom w:val="0"/>
                  <w:divBdr>
                    <w:top w:val="none" w:sz="0" w:space="0" w:color="auto"/>
                    <w:left w:val="none" w:sz="0" w:space="0" w:color="auto"/>
                    <w:bottom w:val="none" w:sz="0" w:space="0" w:color="auto"/>
                    <w:right w:val="none" w:sz="0" w:space="0" w:color="auto"/>
                  </w:divBdr>
                </w:div>
              </w:divsChild>
            </w:div>
            <w:div w:id="1377000048">
              <w:marLeft w:val="0"/>
              <w:marRight w:val="0"/>
              <w:marTop w:val="0"/>
              <w:marBottom w:val="0"/>
              <w:divBdr>
                <w:top w:val="none" w:sz="0" w:space="0" w:color="auto"/>
                <w:left w:val="none" w:sz="0" w:space="0" w:color="auto"/>
                <w:bottom w:val="none" w:sz="0" w:space="0" w:color="auto"/>
                <w:right w:val="none" w:sz="0" w:space="0" w:color="auto"/>
              </w:divBdr>
              <w:divsChild>
                <w:div w:id="451633458">
                  <w:marLeft w:val="0"/>
                  <w:marRight w:val="0"/>
                  <w:marTop w:val="0"/>
                  <w:marBottom w:val="0"/>
                  <w:divBdr>
                    <w:top w:val="none" w:sz="0" w:space="0" w:color="auto"/>
                    <w:left w:val="none" w:sz="0" w:space="0" w:color="auto"/>
                    <w:bottom w:val="none" w:sz="0" w:space="0" w:color="auto"/>
                    <w:right w:val="none" w:sz="0" w:space="0" w:color="auto"/>
                  </w:divBdr>
                </w:div>
              </w:divsChild>
            </w:div>
            <w:div w:id="1378581835">
              <w:marLeft w:val="0"/>
              <w:marRight w:val="0"/>
              <w:marTop w:val="0"/>
              <w:marBottom w:val="0"/>
              <w:divBdr>
                <w:top w:val="none" w:sz="0" w:space="0" w:color="auto"/>
                <w:left w:val="none" w:sz="0" w:space="0" w:color="auto"/>
                <w:bottom w:val="none" w:sz="0" w:space="0" w:color="auto"/>
                <w:right w:val="none" w:sz="0" w:space="0" w:color="auto"/>
              </w:divBdr>
              <w:divsChild>
                <w:div w:id="551697574">
                  <w:marLeft w:val="0"/>
                  <w:marRight w:val="0"/>
                  <w:marTop w:val="0"/>
                  <w:marBottom w:val="0"/>
                  <w:divBdr>
                    <w:top w:val="none" w:sz="0" w:space="0" w:color="auto"/>
                    <w:left w:val="none" w:sz="0" w:space="0" w:color="auto"/>
                    <w:bottom w:val="none" w:sz="0" w:space="0" w:color="auto"/>
                    <w:right w:val="none" w:sz="0" w:space="0" w:color="auto"/>
                  </w:divBdr>
                </w:div>
              </w:divsChild>
            </w:div>
            <w:div w:id="1378696924">
              <w:marLeft w:val="0"/>
              <w:marRight w:val="0"/>
              <w:marTop w:val="0"/>
              <w:marBottom w:val="0"/>
              <w:divBdr>
                <w:top w:val="none" w:sz="0" w:space="0" w:color="auto"/>
                <w:left w:val="none" w:sz="0" w:space="0" w:color="auto"/>
                <w:bottom w:val="none" w:sz="0" w:space="0" w:color="auto"/>
                <w:right w:val="none" w:sz="0" w:space="0" w:color="auto"/>
              </w:divBdr>
              <w:divsChild>
                <w:div w:id="1084843971">
                  <w:marLeft w:val="0"/>
                  <w:marRight w:val="0"/>
                  <w:marTop w:val="0"/>
                  <w:marBottom w:val="0"/>
                  <w:divBdr>
                    <w:top w:val="none" w:sz="0" w:space="0" w:color="auto"/>
                    <w:left w:val="none" w:sz="0" w:space="0" w:color="auto"/>
                    <w:bottom w:val="none" w:sz="0" w:space="0" w:color="auto"/>
                    <w:right w:val="none" w:sz="0" w:space="0" w:color="auto"/>
                  </w:divBdr>
                </w:div>
              </w:divsChild>
            </w:div>
            <w:div w:id="1382442296">
              <w:marLeft w:val="0"/>
              <w:marRight w:val="0"/>
              <w:marTop w:val="0"/>
              <w:marBottom w:val="0"/>
              <w:divBdr>
                <w:top w:val="none" w:sz="0" w:space="0" w:color="auto"/>
                <w:left w:val="none" w:sz="0" w:space="0" w:color="auto"/>
                <w:bottom w:val="none" w:sz="0" w:space="0" w:color="auto"/>
                <w:right w:val="none" w:sz="0" w:space="0" w:color="auto"/>
              </w:divBdr>
              <w:divsChild>
                <w:div w:id="1455632289">
                  <w:marLeft w:val="0"/>
                  <w:marRight w:val="0"/>
                  <w:marTop w:val="0"/>
                  <w:marBottom w:val="0"/>
                  <w:divBdr>
                    <w:top w:val="none" w:sz="0" w:space="0" w:color="auto"/>
                    <w:left w:val="none" w:sz="0" w:space="0" w:color="auto"/>
                    <w:bottom w:val="none" w:sz="0" w:space="0" w:color="auto"/>
                    <w:right w:val="none" w:sz="0" w:space="0" w:color="auto"/>
                  </w:divBdr>
                </w:div>
              </w:divsChild>
            </w:div>
            <w:div w:id="1383863577">
              <w:marLeft w:val="0"/>
              <w:marRight w:val="0"/>
              <w:marTop w:val="300"/>
              <w:marBottom w:val="300"/>
              <w:divBdr>
                <w:top w:val="none" w:sz="0" w:space="0" w:color="auto"/>
                <w:left w:val="none" w:sz="0" w:space="0" w:color="auto"/>
                <w:bottom w:val="none" w:sz="0" w:space="0" w:color="auto"/>
                <w:right w:val="none" w:sz="0" w:space="0" w:color="auto"/>
              </w:divBdr>
            </w:div>
            <w:div w:id="1384208880">
              <w:marLeft w:val="0"/>
              <w:marRight w:val="0"/>
              <w:marTop w:val="0"/>
              <w:marBottom w:val="0"/>
              <w:divBdr>
                <w:top w:val="none" w:sz="0" w:space="0" w:color="auto"/>
                <w:left w:val="none" w:sz="0" w:space="0" w:color="auto"/>
                <w:bottom w:val="none" w:sz="0" w:space="0" w:color="auto"/>
                <w:right w:val="none" w:sz="0" w:space="0" w:color="auto"/>
              </w:divBdr>
              <w:divsChild>
                <w:div w:id="111284784">
                  <w:marLeft w:val="0"/>
                  <w:marRight w:val="0"/>
                  <w:marTop w:val="0"/>
                  <w:marBottom w:val="0"/>
                  <w:divBdr>
                    <w:top w:val="none" w:sz="0" w:space="0" w:color="auto"/>
                    <w:left w:val="none" w:sz="0" w:space="0" w:color="auto"/>
                    <w:bottom w:val="none" w:sz="0" w:space="0" w:color="auto"/>
                    <w:right w:val="none" w:sz="0" w:space="0" w:color="auto"/>
                  </w:divBdr>
                </w:div>
              </w:divsChild>
            </w:div>
            <w:div w:id="1386026342">
              <w:marLeft w:val="0"/>
              <w:marRight w:val="0"/>
              <w:marTop w:val="300"/>
              <w:marBottom w:val="300"/>
              <w:divBdr>
                <w:top w:val="none" w:sz="0" w:space="0" w:color="auto"/>
                <w:left w:val="none" w:sz="0" w:space="0" w:color="auto"/>
                <w:bottom w:val="none" w:sz="0" w:space="0" w:color="auto"/>
                <w:right w:val="none" w:sz="0" w:space="0" w:color="auto"/>
              </w:divBdr>
            </w:div>
            <w:div w:id="1386756387">
              <w:marLeft w:val="0"/>
              <w:marRight w:val="0"/>
              <w:marTop w:val="0"/>
              <w:marBottom w:val="0"/>
              <w:divBdr>
                <w:top w:val="none" w:sz="0" w:space="0" w:color="auto"/>
                <w:left w:val="none" w:sz="0" w:space="0" w:color="auto"/>
                <w:bottom w:val="none" w:sz="0" w:space="0" w:color="auto"/>
                <w:right w:val="none" w:sz="0" w:space="0" w:color="auto"/>
              </w:divBdr>
              <w:divsChild>
                <w:div w:id="316080400">
                  <w:marLeft w:val="0"/>
                  <w:marRight w:val="0"/>
                  <w:marTop w:val="0"/>
                  <w:marBottom w:val="0"/>
                  <w:divBdr>
                    <w:top w:val="none" w:sz="0" w:space="0" w:color="auto"/>
                    <w:left w:val="none" w:sz="0" w:space="0" w:color="auto"/>
                    <w:bottom w:val="none" w:sz="0" w:space="0" w:color="auto"/>
                    <w:right w:val="none" w:sz="0" w:space="0" w:color="auto"/>
                  </w:divBdr>
                </w:div>
              </w:divsChild>
            </w:div>
            <w:div w:id="1390807900">
              <w:marLeft w:val="0"/>
              <w:marRight w:val="0"/>
              <w:marTop w:val="0"/>
              <w:marBottom w:val="0"/>
              <w:divBdr>
                <w:top w:val="none" w:sz="0" w:space="0" w:color="auto"/>
                <w:left w:val="none" w:sz="0" w:space="0" w:color="auto"/>
                <w:bottom w:val="none" w:sz="0" w:space="0" w:color="auto"/>
                <w:right w:val="none" w:sz="0" w:space="0" w:color="auto"/>
              </w:divBdr>
              <w:divsChild>
                <w:div w:id="100272070">
                  <w:marLeft w:val="0"/>
                  <w:marRight w:val="0"/>
                  <w:marTop w:val="0"/>
                  <w:marBottom w:val="0"/>
                  <w:divBdr>
                    <w:top w:val="none" w:sz="0" w:space="0" w:color="auto"/>
                    <w:left w:val="none" w:sz="0" w:space="0" w:color="auto"/>
                    <w:bottom w:val="none" w:sz="0" w:space="0" w:color="auto"/>
                    <w:right w:val="none" w:sz="0" w:space="0" w:color="auto"/>
                  </w:divBdr>
                </w:div>
              </w:divsChild>
            </w:div>
            <w:div w:id="1392195045">
              <w:marLeft w:val="0"/>
              <w:marRight w:val="0"/>
              <w:marTop w:val="0"/>
              <w:marBottom w:val="0"/>
              <w:divBdr>
                <w:top w:val="none" w:sz="0" w:space="0" w:color="auto"/>
                <w:left w:val="none" w:sz="0" w:space="0" w:color="auto"/>
                <w:bottom w:val="none" w:sz="0" w:space="0" w:color="auto"/>
                <w:right w:val="none" w:sz="0" w:space="0" w:color="auto"/>
              </w:divBdr>
              <w:divsChild>
                <w:div w:id="1095907671">
                  <w:marLeft w:val="0"/>
                  <w:marRight w:val="0"/>
                  <w:marTop w:val="0"/>
                  <w:marBottom w:val="0"/>
                  <w:divBdr>
                    <w:top w:val="none" w:sz="0" w:space="0" w:color="auto"/>
                    <w:left w:val="none" w:sz="0" w:space="0" w:color="auto"/>
                    <w:bottom w:val="none" w:sz="0" w:space="0" w:color="auto"/>
                    <w:right w:val="none" w:sz="0" w:space="0" w:color="auto"/>
                  </w:divBdr>
                </w:div>
              </w:divsChild>
            </w:div>
            <w:div w:id="1392461648">
              <w:marLeft w:val="0"/>
              <w:marRight w:val="0"/>
              <w:marTop w:val="300"/>
              <w:marBottom w:val="300"/>
              <w:divBdr>
                <w:top w:val="none" w:sz="0" w:space="0" w:color="auto"/>
                <w:left w:val="none" w:sz="0" w:space="0" w:color="auto"/>
                <w:bottom w:val="none" w:sz="0" w:space="0" w:color="auto"/>
                <w:right w:val="none" w:sz="0" w:space="0" w:color="auto"/>
              </w:divBdr>
            </w:div>
            <w:div w:id="1392462716">
              <w:marLeft w:val="0"/>
              <w:marRight w:val="0"/>
              <w:marTop w:val="0"/>
              <w:marBottom w:val="0"/>
              <w:divBdr>
                <w:top w:val="none" w:sz="0" w:space="0" w:color="auto"/>
                <w:left w:val="none" w:sz="0" w:space="0" w:color="auto"/>
                <w:bottom w:val="none" w:sz="0" w:space="0" w:color="auto"/>
                <w:right w:val="none" w:sz="0" w:space="0" w:color="auto"/>
              </w:divBdr>
              <w:divsChild>
                <w:div w:id="785739793">
                  <w:marLeft w:val="0"/>
                  <w:marRight w:val="0"/>
                  <w:marTop w:val="0"/>
                  <w:marBottom w:val="0"/>
                  <w:divBdr>
                    <w:top w:val="none" w:sz="0" w:space="0" w:color="auto"/>
                    <w:left w:val="none" w:sz="0" w:space="0" w:color="auto"/>
                    <w:bottom w:val="none" w:sz="0" w:space="0" w:color="auto"/>
                    <w:right w:val="none" w:sz="0" w:space="0" w:color="auto"/>
                  </w:divBdr>
                </w:div>
              </w:divsChild>
            </w:div>
            <w:div w:id="1393114947">
              <w:marLeft w:val="0"/>
              <w:marRight w:val="0"/>
              <w:marTop w:val="300"/>
              <w:marBottom w:val="300"/>
              <w:divBdr>
                <w:top w:val="none" w:sz="0" w:space="0" w:color="auto"/>
                <w:left w:val="none" w:sz="0" w:space="0" w:color="auto"/>
                <w:bottom w:val="none" w:sz="0" w:space="0" w:color="auto"/>
                <w:right w:val="none" w:sz="0" w:space="0" w:color="auto"/>
              </w:divBdr>
            </w:div>
            <w:div w:id="1393771202">
              <w:marLeft w:val="0"/>
              <w:marRight w:val="0"/>
              <w:marTop w:val="0"/>
              <w:marBottom w:val="0"/>
              <w:divBdr>
                <w:top w:val="none" w:sz="0" w:space="0" w:color="auto"/>
                <w:left w:val="none" w:sz="0" w:space="0" w:color="auto"/>
                <w:bottom w:val="none" w:sz="0" w:space="0" w:color="auto"/>
                <w:right w:val="none" w:sz="0" w:space="0" w:color="auto"/>
              </w:divBdr>
              <w:divsChild>
                <w:div w:id="2021541308">
                  <w:marLeft w:val="0"/>
                  <w:marRight w:val="0"/>
                  <w:marTop w:val="0"/>
                  <w:marBottom w:val="0"/>
                  <w:divBdr>
                    <w:top w:val="none" w:sz="0" w:space="0" w:color="auto"/>
                    <w:left w:val="none" w:sz="0" w:space="0" w:color="auto"/>
                    <w:bottom w:val="none" w:sz="0" w:space="0" w:color="auto"/>
                    <w:right w:val="none" w:sz="0" w:space="0" w:color="auto"/>
                  </w:divBdr>
                </w:div>
              </w:divsChild>
            </w:div>
            <w:div w:id="1394045560">
              <w:marLeft w:val="0"/>
              <w:marRight w:val="0"/>
              <w:marTop w:val="0"/>
              <w:marBottom w:val="0"/>
              <w:divBdr>
                <w:top w:val="none" w:sz="0" w:space="0" w:color="auto"/>
                <w:left w:val="none" w:sz="0" w:space="0" w:color="auto"/>
                <w:bottom w:val="none" w:sz="0" w:space="0" w:color="auto"/>
                <w:right w:val="none" w:sz="0" w:space="0" w:color="auto"/>
              </w:divBdr>
              <w:divsChild>
                <w:div w:id="29502793">
                  <w:marLeft w:val="0"/>
                  <w:marRight w:val="0"/>
                  <w:marTop w:val="0"/>
                  <w:marBottom w:val="0"/>
                  <w:divBdr>
                    <w:top w:val="none" w:sz="0" w:space="0" w:color="auto"/>
                    <w:left w:val="none" w:sz="0" w:space="0" w:color="auto"/>
                    <w:bottom w:val="none" w:sz="0" w:space="0" w:color="auto"/>
                    <w:right w:val="none" w:sz="0" w:space="0" w:color="auto"/>
                  </w:divBdr>
                </w:div>
              </w:divsChild>
            </w:div>
            <w:div w:id="1395465032">
              <w:marLeft w:val="0"/>
              <w:marRight w:val="0"/>
              <w:marTop w:val="0"/>
              <w:marBottom w:val="0"/>
              <w:divBdr>
                <w:top w:val="none" w:sz="0" w:space="0" w:color="auto"/>
                <w:left w:val="none" w:sz="0" w:space="0" w:color="auto"/>
                <w:bottom w:val="none" w:sz="0" w:space="0" w:color="auto"/>
                <w:right w:val="none" w:sz="0" w:space="0" w:color="auto"/>
              </w:divBdr>
              <w:divsChild>
                <w:div w:id="139930652">
                  <w:marLeft w:val="0"/>
                  <w:marRight w:val="0"/>
                  <w:marTop w:val="0"/>
                  <w:marBottom w:val="0"/>
                  <w:divBdr>
                    <w:top w:val="none" w:sz="0" w:space="0" w:color="auto"/>
                    <w:left w:val="none" w:sz="0" w:space="0" w:color="auto"/>
                    <w:bottom w:val="none" w:sz="0" w:space="0" w:color="auto"/>
                    <w:right w:val="none" w:sz="0" w:space="0" w:color="auto"/>
                  </w:divBdr>
                </w:div>
              </w:divsChild>
            </w:div>
            <w:div w:id="1396002656">
              <w:marLeft w:val="0"/>
              <w:marRight w:val="0"/>
              <w:marTop w:val="0"/>
              <w:marBottom w:val="0"/>
              <w:divBdr>
                <w:top w:val="none" w:sz="0" w:space="0" w:color="auto"/>
                <w:left w:val="none" w:sz="0" w:space="0" w:color="auto"/>
                <w:bottom w:val="none" w:sz="0" w:space="0" w:color="auto"/>
                <w:right w:val="none" w:sz="0" w:space="0" w:color="auto"/>
              </w:divBdr>
              <w:divsChild>
                <w:div w:id="247547154">
                  <w:marLeft w:val="0"/>
                  <w:marRight w:val="0"/>
                  <w:marTop w:val="0"/>
                  <w:marBottom w:val="0"/>
                  <w:divBdr>
                    <w:top w:val="none" w:sz="0" w:space="0" w:color="auto"/>
                    <w:left w:val="none" w:sz="0" w:space="0" w:color="auto"/>
                    <w:bottom w:val="none" w:sz="0" w:space="0" w:color="auto"/>
                    <w:right w:val="none" w:sz="0" w:space="0" w:color="auto"/>
                  </w:divBdr>
                </w:div>
              </w:divsChild>
            </w:div>
            <w:div w:id="1396319821">
              <w:marLeft w:val="0"/>
              <w:marRight w:val="0"/>
              <w:marTop w:val="0"/>
              <w:marBottom w:val="0"/>
              <w:divBdr>
                <w:top w:val="none" w:sz="0" w:space="0" w:color="auto"/>
                <w:left w:val="none" w:sz="0" w:space="0" w:color="auto"/>
                <w:bottom w:val="none" w:sz="0" w:space="0" w:color="auto"/>
                <w:right w:val="none" w:sz="0" w:space="0" w:color="auto"/>
              </w:divBdr>
              <w:divsChild>
                <w:div w:id="321857968">
                  <w:marLeft w:val="0"/>
                  <w:marRight w:val="0"/>
                  <w:marTop w:val="0"/>
                  <w:marBottom w:val="0"/>
                  <w:divBdr>
                    <w:top w:val="none" w:sz="0" w:space="0" w:color="auto"/>
                    <w:left w:val="none" w:sz="0" w:space="0" w:color="auto"/>
                    <w:bottom w:val="none" w:sz="0" w:space="0" w:color="auto"/>
                    <w:right w:val="none" w:sz="0" w:space="0" w:color="auto"/>
                  </w:divBdr>
                </w:div>
              </w:divsChild>
            </w:div>
            <w:div w:id="1396469341">
              <w:marLeft w:val="0"/>
              <w:marRight w:val="0"/>
              <w:marTop w:val="0"/>
              <w:marBottom w:val="0"/>
              <w:divBdr>
                <w:top w:val="none" w:sz="0" w:space="0" w:color="auto"/>
                <w:left w:val="none" w:sz="0" w:space="0" w:color="auto"/>
                <w:bottom w:val="none" w:sz="0" w:space="0" w:color="auto"/>
                <w:right w:val="none" w:sz="0" w:space="0" w:color="auto"/>
              </w:divBdr>
              <w:divsChild>
                <w:div w:id="1011374328">
                  <w:marLeft w:val="0"/>
                  <w:marRight w:val="0"/>
                  <w:marTop w:val="0"/>
                  <w:marBottom w:val="0"/>
                  <w:divBdr>
                    <w:top w:val="none" w:sz="0" w:space="0" w:color="auto"/>
                    <w:left w:val="none" w:sz="0" w:space="0" w:color="auto"/>
                    <w:bottom w:val="none" w:sz="0" w:space="0" w:color="auto"/>
                    <w:right w:val="none" w:sz="0" w:space="0" w:color="auto"/>
                  </w:divBdr>
                </w:div>
              </w:divsChild>
            </w:div>
            <w:div w:id="1396511002">
              <w:marLeft w:val="0"/>
              <w:marRight w:val="0"/>
              <w:marTop w:val="0"/>
              <w:marBottom w:val="0"/>
              <w:divBdr>
                <w:top w:val="none" w:sz="0" w:space="0" w:color="auto"/>
                <w:left w:val="none" w:sz="0" w:space="0" w:color="auto"/>
                <w:bottom w:val="none" w:sz="0" w:space="0" w:color="auto"/>
                <w:right w:val="none" w:sz="0" w:space="0" w:color="auto"/>
              </w:divBdr>
              <w:divsChild>
                <w:div w:id="1689214531">
                  <w:marLeft w:val="0"/>
                  <w:marRight w:val="0"/>
                  <w:marTop w:val="0"/>
                  <w:marBottom w:val="0"/>
                  <w:divBdr>
                    <w:top w:val="none" w:sz="0" w:space="0" w:color="auto"/>
                    <w:left w:val="none" w:sz="0" w:space="0" w:color="auto"/>
                    <w:bottom w:val="none" w:sz="0" w:space="0" w:color="auto"/>
                    <w:right w:val="none" w:sz="0" w:space="0" w:color="auto"/>
                  </w:divBdr>
                </w:div>
              </w:divsChild>
            </w:div>
            <w:div w:id="1397436758">
              <w:marLeft w:val="0"/>
              <w:marRight w:val="0"/>
              <w:marTop w:val="0"/>
              <w:marBottom w:val="0"/>
              <w:divBdr>
                <w:top w:val="none" w:sz="0" w:space="0" w:color="auto"/>
                <w:left w:val="none" w:sz="0" w:space="0" w:color="auto"/>
                <w:bottom w:val="none" w:sz="0" w:space="0" w:color="auto"/>
                <w:right w:val="none" w:sz="0" w:space="0" w:color="auto"/>
              </w:divBdr>
              <w:divsChild>
                <w:div w:id="1074815519">
                  <w:marLeft w:val="0"/>
                  <w:marRight w:val="0"/>
                  <w:marTop w:val="0"/>
                  <w:marBottom w:val="0"/>
                  <w:divBdr>
                    <w:top w:val="none" w:sz="0" w:space="0" w:color="auto"/>
                    <w:left w:val="none" w:sz="0" w:space="0" w:color="auto"/>
                    <w:bottom w:val="none" w:sz="0" w:space="0" w:color="auto"/>
                    <w:right w:val="none" w:sz="0" w:space="0" w:color="auto"/>
                  </w:divBdr>
                </w:div>
              </w:divsChild>
            </w:div>
            <w:div w:id="1399398707">
              <w:marLeft w:val="0"/>
              <w:marRight w:val="0"/>
              <w:marTop w:val="0"/>
              <w:marBottom w:val="0"/>
              <w:divBdr>
                <w:top w:val="none" w:sz="0" w:space="0" w:color="auto"/>
                <w:left w:val="none" w:sz="0" w:space="0" w:color="auto"/>
                <w:bottom w:val="none" w:sz="0" w:space="0" w:color="auto"/>
                <w:right w:val="none" w:sz="0" w:space="0" w:color="auto"/>
              </w:divBdr>
              <w:divsChild>
                <w:div w:id="1619069117">
                  <w:marLeft w:val="0"/>
                  <w:marRight w:val="0"/>
                  <w:marTop w:val="0"/>
                  <w:marBottom w:val="0"/>
                  <w:divBdr>
                    <w:top w:val="none" w:sz="0" w:space="0" w:color="auto"/>
                    <w:left w:val="none" w:sz="0" w:space="0" w:color="auto"/>
                    <w:bottom w:val="none" w:sz="0" w:space="0" w:color="auto"/>
                    <w:right w:val="none" w:sz="0" w:space="0" w:color="auto"/>
                  </w:divBdr>
                </w:div>
              </w:divsChild>
            </w:div>
            <w:div w:id="1399553606">
              <w:marLeft w:val="0"/>
              <w:marRight w:val="0"/>
              <w:marTop w:val="0"/>
              <w:marBottom w:val="0"/>
              <w:divBdr>
                <w:top w:val="none" w:sz="0" w:space="0" w:color="auto"/>
                <w:left w:val="none" w:sz="0" w:space="0" w:color="auto"/>
                <w:bottom w:val="none" w:sz="0" w:space="0" w:color="auto"/>
                <w:right w:val="none" w:sz="0" w:space="0" w:color="auto"/>
              </w:divBdr>
              <w:divsChild>
                <w:div w:id="346758522">
                  <w:marLeft w:val="0"/>
                  <w:marRight w:val="0"/>
                  <w:marTop w:val="0"/>
                  <w:marBottom w:val="0"/>
                  <w:divBdr>
                    <w:top w:val="none" w:sz="0" w:space="0" w:color="auto"/>
                    <w:left w:val="none" w:sz="0" w:space="0" w:color="auto"/>
                    <w:bottom w:val="none" w:sz="0" w:space="0" w:color="auto"/>
                    <w:right w:val="none" w:sz="0" w:space="0" w:color="auto"/>
                  </w:divBdr>
                </w:div>
              </w:divsChild>
            </w:div>
            <w:div w:id="1401054327">
              <w:marLeft w:val="0"/>
              <w:marRight w:val="0"/>
              <w:marTop w:val="300"/>
              <w:marBottom w:val="300"/>
              <w:divBdr>
                <w:top w:val="none" w:sz="0" w:space="0" w:color="auto"/>
                <w:left w:val="none" w:sz="0" w:space="0" w:color="auto"/>
                <w:bottom w:val="none" w:sz="0" w:space="0" w:color="auto"/>
                <w:right w:val="none" w:sz="0" w:space="0" w:color="auto"/>
              </w:divBdr>
            </w:div>
            <w:div w:id="1402488796">
              <w:marLeft w:val="0"/>
              <w:marRight w:val="0"/>
              <w:marTop w:val="300"/>
              <w:marBottom w:val="300"/>
              <w:divBdr>
                <w:top w:val="none" w:sz="0" w:space="0" w:color="auto"/>
                <w:left w:val="none" w:sz="0" w:space="0" w:color="auto"/>
                <w:bottom w:val="none" w:sz="0" w:space="0" w:color="auto"/>
                <w:right w:val="none" w:sz="0" w:space="0" w:color="auto"/>
              </w:divBdr>
            </w:div>
            <w:div w:id="1402681335">
              <w:marLeft w:val="0"/>
              <w:marRight w:val="0"/>
              <w:marTop w:val="0"/>
              <w:marBottom w:val="0"/>
              <w:divBdr>
                <w:top w:val="none" w:sz="0" w:space="0" w:color="auto"/>
                <w:left w:val="none" w:sz="0" w:space="0" w:color="auto"/>
                <w:bottom w:val="none" w:sz="0" w:space="0" w:color="auto"/>
                <w:right w:val="none" w:sz="0" w:space="0" w:color="auto"/>
              </w:divBdr>
              <w:divsChild>
                <w:div w:id="553933169">
                  <w:marLeft w:val="0"/>
                  <w:marRight w:val="0"/>
                  <w:marTop w:val="0"/>
                  <w:marBottom w:val="0"/>
                  <w:divBdr>
                    <w:top w:val="none" w:sz="0" w:space="0" w:color="auto"/>
                    <w:left w:val="none" w:sz="0" w:space="0" w:color="auto"/>
                    <w:bottom w:val="none" w:sz="0" w:space="0" w:color="auto"/>
                    <w:right w:val="none" w:sz="0" w:space="0" w:color="auto"/>
                  </w:divBdr>
                </w:div>
              </w:divsChild>
            </w:div>
            <w:div w:id="1402875449">
              <w:marLeft w:val="0"/>
              <w:marRight w:val="0"/>
              <w:marTop w:val="0"/>
              <w:marBottom w:val="0"/>
              <w:divBdr>
                <w:top w:val="none" w:sz="0" w:space="0" w:color="auto"/>
                <w:left w:val="none" w:sz="0" w:space="0" w:color="auto"/>
                <w:bottom w:val="none" w:sz="0" w:space="0" w:color="auto"/>
                <w:right w:val="none" w:sz="0" w:space="0" w:color="auto"/>
              </w:divBdr>
              <w:divsChild>
                <w:div w:id="1605385329">
                  <w:marLeft w:val="0"/>
                  <w:marRight w:val="0"/>
                  <w:marTop w:val="0"/>
                  <w:marBottom w:val="0"/>
                  <w:divBdr>
                    <w:top w:val="none" w:sz="0" w:space="0" w:color="auto"/>
                    <w:left w:val="none" w:sz="0" w:space="0" w:color="auto"/>
                    <w:bottom w:val="none" w:sz="0" w:space="0" w:color="auto"/>
                    <w:right w:val="none" w:sz="0" w:space="0" w:color="auto"/>
                  </w:divBdr>
                </w:div>
              </w:divsChild>
            </w:div>
            <w:div w:id="1404599260">
              <w:marLeft w:val="0"/>
              <w:marRight w:val="0"/>
              <w:marTop w:val="300"/>
              <w:marBottom w:val="300"/>
              <w:divBdr>
                <w:top w:val="none" w:sz="0" w:space="0" w:color="auto"/>
                <w:left w:val="none" w:sz="0" w:space="0" w:color="auto"/>
                <w:bottom w:val="none" w:sz="0" w:space="0" w:color="auto"/>
                <w:right w:val="none" w:sz="0" w:space="0" w:color="auto"/>
              </w:divBdr>
            </w:div>
            <w:div w:id="1407268775">
              <w:marLeft w:val="0"/>
              <w:marRight w:val="0"/>
              <w:marTop w:val="0"/>
              <w:marBottom w:val="0"/>
              <w:divBdr>
                <w:top w:val="none" w:sz="0" w:space="0" w:color="auto"/>
                <w:left w:val="none" w:sz="0" w:space="0" w:color="auto"/>
                <w:bottom w:val="none" w:sz="0" w:space="0" w:color="auto"/>
                <w:right w:val="none" w:sz="0" w:space="0" w:color="auto"/>
              </w:divBdr>
              <w:divsChild>
                <w:div w:id="15430196">
                  <w:marLeft w:val="0"/>
                  <w:marRight w:val="0"/>
                  <w:marTop w:val="0"/>
                  <w:marBottom w:val="0"/>
                  <w:divBdr>
                    <w:top w:val="none" w:sz="0" w:space="0" w:color="auto"/>
                    <w:left w:val="none" w:sz="0" w:space="0" w:color="auto"/>
                    <w:bottom w:val="none" w:sz="0" w:space="0" w:color="auto"/>
                    <w:right w:val="none" w:sz="0" w:space="0" w:color="auto"/>
                  </w:divBdr>
                </w:div>
              </w:divsChild>
            </w:div>
            <w:div w:id="1409234362">
              <w:marLeft w:val="0"/>
              <w:marRight w:val="0"/>
              <w:marTop w:val="0"/>
              <w:marBottom w:val="0"/>
              <w:divBdr>
                <w:top w:val="none" w:sz="0" w:space="0" w:color="auto"/>
                <w:left w:val="none" w:sz="0" w:space="0" w:color="auto"/>
                <w:bottom w:val="none" w:sz="0" w:space="0" w:color="auto"/>
                <w:right w:val="none" w:sz="0" w:space="0" w:color="auto"/>
              </w:divBdr>
              <w:divsChild>
                <w:div w:id="1955165361">
                  <w:marLeft w:val="0"/>
                  <w:marRight w:val="0"/>
                  <w:marTop w:val="0"/>
                  <w:marBottom w:val="0"/>
                  <w:divBdr>
                    <w:top w:val="none" w:sz="0" w:space="0" w:color="auto"/>
                    <w:left w:val="none" w:sz="0" w:space="0" w:color="auto"/>
                    <w:bottom w:val="none" w:sz="0" w:space="0" w:color="auto"/>
                    <w:right w:val="none" w:sz="0" w:space="0" w:color="auto"/>
                  </w:divBdr>
                </w:div>
              </w:divsChild>
            </w:div>
            <w:div w:id="1412312611">
              <w:marLeft w:val="0"/>
              <w:marRight w:val="0"/>
              <w:marTop w:val="300"/>
              <w:marBottom w:val="300"/>
              <w:divBdr>
                <w:top w:val="none" w:sz="0" w:space="0" w:color="auto"/>
                <w:left w:val="none" w:sz="0" w:space="0" w:color="auto"/>
                <w:bottom w:val="none" w:sz="0" w:space="0" w:color="auto"/>
                <w:right w:val="none" w:sz="0" w:space="0" w:color="auto"/>
              </w:divBdr>
            </w:div>
            <w:div w:id="1418096908">
              <w:marLeft w:val="0"/>
              <w:marRight w:val="0"/>
              <w:marTop w:val="0"/>
              <w:marBottom w:val="0"/>
              <w:divBdr>
                <w:top w:val="none" w:sz="0" w:space="0" w:color="auto"/>
                <w:left w:val="none" w:sz="0" w:space="0" w:color="auto"/>
                <w:bottom w:val="none" w:sz="0" w:space="0" w:color="auto"/>
                <w:right w:val="none" w:sz="0" w:space="0" w:color="auto"/>
              </w:divBdr>
              <w:divsChild>
                <w:div w:id="220752735">
                  <w:marLeft w:val="0"/>
                  <w:marRight w:val="0"/>
                  <w:marTop w:val="0"/>
                  <w:marBottom w:val="0"/>
                  <w:divBdr>
                    <w:top w:val="none" w:sz="0" w:space="0" w:color="auto"/>
                    <w:left w:val="none" w:sz="0" w:space="0" w:color="auto"/>
                    <w:bottom w:val="none" w:sz="0" w:space="0" w:color="auto"/>
                    <w:right w:val="none" w:sz="0" w:space="0" w:color="auto"/>
                  </w:divBdr>
                </w:div>
              </w:divsChild>
            </w:div>
            <w:div w:id="1418209047">
              <w:marLeft w:val="0"/>
              <w:marRight w:val="0"/>
              <w:marTop w:val="0"/>
              <w:marBottom w:val="0"/>
              <w:divBdr>
                <w:top w:val="none" w:sz="0" w:space="0" w:color="auto"/>
                <w:left w:val="none" w:sz="0" w:space="0" w:color="auto"/>
                <w:bottom w:val="none" w:sz="0" w:space="0" w:color="auto"/>
                <w:right w:val="none" w:sz="0" w:space="0" w:color="auto"/>
              </w:divBdr>
              <w:divsChild>
                <w:div w:id="1640182620">
                  <w:marLeft w:val="0"/>
                  <w:marRight w:val="0"/>
                  <w:marTop w:val="0"/>
                  <w:marBottom w:val="0"/>
                  <w:divBdr>
                    <w:top w:val="none" w:sz="0" w:space="0" w:color="auto"/>
                    <w:left w:val="none" w:sz="0" w:space="0" w:color="auto"/>
                    <w:bottom w:val="none" w:sz="0" w:space="0" w:color="auto"/>
                    <w:right w:val="none" w:sz="0" w:space="0" w:color="auto"/>
                  </w:divBdr>
                </w:div>
              </w:divsChild>
            </w:div>
            <w:div w:id="1420176299">
              <w:marLeft w:val="0"/>
              <w:marRight w:val="0"/>
              <w:marTop w:val="0"/>
              <w:marBottom w:val="0"/>
              <w:divBdr>
                <w:top w:val="none" w:sz="0" w:space="0" w:color="auto"/>
                <w:left w:val="none" w:sz="0" w:space="0" w:color="auto"/>
                <w:bottom w:val="none" w:sz="0" w:space="0" w:color="auto"/>
                <w:right w:val="none" w:sz="0" w:space="0" w:color="auto"/>
              </w:divBdr>
              <w:divsChild>
                <w:div w:id="2070877441">
                  <w:marLeft w:val="0"/>
                  <w:marRight w:val="0"/>
                  <w:marTop w:val="0"/>
                  <w:marBottom w:val="0"/>
                  <w:divBdr>
                    <w:top w:val="none" w:sz="0" w:space="0" w:color="auto"/>
                    <w:left w:val="none" w:sz="0" w:space="0" w:color="auto"/>
                    <w:bottom w:val="none" w:sz="0" w:space="0" w:color="auto"/>
                    <w:right w:val="none" w:sz="0" w:space="0" w:color="auto"/>
                  </w:divBdr>
                </w:div>
              </w:divsChild>
            </w:div>
            <w:div w:id="1420251783">
              <w:marLeft w:val="0"/>
              <w:marRight w:val="0"/>
              <w:marTop w:val="0"/>
              <w:marBottom w:val="0"/>
              <w:divBdr>
                <w:top w:val="none" w:sz="0" w:space="0" w:color="auto"/>
                <w:left w:val="none" w:sz="0" w:space="0" w:color="auto"/>
                <w:bottom w:val="none" w:sz="0" w:space="0" w:color="auto"/>
                <w:right w:val="none" w:sz="0" w:space="0" w:color="auto"/>
              </w:divBdr>
              <w:divsChild>
                <w:div w:id="1732077727">
                  <w:marLeft w:val="0"/>
                  <w:marRight w:val="0"/>
                  <w:marTop w:val="0"/>
                  <w:marBottom w:val="0"/>
                  <w:divBdr>
                    <w:top w:val="none" w:sz="0" w:space="0" w:color="auto"/>
                    <w:left w:val="none" w:sz="0" w:space="0" w:color="auto"/>
                    <w:bottom w:val="none" w:sz="0" w:space="0" w:color="auto"/>
                    <w:right w:val="none" w:sz="0" w:space="0" w:color="auto"/>
                  </w:divBdr>
                </w:div>
              </w:divsChild>
            </w:div>
            <w:div w:id="1421180093">
              <w:marLeft w:val="0"/>
              <w:marRight w:val="0"/>
              <w:marTop w:val="0"/>
              <w:marBottom w:val="0"/>
              <w:divBdr>
                <w:top w:val="none" w:sz="0" w:space="0" w:color="auto"/>
                <w:left w:val="none" w:sz="0" w:space="0" w:color="auto"/>
                <w:bottom w:val="none" w:sz="0" w:space="0" w:color="auto"/>
                <w:right w:val="none" w:sz="0" w:space="0" w:color="auto"/>
              </w:divBdr>
              <w:divsChild>
                <w:div w:id="1512639971">
                  <w:marLeft w:val="0"/>
                  <w:marRight w:val="0"/>
                  <w:marTop w:val="0"/>
                  <w:marBottom w:val="0"/>
                  <w:divBdr>
                    <w:top w:val="none" w:sz="0" w:space="0" w:color="auto"/>
                    <w:left w:val="none" w:sz="0" w:space="0" w:color="auto"/>
                    <w:bottom w:val="none" w:sz="0" w:space="0" w:color="auto"/>
                    <w:right w:val="none" w:sz="0" w:space="0" w:color="auto"/>
                  </w:divBdr>
                </w:div>
              </w:divsChild>
            </w:div>
            <w:div w:id="1421875737">
              <w:marLeft w:val="0"/>
              <w:marRight w:val="0"/>
              <w:marTop w:val="0"/>
              <w:marBottom w:val="0"/>
              <w:divBdr>
                <w:top w:val="none" w:sz="0" w:space="0" w:color="auto"/>
                <w:left w:val="none" w:sz="0" w:space="0" w:color="auto"/>
                <w:bottom w:val="none" w:sz="0" w:space="0" w:color="auto"/>
                <w:right w:val="none" w:sz="0" w:space="0" w:color="auto"/>
              </w:divBdr>
              <w:divsChild>
                <w:div w:id="462888230">
                  <w:marLeft w:val="0"/>
                  <w:marRight w:val="0"/>
                  <w:marTop w:val="0"/>
                  <w:marBottom w:val="0"/>
                  <w:divBdr>
                    <w:top w:val="none" w:sz="0" w:space="0" w:color="auto"/>
                    <w:left w:val="none" w:sz="0" w:space="0" w:color="auto"/>
                    <w:bottom w:val="none" w:sz="0" w:space="0" w:color="auto"/>
                    <w:right w:val="none" w:sz="0" w:space="0" w:color="auto"/>
                  </w:divBdr>
                </w:div>
              </w:divsChild>
            </w:div>
            <w:div w:id="1421952646">
              <w:marLeft w:val="0"/>
              <w:marRight w:val="0"/>
              <w:marTop w:val="0"/>
              <w:marBottom w:val="0"/>
              <w:divBdr>
                <w:top w:val="none" w:sz="0" w:space="0" w:color="auto"/>
                <w:left w:val="none" w:sz="0" w:space="0" w:color="auto"/>
                <w:bottom w:val="none" w:sz="0" w:space="0" w:color="auto"/>
                <w:right w:val="none" w:sz="0" w:space="0" w:color="auto"/>
              </w:divBdr>
              <w:divsChild>
                <w:div w:id="248319533">
                  <w:marLeft w:val="0"/>
                  <w:marRight w:val="0"/>
                  <w:marTop w:val="0"/>
                  <w:marBottom w:val="0"/>
                  <w:divBdr>
                    <w:top w:val="none" w:sz="0" w:space="0" w:color="auto"/>
                    <w:left w:val="none" w:sz="0" w:space="0" w:color="auto"/>
                    <w:bottom w:val="none" w:sz="0" w:space="0" w:color="auto"/>
                    <w:right w:val="none" w:sz="0" w:space="0" w:color="auto"/>
                  </w:divBdr>
                </w:div>
              </w:divsChild>
            </w:div>
            <w:div w:id="1423338891">
              <w:marLeft w:val="0"/>
              <w:marRight w:val="0"/>
              <w:marTop w:val="0"/>
              <w:marBottom w:val="0"/>
              <w:divBdr>
                <w:top w:val="none" w:sz="0" w:space="0" w:color="auto"/>
                <w:left w:val="none" w:sz="0" w:space="0" w:color="auto"/>
                <w:bottom w:val="none" w:sz="0" w:space="0" w:color="auto"/>
                <w:right w:val="none" w:sz="0" w:space="0" w:color="auto"/>
              </w:divBdr>
              <w:divsChild>
                <w:div w:id="356127284">
                  <w:marLeft w:val="0"/>
                  <w:marRight w:val="0"/>
                  <w:marTop w:val="0"/>
                  <w:marBottom w:val="0"/>
                  <w:divBdr>
                    <w:top w:val="none" w:sz="0" w:space="0" w:color="auto"/>
                    <w:left w:val="none" w:sz="0" w:space="0" w:color="auto"/>
                    <w:bottom w:val="none" w:sz="0" w:space="0" w:color="auto"/>
                    <w:right w:val="none" w:sz="0" w:space="0" w:color="auto"/>
                  </w:divBdr>
                </w:div>
              </w:divsChild>
            </w:div>
            <w:div w:id="1425103606">
              <w:marLeft w:val="0"/>
              <w:marRight w:val="0"/>
              <w:marTop w:val="0"/>
              <w:marBottom w:val="0"/>
              <w:divBdr>
                <w:top w:val="none" w:sz="0" w:space="0" w:color="auto"/>
                <w:left w:val="none" w:sz="0" w:space="0" w:color="auto"/>
                <w:bottom w:val="none" w:sz="0" w:space="0" w:color="auto"/>
                <w:right w:val="none" w:sz="0" w:space="0" w:color="auto"/>
              </w:divBdr>
              <w:divsChild>
                <w:div w:id="626742310">
                  <w:marLeft w:val="0"/>
                  <w:marRight w:val="0"/>
                  <w:marTop w:val="0"/>
                  <w:marBottom w:val="0"/>
                  <w:divBdr>
                    <w:top w:val="none" w:sz="0" w:space="0" w:color="auto"/>
                    <w:left w:val="none" w:sz="0" w:space="0" w:color="auto"/>
                    <w:bottom w:val="none" w:sz="0" w:space="0" w:color="auto"/>
                    <w:right w:val="none" w:sz="0" w:space="0" w:color="auto"/>
                  </w:divBdr>
                </w:div>
              </w:divsChild>
            </w:div>
            <w:div w:id="1426413371">
              <w:marLeft w:val="0"/>
              <w:marRight w:val="0"/>
              <w:marTop w:val="0"/>
              <w:marBottom w:val="0"/>
              <w:divBdr>
                <w:top w:val="none" w:sz="0" w:space="0" w:color="auto"/>
                <w:left w:val="none" w:sz="0" w:space="0" w:color="auto"/>
                <w:bottom w:val="none" w:sz="0" w:space="0" w:color="auto"/>
                <w:right w:val="none" w:sz="0" w:space="0" w:color="auto"/>
              </w:divBdr>
              <w:divsChild>
                <w:div w:id="1772121058">
                  <w:marLeft w:val="0"/>
                  <w:marRight w:val="0"/>
                  <w:marTop w:val="0"/>
                  <w:marBottom w:val="0"/>
                  <w:divBdr>
                    <w:top w:val="none" w:sz="0" w:space="0" w:color="auto"/>
                    <w:left w:val="none" w:sz="0" w:space="0" w:color="auto"/>
                    <w:bottom w:val="none" w:sz="0" w:space="0" w:color="auto"/>
                    <w:right w:val="none" w:sz="0" w:space="0" w:color="auto"/>
                  </w:divBdr>
                </w:div>
              </w:divsChild>
            </w:div>
            <w:div w:id="1427575290">
              <w:marLeft w:val="0"/>
              <w:marRight w:val="0"/>
              <w:marTop w:val="0"/>
              <w:marBottom w:val="0"/>
              <w:divBdr>
                <w:top w:val="none" w:sz="0" w:space="0" w:color="auto"/>
                <w:left w:val="none" w:sz="0" w:space="0" w:color="auto"/>
                <w:bottom w:val="none" w:sz="0" w:space="0" w:color="auto"/>
                <w:right w:val="none" w:sz="0" w:space="0" w:color="auto"/>
              </w:divBdr>
              <w:divsChild>
                <w:div w:id="1951549821">
                  <w:marLeft w:val="0"/>
                  <w:marRight w:val="0"/>
                  <w:marTop w:val="0"/>
                  <w:marBottom w:val="0"/>
                  <w:divBdr>
                    <w:top w:val="none" w:sz="0" w:space="0" w:color="auto"/>
                    <w:left w:val="none" w:sz="0" w:space="0" w:color="auto"/>
                    <w:bottom w:val="none" w:sz="0" w:space="0" w:color="auto"/>
                    <w:right w:val="none" w:sz="0" w:space="0" w:color="auto"/>
                  </w:divBdr>
                </w:div>
              </w:divsChild>
            </w:div>
            <w:div w:id="1428036514">
              <w:marLeft w:val="0"/>
              <w:marRight w:val="0"/>
              <w:marTop w:val="0"/>
              <w:marBottom w:val="0"/>
              <w:divBdr>
                <w:top w:val="none" w:sz="0" w:space="0" w:color="auto"/>
                <w:left w:val="none" w:sz="0" w:space="0" w:color="auto"/>
                <w:bottom w:val="none" w:sz="0" w:space="0" w:color="auto"/>
                <w:right w:val="none" w:sz="0" w:space="0" w:color="auto"/>
              </w:divBdr>
              <w:divsChild>
                <w:div w:id="663319936">
                  <w:marLeft w:val="0"/>
                  <w:marRight w:val="0"/>
                  <w:marTop w:val="0"/>
                  <w:marBottom w:val="0"/>
                  <w:divBdr>
                    <w:top w:val="none" w:sz="0" w:space="0" w:color="auto"/>
                    <w:left w:val="none" w:sz="0" w:space="0" w:color="auto"/>
                    <w:bottom w:val="none" w:sz="0" w:space="0" w:color="auto"/>
                    <w:right w:val="none" w:sz="0" w:space="0" w:color="auto"/>
                  </w:divBdr>
                </w:div>
              </w:divsChild>
            </w:div>
            <w:div w:id="1428574385">
              <w:marLeft w:val="0"/>
              <w:marRight w:val="0"/>
              <w:marTop w:val="300"/>
              <w:marBottom w:val="300"/>
              <w:divBdr>
                <w:top w:val="none" w:sz="0" w:space="0" w:color="auto"/>
                <w:left w:val="none" w:sz="0" w:space="0" w:color="auto"/>
                <w:bottom w:val="none" w:sz="0" w:space="0" w:color="auto"/>
                <w:right w:val="none" w:sz="0" w:space="0" w:color="auto"/>
              </w:divBdr>
            </w:div>
            <w:div w:id="1430003913">
              <w:marLeft w:val="0"/>
              <w:marRight w:val="0"/>
              <w:marTop w:val="0"/>
              <w:marBottom w:val="0"/>
              <w:divBdr>
                <w:top w:val="none" w:sz="0" w:space="0" w:color="auto"/>
                <w:left w:val="none" w:sz="0" w:space="0" w:color="auto"/>
                <w:bottom w:val="none" w:sz="0" w:space="0" w:color="auto"/>
                <w:right w:val="none" w:sz="0" w:space="0" w:color="auto"/>
              </w:divBdr>
              <w:divsChild>
                <w:div w:id="1137340086">
                  <w:marLeft w:val="0"/>
                  <w:marRight w:val="0"/>
                  <w:marTop w:val="0"/>
                  <w:marBottom w:val="0"/>
                  <w:divBdr>
                    <w:top w:val="none" w:sz="0" w:space="0" w:color="auto"/>
                    <w:left w:val="none" w:sz="0" w:space="0" w:color="auto"/>
                    <w:bottom w:val="none" w:sz="0" w:space="0" w:color="auto"/>
                    <w:right w:val="none" w:sz="0" w:space="0" w:color="auto"/>
                  </w:divBdr>
                </w:div>
              </w:divsChild>
            </w:div>
            <w:div w:id="1430659307">
              <w:marLeft w:val="0"/>
              <w:marRight w:val="0"/>
              <w:marTop w:val="0"/>
              <w:marBottom w:val="0"/>
              <w:divBdr>
                <w:top w:val="none" w:sz="0" w:space="0" w:color="auto"/>
                <w:left w:val="none" w:sz="0" w:space="0" w:color="auto"/>
                <w:bottom w:val="none" w:sz="0" w:space="0" w:color="auto"/>
                <w:right w:val="none" w:sz="0" w:space="0" w:color="auto"/>
              </w:divBdr>
              <w:divsChild>
                <w:div w:id="377168023">
                  <w:marLeft w:val="0"/>
                  <w:marRight w:val="0"/>
                  <w:marTop w:val="0"/>
                  <w:marBottom w:val="0"/>
                  <w:divBdr>
                    <w:top w:val="none" w:sz="0" w:space="0" w:color="auto"/>
                    <w:left w:val="none" w:sz="0" w:space="0" w:color="auto"/>
                    <w:bottom w:val="none" w:sz="0" w:space="0" w:color="auto"/>
                    <w:right w:val="none" w:sz="0" w:space="0" w:color="auto"/>
                  </w:divBdr>
                </w:div>
              </w:divsChild>
            </w:div>
            <w:div w:id="1431732185">
              <w:marLeft w:val="0"/>
              <w:marRight w:val="0"/>
              <w:marTop w:val="0"/>
              <w:marBottom w:val="0"/>
              <w:divBdr>
                <w:top w:val="none" w:sz="0" w:space="0" w:color="auto"/>
                <w:left w:val="none" w:sz="0" w:space="0" w:color="auto"/>
                <w:bottom w:val="none" w:sz="0" w:space="0" w:color="auto"/>
                <w:right w:val="none" w:sz="0" w:space="0" w:color="auto"/>
              </w:divBdr>
              <w:divsChild>
                <w:div w:id="1376657996">
                  <w:marLeft w:val="0"/>
                  <w:marRight w:val="0"/>
                  <w:marTop w:val="0"/>
                  <w:marBottom w:val="0"/>
                  <w:divBdr>
                    <w:top w:val="none" w:sz="0" w:space="0" w:color="auto"/>
                    <w:left w:val="none" w:sz="0" w:space="0" w:color="auto"/>
                    <w:bottom w:val="none" w:sz="0" w:space="0" w:color="auto"/>
                    <w:right w:val="none" w:sz="0" w:space="0" w:color="auto"/>
                  </w:divBdr>
                </w:div>
              </w:divsChild>
            </w:div>
            <w:div w:id="1436442426">
              <w:marLeft w:val="0"/>
              <w:marRight w:val="0"/>
              <w:marTop w:val="300"/>
              <w:marBottom w:val="300"/>
              <w:divBdr>
                <w:top w:val="none" w:sz="0" w:space="0" w:color="auto"/>
                <w:left w:val="none" w:sz="0" w:space="0" w:color="auto"/>
                <w:bottom w:val="none" w:sz="0" w:space="0" w:color="auto"/>
                <w:right w:val="none" w:sz="0" w:space="0" w:color="auto"/>
              </w:divBdr>
            </w:div>
            <w:div w:id="1437753671">
              <w:marLeft w:val="0"/>
              <w:marRight w:val="0"/>
              <w:marTop w:val="0"/>
              <w:marBottom w:val="0"/>
              <w:divBdr>
                <w:top w:val="none" w:sz="0" w:space="0" w:color="auto"/>
                <w:left w:val="none" w:sz="0" w:space="0" w:color="auto"/>
                <w:bottom w:val="none" w:sz="0" w:space="0" w:color="auto"/>
                <w:right w:val="none" w:sz="0" w:space="0" w:color="auto"/>
              </w:divBdr>
              <w:divsChild>
                <w:div w:id="1965498883">
                  <w:marLeft w:val="0"/>
                  <w:marRight w:val="0"/>
                  <w:marTop w:val="0"/>
                  <w:marBottom w:val="0"/>
                  <w:divBdr>
                    <w:top w:val="none" w:sz="0" w:space="0" w:color="auto"/>
                    <w:left w:val="none" w:sz="0" w:space="0" w:color="auto"/>
                    <w:bottom w:val="none" w:sz="0" w:space="0" w:color="auto"/>
                    <w:right w:val="none" w:sz="0" w:space="0" w:color="auto"/>
                  </w:divBdr>
                </w:div>
              </w:divsChild>
            </w:div>
            <w:div w:id="1438720639">
              <w:marLeft w:val="0"/>
              <w:marRight w:val="0"/>
              <w:marTop w:val="0"/>
              <w:marBottom w:val="0"/>
              <w:divBdr>
                <w:top w:val="none" w:sz="0" w:space="0" w:color="auto"/>
                <w:left w:val="none" w:sz="0" w:space="0" w:color="auto"/>
                <w:bottom w:val="none" w:sz="0" w:space="0" w:color="auto"/>
                <w:right w:val="none" w:sz="0" w:space="0" w:color="auto"/>
              </w:divBdr>
              <w:divsChild>
                <w:div w:id="690953030">
                  <w:marLeft w:val="0"/>
                  <w:marRight w:val="0"/>
                  <w:marTop w:val="0"/>
                  <w:marBottom w:val="0"/>
                  <w:divBdr>
                    <w:top w:val="none" w:sz="0" w:space="0" w:color="auto"/>
                    <w:left w:val="none" w:sz="0" w:space="0" w:color="auto"/>
                    <w:bottom w:val="none" w:sz="0" w:space="0" w:color="auto"/>
                    <w:right w:val="none" w:sz="0" w:space="0" w:color="auto"/>
                  </w:divBdr>
                </w:div>
              </w:divsChild>
            </w:div>
            <w:div w:id="1441489426">
              <w:marLeft w:val="0"/>
              <w:marRight w:val="0"/>
              <w:marTop w:val="0"/>
              <w:marBottom w:val="0"/>
              <w:divBdr>
                <w:top w:val="none" w:sz="0" w:space="0" w:color="auto"/>
                <w:left w:val="none" w:sz="0" w:space="0" w:color="auto"/>
                <w:bottom w:val="none" w:sz="0" w:space="0" w:color="auto"/>
                <w:right w:val="none" w:sz="0" w:space="0" w:color="auto"/>
              </w:divBdr>
              <w:divsChild>
                <w:div w:id="779641638">
                  <w:marLeft w:val="0"/>
                  <w:marRight w:val="0"/>
                  <w:marTop w:val="0"/>
                  <w:marBottom w:val="0"/>
                  <w:divBdr>
                    <w:top w:val="none" w:sz="0" w:space="0" w:color="auto"/>
                    <w:left w:val="none" w:sz="0" w:space="0" w:color="auto"/>
                    <w:bottom w:val="none" w:sz="0" w:space="0" w:color="auto"/>
                    <w:right w:val="none" w:sz="0" w:space="0" w:color="auto"/>
                  </w:divBdr>
                </w:div>
              </w:divsChild>
            </w:div>
            <w:div w:id="1441878078">
              <w:marLeft w:val="0"/>
              <w:marRight w:val="0"/>
              <w:marTop w:val="0"/>
              <w:marBottom w:val="0"/>
              <w:divBdr>
                <w:top w:val="none" w:sz="0" w:space="0" w:color="auto"/>
                <w:left w:val="none" w:sz="0" w:space="0" w:color="auto"/>
                <w:bottom w:val="none" w:sz="0" w:space="0" w:color="auto"/>
                <w:right w:val="none" w:sz="0" w:space="0" w:color="auto"/>
              </w:divBdr>
              <w:divsChild>
                <w:div w:id="1662730370">
                  <w:marLeft w:val="0"/>
                  <w:marRight w:val="0"/>
                  <w:marTop w:val="0"/>
                  <w:marBottom w:val="0"/>
                  <w:divBdr>
                    <w:top w:val="none" w:sz="0" w:space="0" w:color="auto"/>
                    <w:left w:val="none" w:sz="0" w:space="0" w:color="auto"/>
                    <w:bottom w:val="none" w:sz="0" w:space="0" w:color="auto"/>
                    <w:right w:val="none" w:sz="0" w:space="0" w:color="auto"/>
                  </w:divBdr>
                </w:div>
              </w:divsChild>
            </w:div>
            <w:div w:id="1443651005">
              <w:marLeft w:val="0"/>
              <w:marRight w:val="0"/>
              <w:marTop w:val="0"/>
              <w:marBottom w:val="0"/>
              <w:divBdr>
                <w:top w:val="none" w:sz="0" w:space="0" w:color="auto"/>
                <w:left w:val="none" w:sz="0" w:space="0" w:color="auto"/>
                <w:bottom w:val="none" w:sz="0" w:space="0" w:color="auto"/>
                <w:right w:val="none" w:sz="0" w:space="0" w:color="auto"/>
              </w:divBdr>
              <w:divsChild>
                <w:div w:id="2118787837">
                  <w:marLeft w:val="0"/>
                  <w:marRight w:val="0"/>
                  <w:marTop w:val="0"/>
                  <w:marBottom w:val="0"/>
                  <w:divBdr>
                    <w:top w:val="none" w:sz="0" w:space="0" w:color="auto"/>
                    <w:left w:val="none" w:sz="0" w:space="0" w:color="auto"/>
                    <w:bottom w:val="none" w:sz="0" w:space="0" w:color="auto"/>
                    <w:right w:val="none" w:sz="0" w:space="0" w:color="auto"/>
                  </w:divBdr>
                </w:div>
              </w:divsChild>
            </w:div>
            <w:div w:id="1444106138">
              <w:marLeft w:val="0"/>
              <w:marRight w:val="0"/>
              <w:marTop w:val="0"/>
              <w:marBottom w:val="0"/>
              <w:divBdr>
                <w:top w:val="none" w:sz="0" w:space="0" w:color="auto"/>
                <w:left w:val="none" w:sz="0" w:space="0" w:color="auto"/>
                <w:bottom w:val="none" w:sz="0" w:space="0" w:color="auto"/>
                <w:right w:val="none" w:sz="0" w:space="0" w:color="auto"/>
              </w:divBdr>
              <w:divsChild>
                <w:div w:id="836962543">
                  <w:marLeft w:val="0"/>
                  <w:marRight w:val="0"/>
                  <w:marTop w:val="0"/>
                  <w:marBottom w:val="0"/>
                  <w:divBdr>
                    <w:top w:val="none" w:sz="0" w:space="0" w:color="auto"/>
                    <w:left w:val="none" w:sz="0" w:space="0" w:color="auto"/>
                    <w:bottom w:val="none" w:sz="0" w:space="0" w:color="auto"/>
                    <w:right w:val="none" w:sz="0" w:space="0" w:color="auto"/>
                  </w:divBdr>
                </w:div>
              </w:divsChild>
            </w:div>
            <w:div w:id="1444810326">
              <w:marLeft w:val="0"/>
              <w:marRight w:val="0"/>
              <w:marTop w:val="300"/>
              <w:marBottom w:val="300"/>
              <w:divBdr>
                <w:top w:val="none" w:sz="0" w:space="0" w:color="auto"/>
                <w:left w:val="none" w:sz="0" w:space="0" w:color="auto"/>
                <w:bottom w:val="none" w:sz="0" w:space="0" w:color="auto"/>
                <w:right w:val="none" w:sz="0" w:space="0" w:color="auto"/>
              </w:divBdr>
            </w:div>
            <w:div w:id="1445540382">
              <w:marLeft w:val="0"/>
              <w:marRight w:val="0"/>
              <w:marTop w:val="0"/>
              <w:marBottom w:val="0"/>
              <w:divBdr>
                <w:top w:val="none" w:sz="0" w:space="0" w:color="auto"/>
                <w:left w:val="none" w:sz="0" w:space="0" w:color="auto"/>
                <w:bottom w:val="none" w:sz="0" w:space="0" w:color="auto"/>
                <w:right w:val="none" w:sz="0" w:space="0" w:color="auto"/>
              </w:divBdr>
              <w:divsChild>
                <w:div w:id="1910917664">
                  <w:marLeft w:val="0"/>
                  <w:marRight w:val="0"/>
                  <w:marTop w:val="0"/>
                  <w:marBottom w:val="0"/>
                  <w:divBdr>
                    <w:top w:val="none" w:sz="0" w:space="0" w:color="auto"/>
                    <w:left w:val="none" w:sz="0" w:space="0" w:color="auto"/>
                    <w:bottom w:val="none" w:sz="0" w:space="0" w:color="auto"/>
                    <w:right w:val="none" w:sz="0" w:space="0" w:color="auto"/>
                  </w:divBdr>
                </w:div>
              </w:divsChild>
            </w:div>
            <w:div w:id="1445728128">
              <w:marLeft w:val="0"/>
              <w:marRight w:val="0"/>
              <w:marTop w:val="0"/>
              <w:marBottom w:val="0"/>
              <w:divBdr>
                <w:top w:val="none" w:sz="0" w:space="0" w:color="auto"/>
                <w:left w:val="none" w:sz="0" w:space="0" w:color="auto"/>
                <w:bottom w:val="none" w:sz="0" w:space="0" w:color="auto"/>
                <w:right w:val="none" w:sz="0" w:space="0" w:color="auto"/>
              </w:divBdr>
              <w:divsChild>
                <w:div w:id="1487554117">
                  <w:marLeft w:val="0"/>
                  <w:marRight w:val="0"/>
                  <w:marTop w:val="0"/>
                  <w:marBottom w:val="0"/>
                  <w:divBdr>
                    <w:top w:val="none" w:sz="0" w:space="0" w:color="auto"/>
                    <w:left w:val="none" w:sz="0" w:space="0" w:color="auto"/>
                    <w:bottom w:val="none" w:sz="0" w:space="0" w:color="auto"/>
                    <w:right w:val="none" w:sz="0" w:space="0" w:color="auto"/>
                  </w:divBdr>
                </w:div>
              </w:divsChild>
            </w:div>
            <w:div w:id="1446196058">
              <w:marLeft w:val="0"/>
              <w:marRight w:val="0"/>
              <w:marTop w:val="0"/>
              <w:marBottom w:val="0"/>
              <w:divBdr>
                <w:top w:val="none" w:sz="0" w:space="0" w:color="auto"/>
                <w:left w:val="none" w:sz="0" w:space="0" w:color="auto"/>
                <w:bottom w:val="none" w:sz="0" w:space="0" w:color="auto"/>
                <w:right w:val="none" w:sz="0" w:space="0" w:color="auto"/>
              </w:divBdr>
              <w:divsChild>
                <w:div w:id="1571497402">
                  <w:marLeft w:val="0"/>
                  <w:marRight w:val="0"/>
                  <w:marTop w:val="0"/>
                  <w:marBottom w:val="0"/>
                  <w:divBdr>
                    <w:top w:val="none" w:sz="0" w:space="0" w:color="auto"/>
                    <w:left w:val="none" w:sz="0" w:space="0" w:color="auto"/>
                    <w:bottom w:val="none" w:sz="0" w:space="0" w:color="auto"/>
                    <w:right w:val="none" w:sz="0" w:space="0" w:color="auto"/>
                  </w:divBdr>
                </w:div>
              </w:divsChild>
            </w:div>
            <w:div w:id="1447889918">
              <w:marLeft w:val="0"/>
              <w:marRight w:val="0"/>
              <w:marTop w:val="0"/>
              <w:marBottom w:val="0"/>
              <w:divBdr>
                <w:top w:val="none" w:sz="0" w:space="0" w:color="auto"/>
                <w:left w:val="none" w:sz="0" w:space="0" w:color="auto"/>
                <w:bottom w:val="none" w:sz="0" w:space="0" w:color="auto"/>
                <w:right w:val="none" w:sz="0" w:space="0" w:color="auto"/>
              </w:divBdr>
              <w:divsChild>
                <w:div w:id="45378596">
                  <w:marLeft w:val="0"/>
                  <w:marRight w:val="0"/>
                  <w:marTop w:val="0"/>
                  <w:marBottom w:val="0"/>
                  <w:divBdr>
                    <w:top w:val="none" w:sz="0" w:space="0" w:color="auto"/>
                    <w:left w:val="none" w:sz="0" w:space="0" w:color="auto"/>
                    <w:bottom w:val="none" w:sz="0" w:space="0" w:color="auto"/>
                    <w:right w:val="none" w:sz="0" w:space="0" w:color="auto"/>
                  </w:divBdr>
                </w:div>
              </w:divsChild>
            </w:div>
            <w:div w:id="1449474286">
              <w:marLeft w:val="0"/>
              <w:marRight w:val="0"/>
              <w:marTop w:val="0"/>
              <w:marBottom w:val="0"/>
              <w:divBdr>
                <w:top w:val="none" w:sz="0" w:space="0" w:color="auto"/>
                <w:left w:val="none" w:sz="0" w:space="0" w:color="auto"/>
                <w:bottom w:val="none" w:sz="0" w:space="0" w:color="auto"/>
                <w:right w:val="none" w:sz="0" w:space="0" w:color="auto"/>
              </w:divBdr>
              <w:divsChild>
                <w:div w:id="1793205633">
                  <w:marLeft w:val="0"/>
                  <w:marRight w:val="0"/>
                  <w:marTop w:val="0"/>
                  <w:marBottom w:val="0"/>
                  <w:divBdr>
                    <w:top w:val="none" w:sz="0" w:space="0" w:color="auto"/>
                    <w:left w:val="none" w:sz="0" w:space="0" w:color="auto"/>
                    <w:bottom w:val="none" w:sz="0" w:space="0" w:color="auto"/>
                    <w:right w:val="none" w:sz="0" w:space="0" w:color="auto"/>
                  </w:divBdr>
                </w:div>
              </w:divsChild>
            </w:div>
            <w:div w:id="1449927507">
              <w:marLeft w:val="0"/>
              <w:marRight w:val="0"/>
              <w:marTop w:val="0"/>
              <w:marBottom w:val="0"/>
              <w:divBdr>
                <w:top w:val="none" w:sz="0" w:space="0" w:color="auto"/>
                <w:left w:val="none" w:sz="0" w:space="0" w:color="auto"/>
                <w:bottom w:val="none" w:sz="0" w:space="0" w:color="auto"/>
                <w:right w:val="none" w:sz="0" w:space="0" w:color="auto"/>
              </w:divBdr>
              <w:divsChild>
                <w:div w:id="488639888">
                  <w:marLeft w:val="0"/>
                  <w:marRight w:val="0"/>
                  <w:marTop w:val="0"/>
                  <w:marBottom w:val="0"/>
                  <w:divBdr>
                    <w:top w:val="none" w:sz="0" w:space="0" w:color="auto"/>
                    <w:left w:val="none" w:sz="0" w:space="0" w:color="auto"/>
                    <w:bottom w:val="none" w:sz="0" w:space="0" w:color="auto"/>
                    <w:right w:val="none" w:sz="0" w:space="0" w:color="auto"/>
                  </w:divBdr>
                </w:div>
              </w:divsChild>
            </w:div>
            <w:div w:id="1450928489">
              <w:marLeft w:val="0"/>
              <w:marRight w:val="0"/>
              <w:marTop w:val="0"/>
              <w:marBottom w:val="0"/>
              <w:divBdr>
                <w:top w:val="none" w:sz="0" w:space="0" w:color="auto"/>
                <w:left w:val="none" w:sz="0" w:space="0" w:color="auto"/>
                <w:bottom w:val="none" w:sz="0" w:space="0" w:color="auto"/>
                <w:right w:val="none" w:sz="0" w:space="0" w:color="auto"/>
              </w:divBdr>
              <w:divsChild>
                <w:div w:id="481460152">
                  <w:marLeft w:val="0"/>
                  <w:marRight w:val="0"/>
                  <w:marTop w:val="0"/>
                  <w:marBottom w:val="0"/>
                  <w:divBdr>
                    <w:top w:val="none" w:sz="0" w:space="0" w:color="auto"/>
                    <w:left w:val="none" w:sz="0" w:space="0" w:color="auto"/>
                    <w:bottom w:val="none" w:sz="0" w:space="0" w:color="auto"/>
                    <w:right w:val="none" w:sz="0" w:space="0" w:color="auto"/>
                  </w:divBdr>
                </w:div>
              </w:divsChild>
            </w:div>
            <w:div w:id="1451779723">
              <w:marLeft w:val="0"/>
              <w:marRight w:val="0"/>
              <w:marTop w:val="0"/>
              <w:marBottom w:val="0"/>
              <w:divBdr>
                <w:top w:val="none" w:sz="0" w:space="0" w:color="auto"/>
                <w:left w:val="none" w:sz="0" w:space="0" w:color="auto"/>
                <w:bottom w:val="none" w:sz="0" w:space="0" w:color="auto"/>
                <w:right w:val="none" w:sz="0" w:space="0" w:color="auto"/>
              </w:divBdr>
              <w:divsChild>
                <w:div w:id="690376658">
                  <w:marLeft w:val="0"/>
                  <w:marRight w:val="0"/>
                  <w:marTop w:val="0"/>
                  <w:marBottom w:val="0"/>
                  <w:divBdr>
                    <w:top w:val="none" w:sz="0" w:space="0" w:color="auto"/>
                    <w:left w:val="none" w:sz="0" w:space="0" w:color="auto"/>
                    <w:bottom w:val="none" w:sz="0" w:space="0" w:color="auto"/>
                    <w:right w:val="none" w:sz="0" w:space="0" w:color="auto"/>
                  </w:divBdr>
                </w:div>
              </w:divsChild>
            </w:div>
            <w:div w:id="1452823678">
              <w:marLeft w:val="0"/>
              <w:marRight w:val="0"/>
              <w:marTop w:val="0"/>
              <w:marBottom w:val="0"/>
              <w:divBdr>
                <w:top w:val="none" w:sz="0" w:space="0" w:color="auto"/>
                <w:left w:val="none" w:sz="0" w:space="0" w:color="auto"/>
                <w:bottom w:val="none" w:sz="0" w:space="0" w:color="auto"/>
                <w:right w:val="none" w:sz="0" w:space="0" w:color="auto"/>
              </w:divBdr>
              <w:divsChild>
                <w:div w:id="2010712160">
                  <w:marLeft w:val="0"/>
                  <w:marRight w:val="0"/>
                  <w:marTop w:val="0"/>
                  <w:marBottom w:val="0"/>
                  <w:divBdr>
                    <w:top w:val="none" w:sz="0" w:space="0" w:color="auto"/>
                    <w:left w:val="none" w:sz="0" w:space="0" w:color="auto"/>
                    <w:bottom w:val="none" w:sz="0" w:space="0" w:color="auto"/>
                    <w:right w:val="none" w:sz="0" w:space="0" w:color="auto"/>
                  </w:divBdr>
                </w:div>
              </w:divsChild>
            </w:div>
            <w:div w:id="1453135869">
              <w:marLeft w:val="0"/>
              <w:marRight w:val="0"/>
              <w:marTop w:val="0"/>
              <w:marBottom w:val="0"/>
              <w:divBdr>
                <w:top w:val="none" w:sz="0" w:space="0" w:color="auto"/>
                <w:left w:val="none" w:sz="0" w:space="0" w:color="auto"/>
                <w:bottom w:val="none" w:sz="0" w:space="0" w:color="auto"/>
                <w:right w:val="none" w:sz="0" w:space="0" w:color="auto"/>
              </w:divBdr>
              <w:divsChild>
                <w:div w:id="159584423">
                  <w:marLeft w:val="0"/>
                  <w:marRight w:val="0"/>
                  <w:marTop w:val="0"/>
                  <w:marBottom w:val="0"/>
                  <w:divBdr>
                    <w:top w:val="none" w:sz="0" w:space="0" w:color="auto"/>
                    <w:left w:val="none" w:sz="0" w:space="0" w:color="auto"/>
                    <w:bottom w:val="none" w:sz="0" w:space="0" w:color="auto"/>
                    <w:right w:val="none" w:sz="0" w:space="0" w:color="auto"/>
                  </w:divBdr>
                </w:div>
              </w:divsChild>
            </w:div>
            <w:div w:id="1453280721">
              <w:marLeft w:val="0"/>
              <w:marRight w:val="0"/>
              <w:marTop w:val="0"/>
              <w:marBottom w:val="0"/>
              <w:divBdr>
                <w:top w:val="none" w:sz="0" w:space="0" w:color="auto"/>
                <w:left w:val="none" w:sz="0" w:space="0" w:color="auto"/>
                <w:bottom w:val="none" w:sz="0" w:space="0" w:color="auto"/>
                <w:right w:val="none" w:sz="0" w:space="0" w:color="auto"/>
              </w:divBdr>
              <w:divsChild>
                <w:div w:id="2142720538">
                  <w:marLeft w:val="0"/>
                  <w:marRight w:val="0"/>
                  <w:marTop w:val="0"/>
                  <w:marBottom w:val="0"/>
                  <w:divBdr>
                    <w:top w:val="none" w:sz="0" w:space="0" w:color="auto"/>
                    <w:left w:val="none" w:sz="0" w:space="0" w:color="auto"/>
                    <w:bottom w:val="none" w:sz="0" w:space="0" w:color="auto"/>
                    <w:right w:val="none" w:sz="0" w:space="0" w:color="auto"/>
                  </w:divBdr>
                </w:div>
              </w:divsChild>
            </w:div>
            <w:div w:id="1453358150">
              <w:marLeft w:val="0"/>
              <w:marRight w:val="0"/>
              <w:marTop w:val="0"/>
              <w:marBottom w:val="0"/>
              <w:divBdr>
                <w:top w:val="none" w:sz="0" w:space="0" w:color="auto"/>
                <w:left w:val="none" w:sz="0" w:space="0" w:color="auto"/>
                <w:bottom w:val="none" w:sz="0" w:space="0" w:color="auto"/>
                <w:right w:val="none" w:sz="0" w:space="0" w:color="auto"/>
              </w:divBdr>
              <w:divsChild>
                <w:div w:id="1697345176">
                  <w:marLeft w:val="0"/>
                  <w:marRight w:val="0"/>
                  <w:marTop w:val="0"/>
                  <w:marBottom w:val="0"/>
                  <w:divBdr>
                    <w:top w:val="none" w:sz="0" w:space="0" w:color="auto"/>
                    <w:left w:val="none" w:sz="0" w:space="0" w:color="auto"/>
                    <w:bottom w:val="none" w:sz="0" w:space="0" w:color="auto"/>
                    <w:right w:val="none" w:sz="0" w:space="0" w:color="auto"/>
                  </w:divBdr>
                </w:div>
              </w:divsChild>
            </w:div>
            <w:div w:id="1453480871">
              <w:marLeft w:val="0"/>
              <w:marRight w:val="0"/>
              <w:marTop w:val="0"/>
              <w:marBottom w:val="0"/>
              <w:divBdr>
                <w:top w:val="none" w:sz="0" w:space="0" w:color="auto"/>
                <w:left w:val="none" w:sz="0" w:space="0" w:color="auto"/>
                <w:bottom w:val="none" w:sz="0" w:space="0" w:color="auto"/>
                <w:right w:val="none" w:sz="0" w:space="0" w:color="auto"/>
              </w:divBdr>
              <w:divsChild>
                <w:div w:id="586579302">
                  <w:marLeft w:val="0"/>
                  <w:marRight w:val="0"/>
                  <w:marTop w:val="0"/>
                  <w:marBottom w:val="0"/>
                  <w:divBdr>
                    <w:top w:val="none" w:sz="0" w:space="0" w:color="auto"/>
                    <w:left w:val="none" w:sz="0" w:space="0" w:color="auto"/>
                    <w:bottom w:val="none" w:sz="0" w:space="0" w:color="auto"/>
                    <w:right w:val="none" w:sz="0" w:space="0" w:color="auto"/>
                  </w:divBdr>
                </w:div>
              </w:divsChild>
            </w:div>
            <w:div w:id="1454011525">
              <w:marLeft w:val="0"/>
              <w:marRight w:val="0"/>
              <w:marTop w:val="0"/>
              <w:marBottom w:val="0"/>
              <w:divBdr>
                <w:top w:val="none" w:sz="0" w:space="0" w:color="auto"/>
                <w:left w:val="none" w:sz="0" w:space="0" w:color="auto"/>
                <w:bottom w:val="none" w:sz="0" w:space="0" w:color="auto"/>
                <w:right w:val="none" w:sz="0" w:space="0" w:color="auto"/>
              </w:divBdr>
              <w:divsChild>
                <w:div w:id="267085126">
                  <w:marLeft w:val="0"/>
                  <w:marRight w:val="0"/>
                  <w:marTop w:val="0"/>
                  <w:marBottom w:val="0"/>
                  <w:divBdr>
                    <w:top w:val="none" w:sz="0" w:space="0" w:color="auto"/>
                    <w:left w:val="none" w:sz="0" w:space="0" w:color="auto"/>
                    <w:bottom w:val="none" w:sz="0" w:space="0" w:color="auto"/>
                    <w:right w:val="none" w:sz="0" w:space="0" w:color="auto"/>
                  </w:divBdr>
                </w:div>
              </w:divsChild>
            </w:div>
            <w:div w:id="1454326902">
              <w:marLeft w:val="0"/>
              <w:marRight w:val="0"/>
              <w:marTop w:val="0"/>
              <w:marBottom w:val="0"/>
              <w:divBdr>
                <w:top w:val="none" w:sz="0" w:space="0" w:color="auto"/>
                <w:left w:val="none" w:sz="0" w:space="0" w:color="auto"/>
                <w:bottom w:val="none" w:sz="0" w:space="0" w:color="auto"/>
                <w:right w:val="none" w:sz="0" w:space="0" w:color="auto"/>
              </w:divBdr>
              <w:divsChild>
                <w:div w:id="42025804">
                  <w:marLeft w:val="0"/>
                  <w:marRight w:val="0"/>
                  <w:marTop w:val="0"/>
                  <w:marBottom w:val="0"/>
                  <w:divBdr>
                    <w:top w:val="none" w:sz="0" w:space="0" w:color="auto"/>
                    <w:left w:val="none" w:sz="0" w:space="0" w:color="auto"/>
                    <w:bottom w:val="none" w:sz="0" w:space="0" w:color="auto"/>
                    <w:right w:val="none" w:sz="0" w:space="0" w:color="auto"/>
                  </w:divBdr>
                </w:div>
              </w:divsChild>
            </w:div>
            <w:div w:id="1454593427">
              <w:marLeft w:val="0"/>
              <w:marRight w:val="0"/>
              <w:marTop w:val="0"/>
              <w:marBottom w:val="0"/>
              <w:divBdr>
                <w:top w:val="none" w:sz="0" w:space="0" w:color="auto"/>
                <w:left w:val="none" w:sz="0" w:space="0" w:color="auto"/>
                <w:bottom w:val="none" w:sz="0" w:space="0" w:color="auto"/>
                <w:right w:val="none" w:sz="0" w:space="0" w:color="auto"/>
              </w:divBdr>
              <w:divsChild>
                <w:div w:id="2145005400">
                  <w:marLeft w:val="0"/>
                  <w:marRight w:val="0"/>
                  <w:marTop w:val="0"/>
                  <w:marBottom w:val="0"/>
                  <w:divBdr>
                    <w:top w:val="none" w:sz="0" w:space="0" w:color="auto"/>
                    <w:left w:val="none" w:sz="0" w:space="0" w:color="auto"/>
                    <w:bottom w:val="none" w:sz="0" w:space="0" w:color="auto"/>
                    <w:right w:val="none" w:sz="0" w:space="0" w:color="auto"/>
                  </w:divBdr>
                </w:div>
              </w:divsChild>
            </w:div>
            <w:div w:id="1455903703">
              <w:marLeft w:val="0"/>
              <w:marRight w:val="0"/>
              <w:marTop w:val="300"/>
              <w:marBottom w:val="300"/>
              <w:divBdr>
                <w:top w:val="none" w:sz="0" w:space="0" w:color="auto"/>
                <w:left w:val="none" w:sz="0" w:space="0" w:color="auto"/>
                <w:bottom w:val="none" w:sz="0" w:space="0" w:color="auto"/>
                <w:right w:val="none" w:sz="0" w:space="0" w:color="auto"/>
              </w:divBdr>
            </w:div>
            <w:div w:id="1457527149">
              <w:marLeft w:val="0"/>
              <w:marRight w:val="0"/>
              <w:marTop w:val="300"/>
              <w:marBottom w:val="300"/>
              <w:divBdr>
                <w:top w:val="none" w:sz="0" w:space="0" w:color="auto"/>
                <w:left w:val="none" w:sz="0" w:space="0" w:color="auto"/>
                <w:bottom w:val="none" w:sz="0" w:space="0" w:color="auto"/>
                <w:right w:val="none" w:sz="0" w:space="0" w:color="auto"/>
              </w:divBdr>
            </w:div>
            <w:div w:id="1457720414">
              <w:marLeft w:val="0"/>
              <w:marRight w:val="0"/>
              <w:marTop w:val="0"/>
              <w:marBottom w:val="0"/>
              <w:divBdr>
                <w:top w:val="none" w:sz="0" w:space="0" w:color="auto"/>
                <w:left w:val="none" w:sz="0" w:space="0" w:color="auto"/>
                <w:bottom w:val="none" w:sz="0" w:space="0" w:color="auto"/>
                <w:right w:val="none" w:sz="0" w:space="0" w:color="auto"/>
              </w:divBdr>
              <w:divsChild>
                <w:div w:id="599601855">
                  <w:marLeft w:val="0"/>
                  <w:marRight w:val="0"/>
                  <w:marTop w:val="0"/>
                  <w:marBottom w:val="0"/>
                  <w:divBdr>
                    <w:top w:val="none" w:sz="0" w:space="0" w:color="auto"/>
                    <w:left w:val="none" w:sz="0" w:space="0" w:color="auto"/>
                    <w:bottom w:val="none" w:sz="0" w:space="0" w:color="auto"/>
                    <w:right w:val="none" w:sz="0" w:space="0" w:color="auto"/>
                  </w:divBdr>
                </w:div>
              </w:divsChild>
            </w:div>
            <w:div w:id="1458719749">
              <w:marLeft w:val="0"/>
              <w:marRight w:val="0"/>
              <w:marTop w:val="300"/>
              <w:marBottom w:val="300"/>
              <w:divBdr>
                <w:top w:val="none" w:sz="0" w:space="0" w:color="auto"/>
                <w:left w:val="none" w:sz="0" w:space="0" w:color="auto"/>
                <w:bottom w:val="none" w:sz="0" w:space="0" w:color="auto"/>
                <w:right w:val="none" w:sz="0" w:space="0" w:color="auto"/>
              </w:divBdr>
            </w:div>
            <w:div w:id="1460108043">
              <w:marLeft w:val="0"/>
              <w:marRight w:val="0"/>
              <w:marTop w:val="0"/>
              <w:marBottom w:val="0"/>
              <w:divBdr>
                <w:top w:val="none" w:sz="0" w:space="0" w:color="auto"/>
                <w:left w:val="none" w:sz="0" w:space="0" w:color="auto"/>
                <w:bottom w:val="none" w:sz="0" w:space="0" w:color="auto"/>
                <w:right w:val="none" w:sz="0" w:space="0" w:color="auto"/>
              </w:divBdr>
              <w:divsChild>
                <w:div w:id="1847086007">
                  <w:marLeft w:val="0"/>
                  <w:marRight w:val="0"/>
                  <w:marTop w:val="0"/>
                  <w:marBottom w:val="0"/>
                  <w:divBdr>
                    <w:top w:val="none" w:sz="0" w:space="0" w:color="auto"/>
                    <w:left w:val="none" w:sz="0" w:space="0" w:color="auto"/>
                    <w:bottom w:val="none" w:sz="0" w:space="0" w:color="auto"/>
                    <w:right w:val="none" w:sz="0" w:space="0" w:color="auto"/>
                  </w:divBdr>
                </w:div>
              </w:divsChild>
            </w:div>
            <w:div w:id="1460421320">
              <w:marLeft w:val="0"/>
              <w:marRight w:val="0"/>
              <w:marTop w:val="0"/>
              <w:marBottom w:val="0"/>
              <w:divBdr>
                <w:top w:val="none" w:sz="0" w:space="0" w:color="auto"/>
                <w:left w:val="none" w:sz="0" w:space="0" w:color="auto"/>
                <w:bottom w:val="none" w:sz="0" w:space="0" w:color="auto"/>
                <w:right w:val="none" w:sz="0" w:space="0" w:color="auto"/>
              </w:divBdr>
              <w:divsChild>
                <w:div w:id="1247305430">
                  <w:marLeft w:val="0"/>
                  <w:marRight w:val="0"/>
                  <w:marTop w:val="0"/>
                  <w:marBottom w:val="0"/>
                  <w:divBdr>
                    <w:top w:val="none" w:sz="0" w:space="0" w:color="auto"/>
                    <w:left w:val="none" w:sz="0" w:space="0" w:color="auto"/>
                    <w:bottom w:val="none" w:sz="0" w:space="0" w:color="auto"/>
                    <w:right w:val="none" w:sz="0" w:space="0" w:color="auto"/>
                  </w:divBdr>
                </w:div>
              </w:divsChild>
            </w:div>
            <w:div w:id="1462042780">
              <w:marLeft w:val="0"/>
              <w:marRight w:val="0"/>
              <w:marTop w:val="0"/>
              <w:marBottom w:val="0"/>
              <w:divBdr>
                <w:top w:val="none" w:sz="0" w:space="0" w:color="auto"/>
                <w:left w:val="none" w:sz="0" w:space="0" w:color="auto"/>
                <w:bottom w:val="none" w:sz="0" w:space="0" w:color="auto"/>
                <w:right w:val="none" w:sz="0" w:space="0" w:color="auto"/>
              </w:divBdr>
              <w:divsChild>
                <w:div w:id="989405625">
                  <w:marLeft w:val="0"/>
                  <w:marRight w:val="0"/>
                  <w:marTop w:val="0"/>
                  <w:marBottom w:val="0"/>
                  <w:divBdr>
                    <w:top w:val="none" w:sz="0" w:space="0" w:color="auto"/>
                    <w:left w:val="none" w:sz="0" w:space="0" w:color="auto"/>
                    <w:bottom w:val="none" w:sz="0" w:space="0" w:color="auto"/>
                    <w:right w:val="none" w:sz="0" w:space="0" w:color="auto"/>
                  </w:divBdr>
                </w:div>
              </w:divsChild>
            </w:div>
            <w:div w:id="1465000208">
              <w:marLeft w:val="0"/>
              <w:marRight w:val="0"/>
              <w:marTop w:val="0"/>
              <w:marBottom w:val="0"/>
              <w:divBdr>
                <w:top w:val="none" w:sz="0" w:space="0" w:color="auto"/>
                <w:left w:val="none" w:sz="0" w:space="0" w:color="auto"/>
                <w:bottom w:val="none" w:sz="0" w:space="0" w:color="auto"/>
                <w:right w:val="none" w:sz="0" w:space="0" w:color="auto"/>
              </w:divBdr>
              <w:divsChild>
                <w:div w:id="34936779">
                  <w:marLeft w:val="0"/>
                  <w:marRight w:val="0"/>
                  <w:marTop w:val="0"/>
                  <w:marBottom w:val="0"/>
                  <w:divBdr>
                    <w:top w:val="none" w:sz="0" w:space="0" w:color="auto"/>
                    <w:left w:val="none" w:sz="0" w:space="0" w:color="auto"/>
                    <w:bottom w:val="none" w:sz="0" w:space="0" w:color="auto"/>
                    <w:right w:val="none" w:sz="0" w:space="0" w:color="auto"/>
                  </w:divBdr>
                </w:div>
              </w:divsChild>
            </w:div>
            <w:div w:id="1465154601">
              <w:marLeft w:val="0"/>
              <w:marRight w:val="0"/>
              <w:marTop w:val="0"/>
              <w:marBottom w:val="0"/>
              <w:divBdr>
                <w:top w:val="none" w:sz="0" w:space="0" w:color="auto"/>
                <w:left w:val="none" w:sz="0" w:space="0" w:color="auto"/>
                <w:bottom w:val="none" w:sz="0" w:space="0" w:color="auto"/>
                <w:right w:val="none" w:sz="0" w:space="0" w:color="auto"/>
              </w:divBdr>
              <w:divsChild>
                <w:div w:id="473643922">
                  <w:marLeft w:val="0"/>
                  <w:marRight w:val="0"/>
                  <w:marTop w:val="0"/>
                  <w:marBottom w:val="0"/>
                  <w:divBdr>
                    <w:top w:val="none" w:sz="0" w:space="0" w:color="auto"/>
                    <w:left w:val="none" w:sz="0" w:space="0" w:color="auto"/>
                    <w:bottom w:val="none" w:sz="0" w:space="0" w:color="auto"/>
                    <w:right w:val="none" w:sz="0" w:space="0" w:color="auto"/>
                  </w:divBdr>
                </w:div>
              </w:divsChild>
            </w:div>
            <w:div w:id="1465613337">
              <w:marLeft w:val="0"/>
              <w:marRight w:val="0"/>
              <w:marTop w:val="0"/>
              <w:marBottom w:val="0"/>
              <w:divBdr>
                <w:top w:val="none" w:sz="0" w:space="0" w:color="auto"/>
                <w:left w:val="none" w:sz="0" w:space="0" w:color="auto"/>
                <w:bottom w:val="none" w:sz="0" w:space="0" w:color="auto"/>
                <w:right w:val="none" w:sz="0" w:space="0" w:color="auto"/>
              </w:divBdr>
              <w:divsChild>
                <w:div w:id="429007436">
                  <w:marLeft w:val="0"/>
                  <w:marRight w:val="0"/>
                  <w:marTop w:val="0"/>
                  <w:marBottom w:val="0"/>
                  <w:divBdr>
                    <w:top w:val="none" w:sz="0" w:space="0" w:color="auto"/>
                    <w:left w:val="none" w:sz="0" w:space="0" w:color="auto"/>
                    <w:bottom w:val="none" w:sz="0" w:space="0" w:color="auto"/>
                    <w:right w:val="none" w:sz="0" w:space="0" w:color="auto"/>
                  </w:divBdr>
                </w:div>
              </w:divsChild>
            </w:div>
            <w:div w:id="1467703168">
              <w:marLeft w:val="0"/>
              <w:marRight w:val="0"/>
              <w:marTop w:val="300"/>
              <w:marBottom w:val="300"/>
              <w:divBdr>
                <w:top w:val="none" w:sz="0" w:space="0" w:color="auto"/>
                <w:left w:val="none" w:sz="0" w:space="0" w:color="auto"/>
                <w:bottom w:val="none" w:sz="0" w:space="0" w:color="auto"/>
                <w:right w:val="none" w:sz="0" w:space="0" w:color="auto"/>
              </w:divBdr>
            </w:div>
            <w:div w:id="1467746393">
              <w:marLeft w:val="0"/>
              <w:marRight w:val="0"/>
              <w:marTop w:val="300"/>
              <w:marBottom w:val="300"/>
              <w:divBdr>
                <w:top w:val="none" w:sz="0" w:space="0" w:color="auto"/>
                <w:left w:val="none" w:sz="0" w:space="0" w:color="auto"/>
                <w:bottom w:val="none" w:sz="0" w:space="0" w:color="auto"/>
                <w:right w:val="none" w:sz="0" w:space="0" w:color="auto"/>
              </w:divBdr>
            </w:div>
            <w:div w:id="1467966170">
              <w:marLeft w:val="0"/>
              <w:marRight w:val="0"/>
              <w:marTop w:val="0"/>
              <w:marBottom w:val="0"/>
              <w:divBdr>
                <w:top w:val="none" w:sz="0" w:space="0" w:color="auto"/>
                <w:left w:val="none" w:sz="0" w:space="0" w:color="auto"/>
                <w:bottom w:val="none" w:sz="0" w:space="0" w:color="auto"/>
                <w:right w:val="none" w:sz="0" w:space="0" w:color="auto"/>
              </w:divBdr>
              <w:divsChild>
                <w:div w:id="1139608806">
                  <w:marLeft w:val="0"/>
                  <w:marRight w:val="0"/>
                  <w:marTop w:val="0"/>
                  <w:marBottom w:val="0"/>
                  <w:divBdr>
                    <w:top w:val="none" w:sz="0" w:space="0" w:color="auto"/>
                    <w:left w:val="none" w:sz="0" w:space="0" w:color="auto"/>
                    <w:bottom w:val="none" w:sz="0" w:space="0" w:color="auto"/>
                    <w:right w:val="none" w:sz="0" w:space="0" w:color="auto"/>
                  </w:divBdr>
                </w:div>
              </w:divsChild>
            </w:div>
            <w:div w:id="1470707152">
              <w:marLeft w:val="0"/>
              <w:marRight w:val="0"/>
              <w:marTop w:val="0"/>
              <w:marBottom w:val="0"/>
              <w:divBdr>
                <w:top w:val="none" w:sz="0" w:space="0" w:color="auto"/>
                <w:left w:val="none" w:sz="0" w:space="0" w:color="auto"/>
                <w:bottom w:val="none" w:sz="0" w:space="0" w:color="auto"/>
                <w:right w:val="none" w:sz="0" w:space="0" w:color="auto"/>
              </w:divBdr>
              <w:divsChild>
                <w:div w:id="1194687732">
                  <w:marLeft w:val="0"/>
                  <w:marRight w:val="0"/>
                  <w:marTop w:val="0"/>
                  <w:marBottom w:val="0"/>
                  <w:divBdr>
                    <w:top w:val="none" w:sz="0" w:space="0" w:color="auto"/>
                    <w:left w:val="none" w:sz="0" w:space="0" w:color="auto"/>
                    <w:bottom w:val="none" w:sz="0" w:space="0" w:color="auto"/>
                    <w:right w:val="none" w:sz="0" w:space="0" w:color="auto"/>
                  </w:divBdr>
                </w:div>
              </w:divsChild>
            </w:div>
            <w:div w:id="1471632390">
              <w:marLeft w:val="0"/>
              <w:marRight w:val="0"/>
              <w:marTop w:val="0"/>
              <w:marBottom w:val="0"/>
              <w:divBdr>
                <w:top w:val="none" w:sz="0" w:space="0" w:color="auto"/>
                <w:left w:val="none" w:sz="0" w:space="0" w:color="auto"/>
                <w:bottom w:val="none" w:sz="0" w:space="0" w:color="auto"/>
                <w:right w:val="none" w:sz="0" w:space="0" w:color="auto"/>
              </w:divBdr>
              <w:divsChild>
                <w:div w:id="1552500273">
                  <w:marLeft w:val="0"/>
                  <w:marRight w:val="0"/>
                  <w:marTop w:val="0"/>
                  <w:marBottom w:val="0"/>
                  <w:divBdr>
                    <w:top w:val="none" w:sz="0" w:space="0" w:color="auto"/>
                    <w:left w:val="none" w:sz="0" w:space="0" w:color="auto"/>
                    <w:bottom w:val="none" w:sz="0" w:space="0" w:color="auto"/>
                    <w:right w:val="none" w:sz="0" w:space="0" w:color="auto"/>
                  </w:divBdr>
                </w:div>
              </w:divsChild>
            </w:div>
            <w:div w:id="1472408296">
              <w:marLeft w:val="0"/>
              <w:marRight w:val="0"/>
              <w:marTop w:val="0"/>
              <w:marBottom w:val="0"/>
              <w:divBdr>
                <w:top w:val="none" w:sz="0" w:space="0" w:color="auto"/>
                <w:left w:val="none" w:sz="0" w:space="0" w:color="auto"/>
                <w:bottom w:val="none" w:sz="0" w:space="0" w:color="auto"/>
                <w:right w:val="none" w:sz="0" w:space="0" w:color="auto"/>
              </w:divBdr>
              <w:divsChild>
                <w:div w:id="1566794174">
                  <w:marLeft w:val="0"/>
                  <w:marRight w:val="0"/>
                  <w:marTop w:val="0"/>
                  <w:marBottom w:val="0"/>
                  <w:divBdr>
                    <w:top w:val="none" w:sz="0" w:space="0" w:color="auto"/>
                    <w:left w:val="none" w:sz="0" w:space="0" w:color="auto"/>
                    <w:bottom w:val="none" w:sz="0" w:space="0" w:color="auto"/>
                    <w:right w:val="none" w:sz="0" w:space="0" w:color="auto"/>
                  </w:divBdr>
                </w:div>
              </w:divsChild>
            </w:div>
            <w:div w:id="1472408383">
              <w:marLeft w:val="0"/>
              <w:marRight w:val="0"/>
              <w:marTop w:val="0"/>
              <w:marBottom w:val="0"/>
              <w:divBdr>
                <w:top w:val="none" w:sz="0" w:space="0" w:color="auto"/>
                <w:left w:val="none" w:sz="0" w:space="0" w:color="auto"/>
                <w:bottom w:val="none" w:sz="0" w:space="0" w:color="auto"/>
                <w:right w:val="none" w:sz="0" w:space="0" w:color="auto"/>
              </w:divBdr>
              <w:divsChild>
                <w:div w:id="1567566506">
                  <w:marLeft w:val="0"/>
                  <w:marRight w:val="0"/>
                  <w:marTop w:val="0"/>
                  <w:marBottom w:val="0"/>
                  <w:divBdr>
                    <w:top w:val="none" w:sz="0" w:space="0" w:color="auto"/>
                    <w:left w:val="none" w:sz="0" w:space="0" w:color="auto"/>
                    <w:bottom w:val="none" w:sz="0" w:space="0" w:color="auto"/>
                    <w:right w:val="none" w:sz="0" w:space="0" w:color="auto"/>
                  </w:divBdr>
                </w:div>
              </w:divsChild>
            </w:div>
            <w:div w:id="1474250901">
              <w:marLeft w:val="0"/>
              <w:marRight w:val="0"/>
              <w:marTop w:val="0"/>
              <w:marBottom w:val="0"/>
              <w:divBdr>
                <w:top w:val="none" w:sz="0" w:space="0" w:color="auto"/>
                <w:left w:val="none" w:sz="0" w:space="0" w:color="auto"/>
                <w:bottom w:val="none" w:sz="0" w:space="0" w:color="auto"/>
                <w:right w:val="none" w:sz="0" w:space="0" w:color="auto"/>
              </w:divBdr>
              <w:divsChild>
                <w:div w:id="6368325">
                  <w:marLeft w:val="0"/>
                  <w:marRight w:val="0"/>
                  <w:marTop w:val="0"/>
                  <w:marBottom w:val="0"/>
                  <w:divBdr>
                    <w:top w:val="none" w:sz="0" w:space="0" w:color="auto"/>
                    <w:left w:val="none" w:sz="0" w:space="0" w:color="auto"/>
                    <w:bottom w:val="none" w:sz="0" w:space="0" w:color="auto"/>
                    <w:right w:val="none" w:sz="0" w:space="0" w:color="auto"/>
                  </w:divBdr>
                </w:div>
              </w:divsChild>
            </w:div>
            <w:div w:id="1475415257">
              <w:marLeft w:val="0"/>
              <w:marRight w:val="0"/>
              <w:marTop w:val="0"/>
              <w:marBottom w:val="0"/>
              <w:divBdr>
                <w:top w:val="none" w:sz="0" w:space="0" w:color="auto"/>
                <w:left w:val="none" w:sz="0" w:space="0" w:color="auto"/>
                <w:bottom w:val="none" w:sz="0" w:space="0" w:color="auto"/>
                <w:right w:val="none" w:sz="0" w:space="0" w:color="auto"/>
              </w:divBdr>
              <w:divsChild>
                <w:div w:id="1148859745">
                  <w:marLeft w:val="0"/>
                  <w:marRight w:val="0"/>
                  <w:marTop w:val="0"/>
                  <w:marBottom w:val="0"/>
                  <w:divBdr>
                    <w:top w:val="none" w:sz="0" w:space="0" w:color="auto"/>
                    <w:left w:val="none" w:sz="0" w:space="0" w:color="auto"/>
                    <w:bottom w:val="none" w:sz="0" w:space="0" w:color="auto"/>
                    <w:right w:val="none" w:sz="0" w:space="0" w:color="auto"/>
                  </w:divBdr>
                </w:div>
              </w:divsChild>
            </w:div>
            <w:div w:id="1476097118">
              <w:marLeft w:val="0"/>
              <w:marRight w:val="0"/>
              <w:marTop w:val="0"/>
              <w:marBottom w:val="0"/>
              <w:divBdr>
                <w:top w:val="none" w:sz="0" w:space="0" w:color="auto"/>
                <w:left w:val="none" w:sz="0" w:space="0" w:color="auto"/>
                <w:bottom w:val="none" w:sz="0" w:space="0" w:color="auto"/>
                <w:right w:val="none" w:sz="0" w:space="0" w:color="auto"/>
              </w:divBdr>
              <w:divsChild>
                <w:div w:id="79299103">
                  <w:marLeft w:val="0"/>
                  <w:marRight w:val="0"/>
                  <w:marTop w:val="0"/>
                  <w:marBottom w:val="0"/>
                  <w:divBdr>
                    <w:top w:val="none" w:sz="0" w:space="0" w:color="auto"/>
                    <w:left w:val="none" w:sz="0" w:space="0" w:color="auto"/>
                    <w:bottom w:val="none" w:sz="0" w:space="0" w:color="auto"/>
                    <w:right w:val="none" w:sz="0" w:space="0" w:color="auto"/>
                  </w:divBdr>
                </w:div>
              </w:divsChild>
            </w:div>
            <w:div w:id="1476295155">
              <w:marLeft w:val="0"/>
              <w:marRight w:val="0"/>
              <w:marTop w:val="0"/>
              <w:marBottom w:val="0"/>
              <w:divBdr>
                <w:top w:val="none" w:sz="0" w:space="0" w:color="auto"/>
                <w:left w:val="none" w:sz="0" w:space="0" w:color="auto"/>
                <w:bottom w:val="none" w:sz="0" w:space="0" w:color="auto"/>
                <w:right w:val="none" w:sz="0" w:space="0" w:color="auto"/>
              </w:divBdr>
              <w:divsChild>
                <w:div w:id="2088533894">
                  <w:marLeft w:val="0"/>
                  <w:marRight w:val="0"/>
                  <w:marTop w:val="0"/>
                  <w:marBottom w:val="0"/>
                  <w:divBdr>
                    <w:top w:val="none" w:sz="0" w:space="0" w:color="auto"/>
                    <w:left w:val="none" w:sz="0" w:space="0" w:color="auto"/>
                    <w:bottom w:val="none" w:sz="0" w:space="0" w:color="auto"/>
                    <w:right w:val="none" w:sz="0" w:space="0" w:color="auto"/>
                  </w:divBdr>
                </w:div>
              </w:divsChild>
            </w:div>
            <w:div w:id="1478764465">
              <w:marLeft w:val="0"/>
              <w:marRight w:val="0"/>
              <w:marTop w:val="300"/>
              <w:marBottom w:val="300"/>
              <w:divBdr>
                <w:top w:val="none" w:sz="0" w:space="0" w:color="auto"/>
                <w:left w:val="none" w:sz="0" w:space="0" w:color="auto"/>
                <w:bottom w:val="none" w:sz="0" w:space="0" w:color="auto"/>
                <w:right w:val="none" w:sz="0" w:space="0" w:color="auto"/>
              </w:divBdr>
            </w:div>
            <w:div w:id="1479229208">
              <w:marLeft w:val="0"/>
              <w:marRight w:val="0"/>
              <w:marTop w:val="0"/>
              <w:marBottom w:val="0"/>
              <w:divBdr>
                <w:top w:val="none" w:sz="0" w:space="0" w:color="auto"/>
                <w:left w:val="none" w:sz="0" w:space="0" w:color="auto"/>
                <w:bottom w:val="none" w:sz="0" w:space="0" w:color="auto"/>
                <w:right w:val="none" w:sz="0" w:space="0" w:color="auto"/>
              </w:divBdr>
              <w:divsChild>
                <w:div w:id="1316572805">
                  <w:marLeft w:val="0"/>
                  <w:marRight w:val="0"/>
                  <w:marTop w:val="0"/>
                  <w:marBottom w:val="0"/>
                  <w:divBdr>
                    <w:top w:val="none" w:sz="0" w:space="0" w:color="auto"/>
                    <w:left w:val="none" w:sz="0" w:space="0" w:color="auto"/>
                    <w:bottom w:val="none" w:sz="0" w:space="0" w:color="auto"/>
                    <w:right w:val="none" w:sz="0" w:space="0" w:color="auto"/>
                  </w:divBdr>
                </w:div>
              </w:divsChild>
            </w:div>
            <w:div w:id="1479347050">
              <w:marLeft w:val="0"/>
              <w:marRight w:val="0"/>
              <w:marTop w:val="0"/>
              <w:marBottom w:val="0"/>
              <w:divBdr>
                <w:top w:val="none" w:sz="0" w:space="0" w:color="auto"/>
                <w:left w:val="none" w:sz="0" w:space="0" w:color="auto"/>
                <w:bottom w:val="none" w:sz="0" w:space="0" w:color="auto"/>
                <w:right w:val="none" w:sz="0" w:space="0" w:color="auto"/>
              </w:divBdr>
              <w:divsChild>
                <w:div w:id="1128863728">
                  <w:marLeft w:val="0"/>
                  <w:marRight w:val="0"/>
                  <w:marTop w:val="0"/>
                  <w:marBottom w:val="0"/>
                  <w:divBdr>
                    <w:top w:val="none" w:sz="0" w:space="0" w:color="auto"/>
                    <w:left w:val="none" w:sz="0" w:space="0" w:color="auto"/>
                    <w:bottom w:val="none" w:sz="0" w:space="0" w:color="auto"/>
                    <w:right w:val="none" w:sz="0" w:space="0" w:color="auto"/>
                  </w:divBdr>
                </w:div>
              </w:divsChild>
            </w:div>
            <w:div w:id="1480027263">
              <w:marLeft w:val="0"/>
              <w:marRight w:val="0"/>
              <w:marTop w:val="0"/>
              <w:marBottom w:val="0"/>
              <w:divBdr>
                <w:top w:val="none" w:sz="0" w:space="0" w:color="auto"/>
                <w:left w:val="none" w:sz="0" w:space="0" w:color="auto"/>
                <w:bottom w:val="none" w:sz="0" w:space="0" w:color="auto"/>
                <w:right w:val="none" w:sz="0" w:space="0" w:color="auto"/>
              </w:divBdr>
              <w:divsChild>
                <w:div w:id="578684320">
                  <w:marLeft w:val="0"/>
                  <w:marRight w:val="0"/>
                  <w:marTop w:val="0"/>
                  <w:marBottom w:val="0"/>
                  <w:divBdr>
                    <w:top w:val="none" w:sz="0" w:space="0" w:color="auto"/>
                    <w:left w:val="none" w:sz="0" w:space="0" w:color="auto"/>
                    <w:bottom w:val="none" w:sz="0" w:space="0" w:color="auto"/>
                    <w:right w:val="none" w:sz="0" w:space="0" w:color="auto"/>
                  </w:divBdr>
                </w:div>
              </w:divsChild>
            </w:div>
            <w:div w:id="1481312729">
              <w:marLeft w:val="0"/>
              <w:marRight w:val="0"/>
              <w:marTop w:val="0"/>
              <w:marBottom w:val="0"/>
              <w:divBdr>
                <w:top w:val="none" w:sz="0" w:space="0" w:color="auto"/>
                <w:left w:val="none" w:sz="0" w:space="0" w:color="auto"/>
                <w:bottom w:val="none" w:sz="0" w:space="0" w:color="auto"/>
                <w:right w:val="none" w:sz="0" w:space="0" w:color="auto"/>
              </w:divBdr>
              <w:divsChild>
                <w:div w:id="1392734905">
                  <w:marLeft w:val="0"/>
                  <w:marRight w:val="0"/>
                  <w:marTop w:val="0"/>
                  <w:marBottom w:val="0"/>
                  <w:divBdr>
                    <w:top w:val="none" w:sz="0" w:space="0" w:color="auto"/>
                    <w:left w:val="none" w:sz="0" w:space="0" w:color="auto"/>
                    <w:bottom w:val="none" w:sz="0" w:space="0" w:color="auto"/>
                    <w:right w:val="none" w:sz="0" w:space="0" w:color="auto"/>
                  </w:divBdr>
                </w:div>
              </w:divsChild>
            </w:div>
            <w:div w:id="1482231625">
              <w:marLeft w:val="0"/>
              <w:marRight w:val="0"/>
              <w:marTop w:val="0"/>
              <w:marBottom w:val="0"/>
              <w:divBdr>
                <w:top w:val="none" w:sz="0" w:space="0" w:color="auto"/>
                <w:left w:val="none" w:sz="0" w:space="0" w:color="auto"/>
                <w:bottom w:val="none" w:sz="0" w:space="0" w:color="auto"/>
                <w:right w:val="none" w:sz="0" w:space="0" w:color="auto"/>
              </w:divBdr>
              <w:divsChild>
                <w:div w:id="1940411984">
                  <w:marLeft w:val="0"/>
                  <w:marRight w:val="0"/>
                  <w:marTop w:val="0"/>
                  <w:marBottom w:val="0"/>
                  <w:divBdr>
                    <w:top w:val="none" w:sz="0" w:space="0" w:color="auto"/>
                    <w:left w:val="none" w:sz="0" w:space="0" w:color="auto"/>
                    <w:bottom w:val="none" w:sz="0" w:space="0" w:color="auto"/>
                    <w:right w:val="none" w:sz="0" w:space="0" w:color="auto"/>
                  </w:divBdr>
                </w:div>
              </w:divsChild>
            </w:div>
            <w:div w:id="1482771200">
              <w:marLeft w:val="0"/>
              <w:marRight w:val="0"/>
              <w:marTop w:val="0"/>
              <w:marBottom w:val="0"/>
              <w:divBdr>
                <w:top w:val="none" w:sz="0" w:space="0" w:color="auto"/>
                <w:left w:val="none" w:sz="0" w:space="0" w:color="auto"/>
                <w:bottom w:val="none" w:sz="0" w:space="0" w:color="auto"/>
                <w:right w:val="none" w:sz="0" w:space="0" w:color="auto"/>
              </w:divBdr>
              <w:divsChild>
                <w:div w:id="494030285">
                  <w:marLeft w:val="0"/>
                  <w:marRight w:val="0"/>
                  <w:marTop w:val="0"/>
                  <w:marBottom w:val="0"/>
                  <w:divBdr>
                    <w:top w:val="none" w:sz="0" w:space="0" w:color="auto"/>
                    <w:left w:val="none" w:sz="0" w:space="0" w:color="auto"/>
                    <w:bottom w:val="none" w:sz="0" w:space="0" w:color="auto"/>
                    <w:right w:val="none" w:sz="0" w:space="0" w:color="auto"/>
                  </w:divBdr>
                </w:div>
              </w:divsChild>
            </w:div>
            <w:div w:id="1486554714">
              <w:marLeft w:val="0"/>
              <w:marRight w:val="0"/>
              <w:marTop w:val="300"/>
              <w:marBottom w:val="300"/>
              <w:divBdr>
                <w:top w:val="none" w:sz="0" w:space="0" w:color="auto"/>
                <w:left w:val="none" w:sz="0" w:space="0" w:color="auto"/>
                <w:bottom w:val="none" w:sz="0" w:space="0" w:color="auto"/>
                <w:right w:val="none" w:sz="0" w:space="0" w:color="auto"/>
              </w:divBdr>
            </w:div>
            <w:div w:id="1491093534">
              <w:marLeft w:val="0"/>
              <w:marRight w:val="0"/>
              <w:marTop w:val="0"/>
              <w:marBottom w:val="0"/>
              <w:divBdr>
                <w:top w:val="none" w:sz="0" w:space="0" w:color="auto"/>
                <w:left w:val="none" w:sz="0" w:space="0" w:color="auto"/>
                <w:bottom w:val="none" w:sz="0" w:space="0" w:color="auto"/>
                <w:right w:val="none" w:sz="0" w:space="0" w:color="auto"/>
              </w:divBdr>
              <w:divsChild>
                <w:div w:id="831917973">
                  <w:marLeft w:val="0"/>
                  <w:marRight w:val="0"/>
                  <w:marTop w:val="0"/>
                  <w:marBottom w:val="0"/>
                  <w:divBdr>
                    <w:top w:val="none" w:sz="0" w:space="0" w:color="auto"/>
                    <w:left w:val="none" w:sz="0" w:space="0" w:color="auto"/>
                    <w:bottom w:val="none" w:sz="0" w:space="0" w:color="auto"/>
                    <w:right w:val="none" w:sz="0" w:space="0" w:color="auto"/>
                  </w:divBdr>
                </w:div>
              </w:divsChild>
            </w:div>
            <w:div w:id="1492059394">
              <w:marLeft w:val="0"/>
              <w:marRight w:val="0"/>
              <w:marTop w:val="0"/>
              <w:marBottom w:val="0"/>
              <w:divBdr>
                <w:top w:val="none" w:sz="0" w:space="0" w:color="auto"/>
                <w:left w:val="none" w:sz="0" w:space="0" w:color="auto"/>
                <w:bottom w:val="none" w:sz="0" w:space="0" w:color="auto"/>
                <w:right w:val="none" w:sz="0" w:space="0" w:color="auto"/>
              </w:divBdr>
              <w:divsChild>
                <w:div w:id="548763065">
                  <w:marLeft w:val="0"/>
                  <w:marRight w:val="0"/>
                  <w:marTop w:val="0"/>
                  <w:marBottom w:val="0"/>
                  <w:divBdr>
                    <w:top w:val="none" w:sz="0" w:space="0" w:color="auto"/>
                    <w:left w:val="none" w:sz="0" w:space="0" w:color="auto"/>
                    <w:bottom w:val="none" w:sz="0" w:space="0" w:color="auto"/>
                    <w:right w:val="none" w:sz="0" w:space="0" w:color="auto"/>
                  </w:divBdr>
                </w:div>
              </w:divsChild>
            </w:div>
            <w:div w:id="1493109416">
              <w:marLeft w:val="0"/>
              <w:marRight w:val="0"/>
              <w:marTop w:val="0"/>
              <w:marBottom w:val="0"/>
              <w:divBdr>
                <w:top w:val="none" w:sz="0" w:space="0" w:color="auto"/>
                <w:left w:val="none" w:sz="0" w:space="0" w:color="auto"/>
                <w:bottom w:val="none" w:sz="0" w:space="0" w:color="auto"/>
                <w:right w:val="none" w:sz="0" w:space="0" w:color="auto"/>
              </w:divBdr>
              <w:divsChild>
                <w:div w:id="348681733">
                  <w:marLeft w:val="0"/>
                  <w:marRight w:val="0"/>
                  <w:marTop w:val="0"/>
                  <w:marBottom w:val="0"/>
                  <w:divBdr>
                    <w:top w:val="none" w:sz="0" w:space="0" w:color="auto"/>
                    <w:left w:val="none" w:sz="0" w:space="0" w:color="auto"/>
                    <w:bottom w:val="none" w:sz="0" w:space="0" w:color="auto"/>
                    <w:right w:val="none" w:sz="0" w:space="0" w:color="auto"/>
                  </w:divBdr>
                </w:div>
              </w:divsChild>
            </w:div>
            <w:div w:id="1496413140">
              <w:marLeft w:val="0"/>
              <w:marRight w:val="0"/>
              <w:marTop w:val="300"/>
              <w:marBottom w:val="300"/>
              <w:divBdr>
                <w:top w:val="none" w:sz="0" w:space="0" w:color="auto"/>
                <w:left w:val="none" w:sz="0" w:space="0" w:color="auto"/>
                <w:bottom w:val="none" w:sz="0" w:space="0" w:color="auto"/>
                <w:right w:val="none" w:sz="0" w:space="0" w:color="auto"/>
              </w:divBdr>
            </w:div>
            <w:div w:id="1498350035">
              <w:marLeft w:val="0"/>
              <w:marRight w:val="0"/>
              <w:marTop w:val="0"/>
              <w:marBottom w:val="0"/>
              <w:divBdr>
                <w:top w:val="none" w:sz="0" w:space="0" w:color="auto"/>
                <w:left w:val="none" w:sz="0" w:space="0" w:color="auto"/>
                <w:bottom w:val="none" w:sz="0" w:space="0" w:color="auto"/>
                <w:right w:val="none" w:sz="0" w:space="0" w:color="auto"/>
              </w:divBdr>
              <w:divsChild>
                <w:div w:id="957681424">
                  <w:marLeft w:val="0"/>
                  <w:marRight w:val="0"/>
                  <w:marTop w:val="0"/>
                  <w:marBottom w:val="0"/>
                  <w:divBdr>
                    <w:top w:val="none" w:sz="0" w:space="0" w:color="auto"/>
                    <w:left w:val="none" w:sz="0" w:space="0" w:color="auto"/>
                    <w:bottom w:val="none" w:sz="0" w:space="0" w:color="auto"/>
                    <w:right w:val="none" w:sz="0" w:space="0" w:color="auto"/>
                  </w:divBdr>
                </w:div>
              </w:divsChild>
            </w:div>
            <w:div w:id="1498961490">
              <w:marLeft w:val="0"/>
              <w:marRight w:val="0"/>
              <w:marTop w:val="0"/>
              <w:marBottom w:val="0"/>
              <w:divBdr>
                <w:top w:val="none" w:sz="0" w:space="0" w:color="auto"/>
                <w:left w:val="none" w:sz="0" w:space="0" w:color="auto"/>
                <w:bottom w:val="none" w:sz="0" w:space="0" w:color="auto"/>
                <w:right w:val="none" w:sz="0" w:space="0" w:color="auto"/>
              </w:divBdr>
              <w:divsChild>
                <w:div w:id="172381336">
                  <w:marLeft w:val="0"/>
                  <w:marRight w:val="0"/>
                  <w:marTop w:val="0"/>
                  <w:marBottom w:val="0"/>
                  <w:divBdr>
                    <w:top w:val="none" w:sz="0" w:space="0" w:color="auto"/>
                    <w:left w:val="none" w:sz="0" w:space="0" w:color="auto"/>
                    <w:bottom w:val="none" w:sz="0" w:space="0" w:color="auto"/>
                    <w:right w:val="none" w:sz="0" w:space="0" w:color="auto"/>
                  </w:divBdr>
                </w:div>
              </w:divsChild>
            </w:div>
            <w:div w:id="1499735238">
              <w:marLeft w:val="0"/>
              <w:marRight w:val="0"/>
              <w:marTop w:val="0"/>
              <w:marBottom w:val="0"/>
              <w:divBdr>
                <w:top w:val="none" w:sz="0" w:space="0" w:color="auto"/>
                <w:left w:val="none" w:sz="0" w:space="0" w:color="auto"/>
                <w:bottom w:val="none" w:sz="0" w:space="0" w:color="auto"/>
                <w:right w:val="none" w:sz="0" w:space="0" w:color="auto"/>
              </w:divBdr>
              <w:divsChild>
                <w:div w:id="2053338576">
                  <w:marLeft w:val="0"/>
                  <w:marRight w:val="0"/>
                  <w:marTop w:val="0"/>
                  <w:marBottom w:val="0"/>
                  <w:divBdr>
                    <w:top w:val="none" w:sz="0" w:space="0" w:color="auto"/>
                    <w:left w:val="none" w:sz="0" w:space="0" w:color="auto"/>
                    <w:bottom w:val="none" w:sz="0" w:space="0" w:color="auto"/>
                    <w:right w:val="none" w:sz="0" w:space="0" w:color="auto"/>
                  </w:divBdr>
                </w:div>
              </w:divsChild>
            </w:div>
            <w:div w:id="1500774745">
              <w:marLeft w:val="0"/>
              <w:marRight w:val="0"/>
              <w:marTop w:val="0"/>
              <w:marBottom w:val="0"/>
              <w:divBdr>
                <w:top w:val="none" w:sz="0" w:space="0" w:color="auto"/>
                <w:left w:val="none" w:sz="0" w:space="0" w:color="auto"/>
                <w:bottom w:val="none" w:sz="0" w:space="0" w:color="auto"/>
                <w:right w:val="none" w:sz="0" w:space="0" w:color="auto"/>
              </w:divBdr>
              <w:divsChild>
                <w:div w:id="1161896758">
                  <w:marLeft w:val="0"/>
                  <w:marRight w:val="0"/>
                  <w:marTop w:val="0"/>
                  <w:marBottom w:val="0"/>
                  <w:divBdr>
                    <w:top w:val="none" w:sz="0" w:space="0" w:color="auto"/>
                    <w:left w:val="none" w:sz="0" w:space="0" w:color="auto"/>
                    <w:bottom w:val="none" w:sz="0" w:space="0" w:color="auto"/>
                    <w:right w:val="none" w:sz="0" w:space="0" w:color="auto"/>
                  </w:divBdr>
                </w:div>
              </w:divsChild>
            </w:div>
            <w:div w:id="1501580308">
              <w:marLeft w:val="0"/>
              <w:marRight w:val="0"/>
              <w:marTop w:val="0"/>
              <w:marBottom w:val="0"/>
              <w:divBdr>
                <w:top w:val="none" w:sz="0" w:space="0" w:color="auto"/>
                <w:left w:val="none" w:sz="0" w:space="0" w:color="auto"/>
                <w:bottom w:val="none" w:sz="0" w:space="0" w:color="auto"/>
                <w:right w:val="none" w:sz="0" w:space="0" w:color="auto"/>
              </w:divBdr>
              <w:divsChild>
                <w:div w:id="1500659695">
                  <w:marLeft w:val="0"/>
                  <w:marRight w:val="0"/>
                  <w:marTop w:val="0"/>
                  <w:marBottom w:val="0"/>
                  <w:divBdr>
                    <w:top w:val="none" w:sz="0" w:space="0" w:color="auto"/>
                    <w:left w:val="none" w:sz="0" w:space="0" w:color="auto"/>
                    <w:bottom w:val="none" w:sz="0" w:space="0" w:color="auto"/>
                    <w:right w:val="none" w:sz="0" w:space="0" w:color="auto"/>
                  </w:divBdr>
                </w:div>
              </w:divsChild>
            </w:div>
            <w:div w:id="1503085868">
              <w:marLeft w:val="0"/>
              <w:marRight w:val="0"/>
              <w:marTop w:val="0"/>
              <w:marBottom w:val="0"/>
              <w:divBdr>
                <w:top w:val="none" w:sz="0" w:space="0" w:color="auto"/>
                <w:left w:val="none" w:sz="0" w:space="0" w:color="auto"/>
                <w:bottom w:val="none" w:sz="0" w:space="0" w:color="auto"/>
                <w:right w:val="none" w:sz="0" w:space="0" w:color="auto"/>
              </w:divBdr>
              <w:divsChild>
                <w:div w:id="61831145">
                  <w:marLeft w:val="0"/>
                  <w:marRight w:val="0"/>
                  <w:marTop w:val="0"/>
                  <w:marBottom w:val="0"/>
                  <w:divBdr>
                    <w:top w:val="none" w:sz="0" w:space="0" w:color="auto"/>
                    <w:left w:val="none" w:sz="0" w:space="0" w:color="auto"/>
                    <w:bottom w:val="none" w:sz="0" w:space="0" w:color="auto"/>
                    <w:right w:val="none" w:sz="0" w:space="0" w:color="auto"/>
                  </w:divBdr>
                </w:div>
              </w:divsChild>
            </w:div>
            <w:div w:id="1503738003">
              <w:marLeft w:val="0"/>
              <w:marRight w:val="0"/>
              <w:marTop w:val="300"/>
              <w:marBottom w:val="300"/>
              <w:divBdr>
                <w:top w:val="none" w:sz="0" w:space="0" w:color="auto"/>
                <w:left w:val="none" w:sz="0" w:space="0" w:color="auto"/>
                <w:bottom w:val="none" w:sz="0" w:space="0" w:color="auto"/>
                <w:right w:val="none" w:sz="0" w:space="0" w:color="auto"/>
              </w:divBdr>
            </w:div>
            <w:div w:id="1504317962">
              <w:marLeft w:val="0"/>
              <w:marRight w:val="0"/>
              <w:marTop w:val="0"/>
              <w:marBottom w:val="0"/>
              <w:divBdr>
                <w:top w:val="none" w:sz="0" w:space="0" w:color="auto"/>
                <w:left w:val="none" w:sz="0" w:space="0" w:color="auto"/>
                <w:bottom w:val="none" w:sz="0" w:space="0" w:color="auto"/>
                <w:right w:val="none" w:sz="0" w:space="0" w:color="auto"/>
              </w:divBdr>
              <w:divsChild>
                <w:div w:id="1178690626">
                  <w:marLeft w:val="0"/>
                  <w:marRight w:val="0"/>
                  <w:marTop w:val="0"/>
                  <w:marBottom w:val="0"/>
                  <w:divBdr>
                    <w:top w:val="none" w:sz="0" w:space="0" w:color="auto"/>
                    <w:left w:val="none" w:sz="0" w:space="0" w:color="auto"/>
                    <w:bottom w:val="none" w:sz="0" w:space="0" w:color="auto"/>
                    <w:right w:val="none" w:sz="0" w:space="0" w:color="auto"/>
                  </w:divBdr>
                </w:div>
              </w:divsChild>
            </w:div>
            <w:div w:id="1505899388">
              <w:marLeft w:val="0"/>
              <w:marRight w:val="0"/>
              <w:marTop w:val="0"/>
              <w:marBottom w:val="0"/>
              <w:divBdr>
                <w:top w:val="none" w:sz="0" w:space="0" w:color="auto"/>
                <w:left w:val="none" w:sz="0" w:space="0" w:color="auto"/>
                <w:bottom w:val="none" w:sz="0" w:space="0" w:color="auto"/>
                <w:right w:val="none" w:sz="0" w:space="0" w:color="auto"/>
              </w:divBdr>
              <w:divsChild>
                <w:div w:id="2030522563">
                  <w:marLeft w:val="0"/>
                  <w:marRight w:val="0"/>
                  <w:marTop w:val="0"/>
                  <w:marBottom w:val="0"/>
                  <w:divBdr>
                    <w:top w:val="none" w:sz="0" w:space="0" w:color="auto"/>
                    <w:left w:val="none" w:sz="0" w:space="0" w:color="auto"/>
                    <w:bottom w:val="none" w:sz="0" w:space="0" w:color="auto"/>
                    <w:right w:val="none" w:sz="0" w:space="0" w:color="auto"/>
                  </w:divBdr>
                </w:div>
              </w:divsChild>
            </w:div>
            <w:div w:id="1508399610">
              <w:marLeft w:val="0"/>
              <w:marRight w:val="0"/>
              <w:marTop w:val="0"/>
              <w:marBottom w:val="0"/>
              <w:divBdr>
                <w:top w:val="none" w:sz="0" w:space="0" w:color="auto"/>
                <w:left w:val="none" w:sz="0" w:space="0" w:color="auto"/>
                <w:bottom w:val="none" w:sz="0" w:space="0" w:color="auto"/>
                <w:right w:val="none" w:sz="0" w:space="0" w:color="auto"/>
              </w:divBdr>
              <w:divsChild>
                <w:div w:id="897403121">
                  <w:marLeft w:val="0"/>
                  <w:marRight w:val="0"/>
                  <w:marTop w:val="0"/>
                  <w:marBottom w:val="0"/>
                  <w:divBdr>
                    <w:top w:val="none" w:sz="0" w:space="0" w:color="auto"/>
                    <w:left w:val="none" w:sz="0" w:space="0" w:color="auto"/>
                    <w:bottom w:val="none" w:sz="0" w:space="0" w:color="auto"/>
                    <w:right w:val="none" w:sz="0" w:space="0" w:color="auto"/>
                  </w:divBdr>
                </w:div>
              </w:divsChild>
            </w:div>
            <w:div w:id="1511412202">
              <w:marLeft w:val="0"/>
              <w:marRight w:val="0"/>
              <w:marTop w:val="0"/>
              <w:marBottom w:val="0"/>
              <w:divBdr>
                <w:top w:val="none" w:sz="0" w:space="0" w:color="auto"/>
                <w:left w:val="none" w:sz="0" w:space="0" w:color="auto"/>
                <w:bottom w:val="none" w:sz="0" w:space="0" w:color="auto"/>
                <w:right w:val="none" w:sz="0" w:space="0" w:color="auto"/>
              </w:divBdr>
              <w:divsChild>
                <w:div w:id="1323924047">
                  <w:marLeft w:val="0"/>
                  <w:marRight w:val="0"/>
                  <w:marTop w:val="0"/>
                  <w:marBottom w:val="0"/>
                  <w:divBdr>
                    <w:top w:val="none" w:sz="0" w:space="0" w:color="auto"/>
                    <w:left w:val="none" w:sz="0" w:space="0" w:color="auto"/>
                    <w:bottom w:val="none" w:sz="0" w:space="0" w:color="auto"/>
                    <w:right w:val="none" w:sz="0" w:space="0" w:color="auto"/>
                  </w:divBdr>
                </w:div>
              </w:divsChild>
            </w:div>
            <w:div w:id="1511987508">
              <w:marLeft w:val="0"/>
              <w:marRight w:val="0"/>
              <w:marTop w:val="0"/>
              <w:marBottom w:val="0"/>
              <w:divBdr>
                <w:top w:val="none" w:sz="0" w:space="0" w:color="auto"/>
                <w:left w:val="none" w:sz="0" w:space="0" w:color="auto"/>
                <w:bottom w:val="none" w:sz="0" w:space="0" w:color="auto"/>
                <w:right w:val="none" w:sz="0" w:space="0" w:color="auto"/>
              </w:divBdr>
              <w:divsChild>
                <w:div w:id="357589481">
                  <w:marLeft w:val="0"/>
                  <w:marRight w:val="0"/>
                  <w:marTop w:val="0"/>
                  <w:marBottom w:val="0"/>
                  <w:divBdr>
                    <w:top w:val="none" w:sz="0" w:space="0" w:color="auto"/>
                    <w:left w:val="none" w:sz="0" w:space="0" w:color="auto"/>
                    <w:bottom w:val="none" w:sz="0" w:space="0" w:color="auto"/>
                    <w:right w:val="none" w:sz="0" w:space="0" w:color="auto"/>
                  </w:divBdr>
                </w:div>
              </w:divsChild>
            </w:div>
            <w:div w:id="1512336889">
              <w:marLeft w:val="0"/>
              <w:marRight w:val="0"/>
              <w:marTop w:val="0"/>
              <w:marBottom w:val="0"/>
              <w:divBdr>
                <w:top w:val="none" w:sz="0" w:space="0" w:color="auto"/>
                <w:left w:val="none" w:sz="0" w:space="0" w:color="auto"/>
                <w:bottom w:val="none" w:sz="0" w:space="0" w:color="auto"/>
                <w:right w:val="none" w:sz="0" w:space="0" w:color="auto"/>
              </w:divBdr>
              <w:divsChild>
                <w:div w:id="23528877">
                  <w:marLeft w:val="0"/>
                  <w:marRight w:val="0"/>
                  <w:marTop w:val="0"/>
                  <w:marBottom w:val="0"/>
                  <w:divBdr>
                    <w:top w:val="none" w:sz="0" w:space="0" w:color="auto"/>
                    <w:left w:val="none" w:sz="0" w:space="0" w:color="auto"/>
                    <w:bottom w:val="none" w:sz="0" w:space="0" w:color="auto"/>
                    <w:right w:val="none" w:sz="0" w:space="0" w:color="auto"/>
                  </w:divBdr>
                </w:div>
              </w:divsChild>
            </w:div>
            <w:div w:id="1512378838">
              <w:marLeft w:val="0"/>
              <w:marRight w:val="0"/>
              <w:marTop w:val="0"/>
              <w:marBottom w:val="0"/>
              <w:divBdr>
                <w:top w:val="none" w:sz="0" w:space="0" w:color="auto"/>
                <w:left w:val="none" w:sz="0" w:space="0" w:color="auto"/>
                <w:bottom w:val="none" w:sz="0" w:space="0" w:color="auto"/>
                <w:right w:val="none" w:sz="0" w:space="0" w:color="auto"/>
              </w:divBdr>
              <w:divsChild>
                <w:div w:id="713115432">
                  <w:marLeft w:val="0"/>
                  <w:marRight w:val="0"/>
                  <w:marTop w:val="0"/>
                  <w:marBottom w:val="0"/>
                  <w:divBdr>
                    <w:top w:val="none" w:sz="0" w:space="0" w:color="auto"/>
                    <w:left w:val="none" w:sz="0" w:space="0" w:color="auto"/>
                    <w:bottom w:val="none" w:sz="0" w:space="0" w:color="auto"/>
                    <w:right w:val="none" w:sz="0" w:space="0" w:color="auto"/>
                  </w:divBdr>
                </w:div>
              </w:divsChild>
            </w:div>
            <w:div w:id="1515614613">
              <w:marLeft w:val="0"/>
              <w:marRight w:val="0"/>
              <w:marTop w:val="0"/>
              <w:marBottom w:val="0"/>
              <w:divBdr>
                <w:top w:val="none" w:sz="0" w:space="0" w:color="auto"/>
                <w:left w:val="none" w:sz="0" w:space="0" w:color="auto"/>
                <w:bottom w:val="none" w:sz="0" w:space="0" w:color="auto"/>
                <w:right w:val="none" w:sz="0" w:space="0" w:color="auto"/>
              </w:divBdr>
              <w:divsChild>
                <w:div w:id="107310684">
                  <w:marLeft w:val="0"/>
                  <w:marRight w:val="0"/>
                  <w:marTop w:val="0"/>
                  <w:marBottom w:val="0"/>
                  <w:divBdr>
                    <w:top w:val="none" w:sz="0" w:space="0" w:color="auto"/>
                    <w:left w:val="none" w:sz="0" w:space="0" w:color="auto"/>
                    <w:bottom w:val="none" w:sz="0" w:space="0" w:color="auto"/>
                    <w:right w:val="none" w:sz="0" w:space="0" w:color="auto"/>
                  </w:divBdr>
                </w:div>
              </w:divsChild>
            </w:div>
            <w:div w:id="1515916597">
              <w:marLeft w:val="0"/>
              <w:marRight w:val="0"/>
              <w:marTop w:val="0"/>
              <w:marBottom w:val="0"/>
              <w:divBdr>
                <w:top w:val="none" w:sz="0" w:space="0" w:color="auto"/>
                <w:left w:val="none" w:sz="0" w:space="0" w:color="auto"/>
                <w:bottom w:val="none" w:sz="0" w:space="0" w:color="auto"/>
                <w:right w:val="none" w:sz="0" w:space="0" w:color="auto"/>
              </w:divBdr>
              <w:divsChild>
                <w:div w:id="1804418014">
                  <w:marLeft w:val="0"/>
                  <w:marRight w:val="0"/>
                  <w:marTop w:val="0"/>
                  <w:marBottom w:val="0"/>
                  <w:divBdr>
                    <w:top w:val="none" w:sz="0" w:space="0" w:color="auto"/>
                    <w:left w:val="none" w:sz="0" w:space="0" w:color="auto"/>
                    <w:bottom w:val="none" w:sz="0" w:space="0" w:color="auto"/>
                    <w:right w:val="none" w:sz="0" w:space="0" w:color="auto"/>
                  </w:divBdr>
                </w:div>
              </w:divsChild>
            </w:div>
            <w:div w:id="1516118572">
              <w:marLeft w:val="0"/>
              <w:marRight w:val="0"/>
              <w:marTop w:val="0"/>
              <w:marBottom w:val="0"/>
              <w:divBdr>
                <w:top w:val="none" w:sz="0" w:space="0" w:color="auto"/>
                <w:left w:val="none" w:sz="0" w:space="0" w:color="auto"/>
                <w:bottom w:val="none" w:sz="0" w:space="0" w:color="auto"/>
                <w:right w:val="none" w:sz="0" w:space="0" w:color="auto"/>
              </w:divBdr>
              <w:divsChild>
                <w:div w:id="1681927023">
                  <w:marLeft w:val="0"/>
                  <w:marRight w:val="0"/>
                  <w:marTop w:val="0"/>
                  <w:marBottom w:val="0"/>
                  <w:divBdr>
                    <w:top w:val="none" w:sz="0" w:space="0" w:color="auto"/>
                    <w:left w:val="none" w:sz="0" w:space="0" w:color="auto"/>
                    <w:bottom w:val="none" w:sz="0" w:space="0" w:color="auto"/>
                    <w:right w:val="none" w:sz="0" w:space="0" w:color="auto"/>
                  </w:divBdr>
                </w:div>
              </w:divsChild>
            </w:div>
            <w:div w:id="1516771538">
              <w:marLeft w:val="0"/>
              <w:marRight w:val="0"/>
              <w:marTop w:val="0"/>
              <w:marBottom w:val="0"/>
              <w:divBdr>
                <w:top w:val="none" w:sz="0" w:space="0" w:color="auto"/>
                <w:left w:val="none" w:sz="0" w:space="0" w:color="auto"/>
                <w:bottom w:val="none" w:sz="0" w:space="0" w:color="auto"/>
                <w:right w:val="none" w:sz="0" w:space="0" w:color="auto"/>
              </w:divBdr>
              <w:divsChild>
                <w:div w:id="1954238709">
                  <w:marLeft w:val="0"/>
                  <w:marRight w:val="0"/>
                  <w:marTop w:val="0"/>
                  <w:marBottom w:val="0"/>
                  <w:divBdr>
                    <w:top w:val="none" w:sz="0" w:space="0" w:color="auto"/>
                    <w:left w:val="none" w:sz="0" w:space="0" w:color="auto"/>
                    <w:bottom w:val="none" w:sz="0" w:space="0" w:color="auto"/>
                    <w:right w:val="none" w:sz="0" w:space="0" w:color="auto"/>
                  </w:divBdr>
                </w:div>
              </w:divsChild>
            </w:div>
            <w:div w:id="1520309664">
              <w:marLeft w:val="0"/>
              <w:marRight w:val="0"/>
              <w:marTop w:val="0"/>
              <w:marBottom w:val="0"/>
              <w:divBdr>
                <w:top w:val="none" w:sz="0" w:space="0" w:color="auto"/>
                <w:left w:val="none" w:sz="0" w:space="0" w:color="auto"/>
                <w:bottom w:val="none" w:sz="0" w:space="0" w:color="auto"/>
                <w:right w:val="none" w:sz="0" w:space="0" w:color="auto"/>
              </w:divBdr>
              <w:divsChild>
                <w:div w:id="1021318164">
                  <w:marLeft w:val="0"/>
                  <w:marRight w:val="0"/>
                  <w:marTop w:val="0"/>
                  <w:marBottom w:val="0"/>
                  <w:divBdr>
                    <w:top w:val="none" w:sz="0" w:space="0" w:color="auto"/>
                    <w:left w:val="none" w:sz="0" w:space="0" w:color="auto"/>
                    <w:bottom w:val="none" w:sz="0" w:space="0" w:color="auto"/>
                    <w:right w:val="none" w:sz="0" w:space="0" w:color="auto"/>
                  </w:divBdr>
                </w:div>
              </w:divsChild>
            </w:div>
            <w:div w:id="1520700410">
              <w:marLeft w:val="0"/>
              <w:marRight w:val="0"/>
              <w:marTop w:val="300"/>
              <w:marBottom w:val="300"/>
              <w:divBdr>
                <w:top w:val="none" w:sz="0" w:space="0" w:color="auto"/>
                <w:left w:val="none" w:sz="0" w:space="0" w:color="auto"/>
                <w:bottom w:val="none" w:sz="0" w:space="0" w:color="auto"/>
                <w:right w:val="none" w:sz="0" w:space="0" w:color="auto"/>
              </w:divBdr>
            </w:div>
            <w:div w:id="1522090881">
              <w:marLeft w:val="0"/>
              <w:marRight w:val="0"/>
              <w:marTop w:val="0"/>
              <w:marBottom w:val="0"/>
              <w:divBdr>
                <w:top w:val="none" w:sz="0" w:space="0" w:color="auto"/>
                <w:left w:val="none" w:sz="0" w:space="0" w:color="auto"/>
                <w:bottom w:val="none" w:sz="0" w:space="0" w:color="auto"/>
                <w:right w:val="none" w:sz="0" w:space="0" w:color="auto"/>
              </w:divBdr>
              <w:divsChild>
                <w:div w:id="28729910">
                  <w:marLeft w:val="0"/>
                  <w:marRight w:val="0"/>
                  <w:marTop w:val="0"/>
                  <w:marBottom w:val="0"/>
                  <w:divBdr>
                    <w:top w:val="none" w:sz="0" w:space="0" w:color="auto"/>
                    <w:left w:val="none" w:sz="0" w:space="0" w:color="auto"/>
                    <w:bottom w:val="none" w:sz="0" w:space="0" w:color="auto"/>
                    <w:right w:val="none" w:sz="0" w:space="0" w:color="auto"/>
                  </w:divBdr>
                </w:div>
              </w:divsChild>
            </w:div>
            <w:div w:id="1522431457">
              <w:marLeft w:val="0"/>
              <w:marRight w:val="0"/>
              <w:marTop w:val="0"/>
              <w:marBottom w:val="0"/>
              <w:divBdr>
                <w:top w:val="none" w:sz="0" w:space="0" w:color="auto"/>
                <w:left w:val="none" w:sz="0" w:space="0" w:color="auto"/>
                <w:bottom w:val="none" w:sz="0" w:space="0" w:color="auto"/>
                <w:right w:val="none" w:sz="0" w:space="0" w:color="auto"/>
              </w:divBdr>
              <w:divsChild>
                <w:div w:id="895969023">
                  <w:marLeft w:val="0"/>
                  <w:marRight w:val="0"/>
                  <w:marTop w:val="0"/>
                  <w:marBottom w:val="0"/>
                  <w:divBdr>
                    <w:top w:val="none" w:sz="0" w:space="0" w:color="auto"/>
                    <w:left w:val="none" w:sz="0" w:space="0" w:color="auto"/>
                    <w:bottom w:val="none" w:sz="0" w:space="0" w:color="auto"/>
                    <w:right w:val="none" w:sz="0" w:space="0" w:color="auto"/>
                  </w:divBdr>
                </w:div>
              </w:divsChild>
            </w:div>
            <w:div w:id="1523936047">
              <w:marLeft w:val="0"/>
              <w:marRight w:val="0"/>
              <w:marTop w:val="0"/>
              <w:marBottom w:val="0"/>
              <w:divBdr>
                <w:top w:val="none" w:sz="0" w:space="0" w:color="auto"/>
                <w:left w:val="none" w:sz="0" w:space="0" w:color="auto"/>
                <w:bottom w:val="none" w:sz="0" w:space="0" w:color="auto"/>
                <w:right w:val="none" w:sz="0" w:space="0" w:color="auto"/>
              </w:divBdr>
              <w:divsChild>
                <w:div w:id="1993945017">
                  <w:marLeft w:val="0"/>
                  <w:marRight w:val="0"/>
                  <w:marTop w:val="0"/>
                  <w:marBottom w:val="0"/>
                  <w:divBdr>
                    <w:top w:val="none" w:sz="0" w:space="0" w:color="auto"/>
                    <w:left w:val="none" w:sz="0" w:space="0" w:color="auto"/>
                    <w:bottom w:val="none" w:sz="0" w:space="0" w:color="auto"/>
                    <w:right w:val="none" w:sz="0" w:space="0" w:color="auto"/>
                  </w:divBdr>
                </w:div>
              </w:divsChild>
            </w:div>
            <w:div w:id="1524512849">
              <w:marLeft w:val="0"/>
              <w:marRight w:val="0"/>
              <w:marTop w:val="0"/>
              <w:marBottom w:val="0"/>
              <w:divBdr>
                <w:top w:val="none" w:sz="0" w:space="0" w:color="auto"/>
                <w:left w:val="none" w:sz="0" w:space="0" w:color="auto"/>
                <w:bottom w:val="none" w:sz="0" w:space="0" w:color="auto"/>
                <w:right w:val="none" w:sz="0" w:space="0" w:color="auto"/>
              </w:divBdr>
              <w:divsChild>
                <w:div w:id="516239672">
                  <w:marLeft w:val="0"/>
                  <w:marRight w:val="0"/>
                  <w:marTop w:val="0"/>
                  <w:marBottom w:val="0"/>
                  <w:divBdr>
                    <w:top w:val="none" w:sz="0" w:space="0" w:color="auto"/>
                    <w:left w:val="none" w:sz="0" w:space="0" w:color="auto"/>
                    <w:bottom w:val="none" w:sz="0" w:space="0" w:color="auto"/>
                    <w:right w:val="none" w:sz="0" w:space="0" w:color="auto"/>
                  </w:divBdr>
                </w:div>
              </w:divsChild>
            </w:div>
            <w:div w:id="1525091988">
              <w:marLeft w:val="0"/>
              <w:marRight w:val="0"/>
              <w:marTop w:val="0"/>
              <w:marBottom w:val="0"/>
              <w:divBdr>
                <w:top w:val="none" w:sz="0" w:space="0" w:color="auto"/>
                <w:left w:val="none" w:sz="0" w:space="0" w:color="auto"/>
                <w:bottom w:val="none" w:sz="0" w:space="0" w:color="auto"/>
                <w:right w:val="none" w:sz="0" w:space="0" w:color="auto"/>
              </w:divBdr>
              <w:divsChild>
                <w:div w:id="2069523813">
                  <w:marLeft w:val="0"/>
                  <w:marRight w:val="0"/>
                  <w:marTop w:val="0"/>
                  <w:marBottom w:val="0"/>
                  <w:divBdr>
                    <w:top w:val="none" w:sz="0" w:space="0" w:color="auto"/>
                    <w:left w:val="none" w:sz="0" w:space="0" w:color="auto"/>
                    <w:bottom w:val="none" w:sz="0" w:space="0" w:color="auto"/>
                    <w:right w:val="none" w:sz="0" w:space="0" w:color="auto"/>
                  </w:divBdr>
                </w:div>
              </w:divsChild>
            </w:div>
            <w:div w:id="1526753122">
              <w:marLeft w:val="0"/>
              <w:marRight w:val="0"/>
              <w:marTop w:val="0"/>
              <w:marBottom w:val="0"/>
              <w:divBdr>
                <w:top w:val="none" w:sz="0" w:space="0" w:color="auto"/>
                <w:left w:val="none" w:sz="0" w:space="0" w:color="auto"/>
                <w:bottom w:val="none" w:sz="0" w:space="0" w:color="auto"/>
                <w:right w:val="none" w:sz="0" w:space="0" w:color="auto"/>
              </w:divBdr>
              <w:divsChild>
                <w:div w:id="917524071">
                  <w:marLeft w:val="0"/>
                  <w:marRight w:val="0"/>
                  <w:marTop w:val="0"/>
                  <w:marBottom w:val="0"/>
                  <w:divBdr>
                    <w:top w:val="none" w:sz="0" w:space="0" w:color="auto"/>
                    <w:left w:val="none" w:sz="0" w:space="0" w:color="auto"/>
                    <w:bottom w:val="none" w:sz="0" w:space="0" w:color="auto"/>
                    <w:right w:val="none" w:sz="0" w:space="0" w:color="auto"/>
                  </w:divBdr>
                </w:div>
              </w:divsChild>
            </w:div>
            <w:div w:id="1527140106">
              <w:marLeft w:val="0"/>
              <w:marRight w:val="0"/>
              <w:marTop w:val="300"/>
              <w:marBottom w:val="300"/>
              <w:divBdr>
                <w:top w:val="none" w:sz="0" w:space="0" w:color="auto"/>
                <w:left w:val="none" w:sz="0" w:space="0" w:color="auto"/>
                <w:bottom w:val="none" w:sz="0" w:space="0" w:color="auto"/>
                <w:right w:val="none" w:sz="0" w:space="0" w:color="auto"/>
              </w:divBdr>
            </w:div>
            <w:div w:id="1528786087">
              <w:marLeft w:val="0"/>
              <w:marRight w:val="0"/>
              <w:marTop w:val="0"/>
              <w:marBottom w:val="0"/>
              <w:divBdr>
                <w:top w:val="none" w:sz="0" w:space="0" w:color="auto"/>
                <w:left w:val="none" w:sz="0" w:space="0" w:color="auto"/>
                <w:bottom w:val="none" w:sz="0" w:space="0" w:color="auto"/>
                <w:right w:val="none" w:sz="0" w:space="0" w:color="auto"/>
              </w:divBdr>
              <w:divsChild>
                <w:div w:id="1512528551">
                  <w:marLeft w:val="0"/>
                  <w:marRight w:val="0"/>
                  <w:marTop w:val="0"/>
                  <w:marBottom w:val="0"/>
                  <w:divBdr>
                    <w:top w:val="none" w:sz="0" w:space="0" w:color="auto"/>
                    <w:left w:val="none" w:sz="0" w:space="0" w:color="auto"/>
                    <w:bottom w:val="none" w:sz="0" w:space="0" w:color="auto"/>
                    <w:right w:val="none" w:sz="0" w:space="0" w:color="auto"/>
                  </w:divBdr>
                </w:div>
              </w:divsChild>
            </w:div>
            <w:div w:id="1529641328">
              <w:marLeft w:val="0"/>
              <w:marRight w:val="0"/>
              <w:marTop w:val="0"/>
              <w:marBottom w:val="0"/>
              <w:divBdr>
                <w:top w:val="none" w:sz="0" w:space="0" w:color="auto"/>
                <w:left w:val="none" w:sz="0" w:space="0" w:color="auto"/>
                <w:bottom w:val="none" w:sz="0" w:space="0" w:color="auto"/>
                <w:right w:val="none" w:sz="0" w:space="0" w:color="auto"/>
              </w:divBdr>
              <w:divsChild>
                <w:div w:id="1237201445">
                  <w:marLeft w:val="0"/>
                  <w:marRight w:val="0"/>
                  <w:marTop w:val="0"/>
                  <w:marBottom w:val="0"/>
                  <w:divBdr>
                    <w:top w:val="none" w:sz="0" w:space="0" w:color="auto"/>
                    <w:left w:val="none" w:sz="0" w:space="0" w:color="auto"/>
                    <w:bottom w:val="none" w:sz="0" w:space="0" w:color="auto"/>
                    <w:right w:val="none" w:sz="0" w:space="0" w:color="auto"/>
                  </w:divBdr>
                </w:div>
              </w:divsChild>
            </w:div>
            <w:div w:id="1530796138">
              <w:marLeft w:val="0"/>
              <w:marRight w:val="0"/>
              <w:marTop w:val="0"/>
              <w:marBottom w:val="0"/>
              <w:divBdr>
                <w:top w:val="none" w:sz="0" w:space="0" w:color="auto"/>
                <w:left w:val="none" w:sz="0" w:space="0" w:color="auto"/>
                <w:bottom w:val="none" w:sz="0" w:space="0" w:color="auto"/>
                <w:right w:val="none" w:sz="0" w:space="0" w:color="auto"/>
              </w:divBdr>
              <w:divsChild>
                <w:div w:id="446698036">
                  <w:marLeft w:val="0"/>
                  <w:marRight w:val="0"/>
                  <w:marTop w:val="0"/>
                  <w:marBottom w:val="0"/>
                  <w:divBdr>
                    <w:top w:val="none" w:sz="0" w:space="0" w:color="auto"/>
                    <w:left w:val="none" w:sz="0" w:space="0" w:color="auto"/>
                    <w:bottom w:val="none" w:sz="0" w:space="0" w:color="auto"/>
                    <w:right w:val="none" w:sz="0" w:space="0" w:color="auto"/>
                  </w:divBdr>
                </w:div>
              </w:divsChild>
            </w:div>
            <w:div w:id="1531720560">
              <w:marLeft w:val="0"/>
              <w:marRight w:val="0"/>
              <w:marTop w:val="0"/>
              <w:marBottom w:val="0"/>
              <w:divBdr>
                <w:top w:val="none" w:sz="0" w:space="0" w:color="auto"/>
                <w:left w:val="none" w:sz="0" w:space="0" w:color="auto"/>
                <w:bottom w:val="none" w:sz="0" w:space="0" w:color="auto"/>
                <w:right w:val="none" w:sz="0" w:space="0" w:color="auto"/>
              </w:divBdr>
              <w:divsChild>
                <w:div w:id="1848523789">
                  <w:marLeft w:val="0"/>
                  <w:marRight w:val="0"/>
                  <w:marTop w:val="0"/>
                  <w:marBottom w:val="0"/>
                  <w:divBdr>
                    <w:top w:val="none" w:sz="0" w:space="0" w:color="auto"/>
                    <w:left w:val="none" w:sz="0" w:space="0" w:color="auto"/>
                    <w:bottom w:val="none" w:sz="0" w:space="0" w:color="auto"/>
                    <w:right w:val="none" w:sz="0" w:space="0" w:color="auto"/>
                  </w:divBdr>
                </w:div>
              </w:divsChild>
            </w:div>
            <w:div w:id="1533109177">
              <w:marLeft w:val="0"/>
              <w:marRight w:val="0"/>
              <w:marTop w:val="0"/>
              <w:marBottom w:val="0"/>
              <w:divBdr>
                <w:top w:val="none" w:sz="0" w:space="0" w:color="auto"/>
                <w:left w:val="none" w:sz="0" w:space="0" w:color="auto"/>
                <w:bottom w:val="none" w:sz="0" w:space="0" w:color="auto"/>
                <w:right w:val="none" w:sz="0" w:space="0" w:color="auto"/>
              </w:divBdr>
              <w:divsChild>
                <w:div w:id="1487089032">
                  <w:marLeft w:val="0"/>
                  <w:marRight w:val="0"/>
                  <w:marTop w:val="0"/>
                  <w:marBottom w:val="0"/>
                  <w:divBdr>
                    <w:top w:val="none" w:sz="0" w:space="0" w:color="auto"/>
                    <w:left w:val="none" w:sz="0" w:space="0" w:color="auto"/>
                    <w:bottom w:val="none" w:sz="0" w:space="0" w:color="auto"/>
                    <w:right w:val="none" w:sz="0" w:space="0" w:color="auto"/>
                  </w:divBdr>
                </w:div>
              </w:divsChild>
            </w:div>
            <w:div w:id="1535195196">
              <w:marLeft w:val="0"/>
              <w:marRight w:val="0"/>
              <w:marTop w:val="0"/>
              <w:marBottom w:val="0"/>
              <w:divBdr>
                <w:top w:val="none" w:sz="0" w:space="0" w:color="auto"/>
                <w:left w:val="none" w:sz="0" w:space="0" w:color="auto"/>
                <w:bottom w:val="none" w:sz="0" w:space="0" w:color="auto"/>
                <w:right w:val="none" w:sz="0" w:space="0" w:color="auto"/>
              </w:divBdr>
              <w:divsChild>
                <w:div w:id="1459911734">
                  <w:marLeft w:val="0"/>
                  <w:marRight w:val="0"/>
                  <w:marTop w:val="0"/>
                  <w:marBottom w:val="0"/>
                  <w:divBdr>
                    <w:top w:val="none" w:sz="0" w:space="0" w:color="auto"/>
                    <w:left w:val="none" w:sz="0" w:space="0" w:color="auto"/>
                    <w:bottom w:val="none" w:sz="0" w:space="0" w:color="auto"/>
                    <w:right w:val="none" w:sz="0" w:space="0" w:color="auto"/>
                  </w:divBdr>
                </w:div>
              </w:divsChild>
            </w:div>
            <w:div w:id="1535463242">
              <w:marLeft w:val="0"/>
              <w:marRight w:val="0"/>
              <w:marTop w:val="300"/>
              <w:marBottom w:val="300"/>
              <w:divBdr>
                <w:top w:val="none" w:sz="0" w:space="0" w:color="auto"/>
                <w:left w:val="none" w:sz="0" w:space="0" w:color="auto"/>
                <w:bottom w:val="none" w:sz="0" w:space="0" w:color="auto"/>
                <w:right w:val="none" w:sz="0" w:space="0" w:color="auto"/>
              </w:divBdr>
            </w:div>
            <w:div w:id="1535577930">
              <w:marLeft w:val="0"/>
              <w:marRight w:val="0"/>
              <w:marTop w:val="0"/>
              <w:marBottom w:val="0"/>
              <w:divBdr>
                <w:top w:val="none" w:sz="0" w:space="0" w:color="auto"/>
                <w:left w:val="none" w:sz="0" w:space="0" w:color="auto"/>
                <w:bottom w:val="none" w:sz="0" w:space="0" w:color="auto"/>
                <w:right w:val="none" w:sz="0" w:space="0" w:color="auto"/>
              </w:divBdr>
              <w:divsChild>
                <w:div w:id="1301571677">
                  <w:marLeft w:val="0"/>
                  <w:marRight w:val="0"/>
                  <w:marTop w:val="0"/>
                  <w:marBottom w:val="0"/>
                  <w:divBdr>
                    <w:top w:val="none" w:sz="0" w:space="0" w:color="auto"/>
                    <w:left w:val="none" w:sz="0" w:space="0" w:color="auto"/>
                    <w:bottom w:val="none" w:sz="0" w:space="0" w:color="auto"/>
                    <w:right w:val="none" w:sz="0" w:space="0" w:color="auto"/>
                  </w:divBdr>
                </w:div>
              </w:divsChild>
            </w:div>
            <w:div w:id="1536582391">
              <w:marLeft w:val="0"/>
              <w:marRight w:val="0"/>
              <w:marTop w:val="0"/>
              <w:marBottom w:val="0"/>
              <w:divBdr>
                <w:top w:val="none" w:sz="0" w:space="0" w:color="auto"/>
                <w:left w:val="none" w:sz="0" w:space="0" w:color="auto"/>
                <w:bottom w:val="none" w:sz="0" w:space="0" w:color="auto"/>
                <w:right w:val="none" w:sz="0" w:space="0" w:color="auto"/>
              </w:divBdr>
              <w:divsChild>
                <w:div w:id="85344770">
                  <w:marLeft w:val="0"/>
                  <w:marRight w:val="0"/>
                  <w:marTop w:val="0"/>
                  <w:marBottom w:val="0"/>
                  <w:divBdr>
                    <w:top w:val="none" w:sz="0" w:space="0" w:color="auto"/>
                    <w:left w:val="none" w:sz="0" w:space="0" w:color="auto"/>
                    <w:bottom w:val="none" w:sz="0" w:space="0" w:color="auto"/>
                    <w:right w:val="none" w:sz="0" w:space="0" w:color="auto"/>
                  </w:divBdr>
                </w:div>
              </w:divsChild>
            </w:div>
            <w:div w:id="1538160378">
              <w:marLeft w:val="0"/>
              <w:marRight w:val="0"/>
              <w:marTop w:val="0"/>
              <w:marBottom w:val="0"/>
              <w:divBdr>
                <w:top w:val="none" w:sz="0" w:space="0" w:color="auto"/>
                <w:left w:val="none" w:sz="0" w:space="0" w:color="auto"/>
                <w:bottom w:val="none" w:sz="0" w:space="0" w:color="auto"/>
                <w:right w:val="none" w:sz="0" w:space="0" w:color="auto"/>
              </w:divBdr>
              <w:divsChild>
                <w:div w:id="285433251">
                  <w:marLeft w:val="0"/>
                  <w:marRight w:val="0"/>
                  <w:marTop w:val="0"/>
                  <w:marBottom w:val="0"/>
                  <w:divBdr>
                    <w:top w:val="none" w:sz="0" w:space="0" w:color="auto"/>
                    <w:left w:val="none" w:sz="0" w:space="0" w:color="auto"/>
                    <w:bottom w:val="none" w:sz="0" w:space="0" w:color="auto"/>
                    <w:right w:val="none" w:sz="0" w:space="0" w:color="auto"/>
                  </w:divBdr>
                </w:div>
              </w:divsChild>
            </w:div>
            <w:div w:id="1541162968">
              <w:marLeft w:val="0"/>
              <w:marRight w:val="0"/>
              <w:marTop w:val="0"/>
              <w:marBottom w:val="0"/>
              <w:divBdr>
                <w:top w:val="none" w:sz="0" w:space="0" w:color="auto"/>
                <w:left w:val="none" w:sz="0" w:space="0" w:color="auto"/>
                <w:bottom w:val="none" w:sz="0" w:space="0" w:color="auto"/>
                <w:right w:val="none" w:sz="0" w:space="0" w:color="auto"/>
              </w:divBdr>
              <w:divsChild>
                <w:div w:id="62147745">
                  <w:marLeft w:val="0"/>
                  <w:marRight w:val="0"/>
                  <w:marTop w:val="0"/>
                  <w:marBottom w:val="0"/>
                  <w:divBdr>
                    <w:top w:val="none" w:sz="0" w:space="0" w:color="auto"/>
                    <w:left w:val="none" w:sz="0" w:space="0" w:color="auto"/>
                    <w:bottom w:val="none" w:sz="0" w:space="0" w:color="auto"/>
                    <w:right w:val="none" w:sz="0" w:space="0" w:color="auto"/>
                  </w:divBdr>
                </w:div>
              </w:divsChild>
            </w:div>
            <w:div w:id="1541697794">
              <w:marLeft w:val="0"/>
              <w:marRight w:val="0"/>
              <w:marTop w:val="0"/>
              <w:marBottom w:val="0"/>
              <w:divBdr>
                <w:top w:val="none" w:sz="0" w:space="0" w:color="auto"/>
                <w:left w:val="none" w:sz="0" w:space="0" w:color="auto"/>
                <w:bottom w:val="none" w:sz="0" w:space="0" w:color="auto"/>
                <w:right w:val="none" w:sz="0" w:space="0" w:color="auto"/>
              </w:divBdr>
              <w:divsChild>
                <w:div w:id="862087558">
                  <w:marLeft w:val="0"/>
                  <w:marRight w:val="0"/>
                  <w:marTop w:val="0"/>
                  <w:marBottom w:val="0"/>
                  <w:divBdr>
                    <w:top w:val="none" w:sz="0" w:space="0" w:color="auto"/>
                    <w:left w:val="none" w:sz="0" w:space="0" w:color="auto"/>
                    <w:bottom w:val="none" w:sz="0" w:space="0" w:color="auto"/>
                    <w:right w:val="none" w:sz="0" w:space="0" w:color="auto"/>
                  </w:divBdr>
                </w:div>
              </w:divsChild>
            </w:div>
            <w:div w:id="1544290610">
              <w:marLeft w:val="0"/>
              <w:marRight w:val="0"/>
              <w:marTop w:val="0"/>
              <w:marBottom w:val="0"/>
              <w:divBdr>
                <w:top w:val="none" w:sz="0" w:space="0" w:color="auto"/>
                <w:left w:val="none" w:sz="0" w:space="0" w:color="auto"/>
                <w:bottom w:val="none" w:sz="0" w:space="0" w:color="auto"/>
                <w:right w:val="none" w:sz="0" w:space="0" w:color="auto"/>
              </w:divBdr>
              <w:divsChild>
                <w:div w:id="658776973">
                  <w:marLeft w:val="0"/>
                  <w:marRight w:val="0"/>
                  <w:marTop w:val="0"/>
                  <w:marBottom w:val="0"/>
                  <w:divBdr>
                    <w:top w:val="none" w:sz="0" w:space="0" w:color="auto"/>
                    <w:left w:val="none" w:sz="0" w:space="0" w:color="auto"/>
                    <w:bottom w:val="none" w:sz="0" w:space="0" w:color="auto"/>
                    <w:right w:val="none" w:sz="0" w:space="0" w:color="auto"/>
                  </w:divBdr>
                </w:div>
              </w:divsChild>
            </w:div>
            <w:div w:id="1544363251">
              <w:marLeft w:val="0"/>
              <w:marRight w:val="0"/>
              <w:marTop w:val="0"/>
              <w:marBottom w:val="0"/>
              <w:divBdr>
                <w:top w:val="none" w:sz="0" w:space="0" w:color="auto"/>
                <w:left w:val="none" w:sz="0" w:space="0" w:color="auto"/>
                <w:bottom w:val="none" w:sz="0" w:space="0" w:color="auto"/>
                <w:right w:val="none" w:sz="0" w:space="0" w:color="auto"/>
              </w:divBdr>
              <w:divsChild>
                <w:div w:id="1039821163">
                  <w:marLeft w:val="0"/>
                  <w:marRight w:val="0"/>
                  <w:marTop w:val="0"/>
                  <w:marBottom w:val="0"/>
                  <w:divBdr>
                    <w:top w:val="none" w:sz="0" w:space="0" w:color="auto"/>
                    <w:left w:val="none" w:sz="0" w:space="0" w:color="auto"/>
                    <w:bottom w:val="none" w:sz="0" w:space="0" w:color="auto"/>
                    <w:right w:val="none" w:sz="0" w:space="0" w:color="auto"/>
                  </w:divBdr>
                </w:div>
              </w:divsChild>
            </w:div>
            <w:div w:id="1544370739">
              <w:marLeft w:val="0"/>
              <w:marRight w:val="0"/>
              <w:marTop w:val="0"/>
              <w:marBottom w:val="0"/>
              <w:divBdr>
                <w:top w:val="none" w:sz="0" w:space="0" w:color="auto"/>
                <w:left w:val="none" w:sz="0" w:space="0" w:color="auto"/>
                <w:bottom w:val="none" w:sz="0" w:space="0" w:color="auto"/>
                <w:right w:val="none" w:sz="0" w:space="0" w:color="auto"/>
              </w:divBdr>
              <w:divsChild>
                <w:div w:id="377242461">
                  <w:marLeft w:val="0"/>
                  <w:marRight w:val="0"/>
                  <w:marTop w:val="0"/>
                  <w:marBottom w:val="0"/>
                  <w:divBdr>
                    <w:top w:val="none" w:sz="0" w:space="0" w:color="auto"/>
                    <w:left w:val="none" w:sz="0" w:space="0" w:color="auto"/>
                    <w:bottom w:val="none" w:sz="0" w:space="0" w:color="auto"/>
                    <w:right w:val="none" w:sz="0" w:space="0" w:color="auto"/>
                  </w:divBdr>
                </w:div>
              </w:divsChild>
            </w:div>
            <w:div w:id="1546522347">
              <w:marLeft w:val="0"/>
              <w:marRight w:val="0"/>
              <w:marTop w:val="0"/>
              <w:marBottom w:val="0"/>
              <w:divBdr>
                <w:top w:val="none" w:sz="0" w:space="0" w:color="auto"/>
                <w:left w:val="none" w:sz="0" w:space="0" w:color="auto"/>
                <w:bottom w:val="none" w:sz="0" w:space="0" w:color="auto"/>
                <w:right w:val="none" w:sz="0" w:space="0" w:color="auto"/>
              </w:divBdr>
              <w:divsChild>
                <w:div w:id="1041056094">
                  <w:marLeft w:val="0"/>
                  <w:marRight w:val="0"/>
                  <w:marTop w:val="0"/>
                  <w:marBottom w:val="0"/>
                  <w:divBdr>
                    <w:top w:val="none" w:sz="0" w:space="0" w:color="auto"/>
                    <w:left w:val="none" w:sz="0" w:space="0" w:color="auto"/>
                    <w:bottom w:val="none" w:sz="0" w:space="0" w:color="auto"/>
                    <w:right w:val="none" w:sz="0" w:space="0" w:color="auto"/>
                  </w:divBdr>
                </w:div>
              </w:divsChild>
            </w:div>
            <w:div w:id="1546721219">
              <w:marLeft w:val="0"/>
              <w:marRight w:val="0"/>
              <w:marTop w:val="0"/>
              <w:marBottom w:val="0"/>
              <w:divBdr>
                <w:top w:val="none" w:sz="0" w:space="0" w:color="auto"/>
                <w:left w:val="none" w:sz="0" w:space="0" w:color="auto"/>
                <w:bottom w:val="none" w:sz="0" w:space="0" w:color="auto"/>
                <w:right w:val="none" w:sz="0" w:space="0" w:color="auto"/>
              </w:divBdr>
              <w:divsChild>
                <w:div w:id="177354281">
                  <w:marLeft w:val="0"/>
                  <w:marRight w:val="0"/>
                  <w:marTop w:val="0"/>
                  <w:marBottom w:val="0"/>
                  <w:divBdr>
                    <w:top w:val="none" w:sz="0" w:space="0" w:color="auto"/>
                    <w:left w:val="none" w:sz="0" w:space="0" w:color="auto"/>
                    <w:bottom w:val="none" w:sz="0" w:space="0" w:color="auto"/>
                    <w:right w:val="none" w:sz="0" w:space="0" w:color="auto"/>
                  </w:divBdr>
                </w:div>
              </w:divsChild>
            </w:div>
            <w:div w:id="1549796870">
              <w:marLeft w:val="0"/>
              <w:marRight w:val="0"/>
              <w:marTop w:val="0"/>
              <w:marBottom w:val="0"/>
              <w:divBdr>
                <w:top w:val="none" w:sz="0" w:space="0" w:color="auto"/>
                <w:left w:val="none" w:sz="0" w:space="0" w:color="auto"/>
                <w:bottom w:val="none" w:sz="0" w:space="0" w:color="auto"/>
                <w:right w:val="none" w:sz="0" w:space="0" w:color="auto"/>
              </w:divBdr>
              <w:divsChild>
                <w:div w:id="2027367753">
                  <w:marLeft w:val="0"/>
                  <w:marRight w:val="0"/>
                  <w:marTop w:val="0"/>
                  <w:marBottom w:val="0"/>
                  <w:divBdr>
                    <w:top w:val="none" w:sz="0" w:space="0" w:color="auto"/>
                    <w:left w:val="none" w:sz="0" w:space="0" w:color="auto"/>
                    <w:bottom w:val="none" w:sz="0" w:space="0" w:color="auto"/>
                    <w:right w:val="none" w:sz="0" w:space="0" w:color="auto"/>
                  </w:divBdr>
                </w:div>
              </w:divsChild>
            </w:div>
            <w:div w:id="1552182559">
              <w:marLeft w:val="0"/>
              <w:marRight w:val="0"/>
              <w:marTop w:val="300"/>
              <w:marBottom w:val="300"/>
              <w:divBdr>
                <w:top w:val="none" w:sz="0" w:space="0" w:color="auto"/>
                <w:left w:val="none" w:sz="0" w:space="0" w:color="auto"/>
                <w:bottom w:val="none" w:sz="0" w:space="0" w:color="auto"/>
                <w:right w:val="none" w:sz="0" w:space="0" w:color="auto"/>
              </w:divBdr>
            </w:div>
            <w:div w:id="1554848309">
              <w:marLeft w:val="0"/>
              <w:marRight w:val="0"/>
              <w:marTop w:val="0"/>
              <w:marBottom w:val="0"/>
              <w:divBdr>
                <w:top w:val="none" w:sz="0" w:space="0" w:color="auto"/>
                <w:left w:val="none" w:sz="0" w:space="0" w:color="auto"/>
                <w:bottom w:val="none" w:sz="0" w:space="0" w:color="auto"/>
                <w:right w:val="none" w:sz="0" w:space="0" w:color="auto"/>
              </w:divBdr>
              <w:divsChild>
                <w:div w:id="56632065">
                  <w:marLeft w:val="0"/>
                  <w:marRight w:val="0"/>
                  <w:marTop w:val="0"/>
                  <w:marBottom w:val="0"/>
                  <w:divBdr>
                    <w:top w:val="none" w:sz="0" w:space="0" w:color="auto"/>
                    <w:left w:val="none" w:sz="0" w:space="0" w:color="auto"/>
                    <w:bottom w:val="none" w:sz="0" w:space="0" w:color="auto"/>
                    <w:right w:val="none" w:sz="0" w:space="0" w:color="auto"/>
                  </w:divBdr>
                </w:div>
              </w:divsChild>
            </w:div>
            <w:div w:id="1556308187">
              <w:marLeft w:val="0"/>
              <w:marRight w:val="0"/>
              <w:marTop w:val="0"/>
              <w:marBottom w:val="0"/>
              <w:divBdr>
                <w:top w:val="none" w:sz="0" w:space="0" w:color="auto"/>
                <w:left w:val="none" w:sz="0" w:space="0" w:color="auto"/>
                <w:bottom w:val="none" w:sz="0" w:space="0" w:color="auto"/>
                <w:right w:val="none" w:sz="0" w:space="0" w:color="auto"/>
              </w:divBdr>
              <w:divsChild>
                <w:div w:id="189884028">
                  <w:marLeft w:val="0"/>
                  <w:marRight w:val="0"/>
                  <w:marTop w:val="0"/>
                  <w:marBottom w:val="0"/>
                  <w:divBdr>
                    <w:top w:val="none" w:sz="0" w:space="0" w:color="auto"/>
                    <w:left w:val="none" w:sz="0" w:space="0" w:color="auto"/>
                    <w:bottom w:val="none" w:sz="0" w:space="0" w:color="auto"/>
                    <w:right w:val="none" w:sz="0" w:space="0" w:color="auto"/>
                  </w:divBdr>
                </w:div>
              </w:divsChild>
            </w:div>
            <w:div w:id="1558126259">
              <w:marLeft w:val="0"/>
              <w:marRight w:val="0"/>
              <w:marTop w:val="0"/>
              <w:marBottom w:val="0"/>
              <w:divBdr>
                <w:top w:val="none" w:sz="0" w:space="0" w:color="auto"/>
                <w:left w:val="none" w:sz="0" w:space="0" w:color="auto"/>
                <w:bottom w:val="none" w:sz="0" w:space="0" w:color="auto"/>
                <w:right w:val="none" w:sz="0" w:space="0" w:color="auto"/>
              </w:divBdr>
              <w:divsChild>
                <w:div w:id="1196314248">
                  <w:marLeft w:val="0"/>
                  <w:marRight w:val="0"/>
                  <w:marTop w:val="0"/>
                  <w:marBottom w:val="0"/>
                  <w:divBdr>
                    <w:top w:val="none" w:sz="0" w:space="0" w:color="auto"/>
                    <w:left w:val="none" w:sz="0" w:space="0" w:color="auto"/>
                    <w:bottom w:val="none" w:sz="0" w:space="0" w:color="auto"/>
                    <w:right w:val="none" w:sz="0" w:space="0" w:color="auto"/>
                  </w:divBdr>
                </w:div>
              </w:divsChild>
            </w:div>
            <w:div w:id="1560361911">
              <w:marLeft w:val="0"/>
              <w:marRight w:val="0"/>
              <w:marTop w:val="300"/>
              <w:marBottom w:val="300"/>
              <w:divBdr>
                <w:top w:val="none" w:sz="0" w:space="0" w:color="auto"/>
                <w:left w:val="none" w:sz="0" w:space="0" w:color="auto"/>
                <w:bottom w:val="none" w:sz="0" w:space="0" w:color="auto"/>
                <w:right w:val="none" w:sz="0" w:space="0" w:color="auto"/>
              </w:divBdr>
            </w:div>
            <w:div w:id="1561214233">
              <w:marLeft w:val="0"/>
              <w:marRight w:val="0"/>
              <w:marTop w:val="0"/>
              <w:marBottom w:val="0"/>
              <w:divBdr>
                <w:top w:val="none" w:sz="0" w:space="0" w:color="auto"/>
                <w:left w:val="none" w:sz="0" w:space="0" w:color="auto"/>
                <w:bottom w:val="none" w:sz="0" w:space="0" w:color="auto"/>
                <w:right w:val="none" w:sz="0" w:space="0" w:color="auto"/>
              </w:divBdr>
              <w:divsChild>
                <w:div w:id="356541723">
                  <w:marLeft w:val="0"/>
                  <w:marRight w:val="0"/>
                  <w:marTop w:val="0"/>
                  <w:marBottom w:val="0"/>
                  <w:divBdr>
                    <w:top w:val="none" w:sz="0" w:space="0" w:color="auto"/>
                    <w:left w:val="none" w:sz="0" w:space="0" w:color="auto"/>
                    <w:bottom w:val="none" w:sz="0" w:space="0" w:color="auto"/>
                    <w:right w:val="none" w:sz="0" w:space="0" w:color="auto"/>
                  </w:divBdr>
                </w:div>
              </w:divsChild>
            </w:div>
            <w:div w:id="1563056408">
              <w:marLeft w:val="0"/>
              <w:marRight w:val="0"/>
              <w:marTop w:val="0"/>
              <w:marBottom w:val="0"/>
              <w:divBdr>
                <w:top w:val="none" w:sz="0" w:space="0" w:color="auto"/>
                <w:left w:val="none" w:sz="0" w:space="0" w:color="auto"/>
                <w:bottom w:val="none" w:sz="0" w:space="0" w:color="auto"/>
                <w:right w:val="none" w:sz="0" w:space="0" w:color="auto"/>
              </w:divBdr>
              <w:divsChild>
                <w:div w:id="2115131000">
                  <w:marLeft w:val="0"/>
                  <w:marRight w:val="0"/>
                  <w:marTop w:val="0"/>
                  <w:marBottom w:val="0"/>
                  <w:divBdr>
                    <w:top w:val="none" w:sz="0" w:space="0" w:color="auto"/>
                    <w:left w:val="none" w:sz="0" w:space="0" w:color="auto"/>
                    <w:bottom w:val="none" w:sz="0" w:space="0" w:color="auto"/>
                    <w:right w:val="none" w:sz="0" w:space="0" w:color="auto"/>
                  </w:divBdr>
                </w:div>
              </w:divsChild>
            </w:div>
            <w:div w:id="1563447734">
              <w:marLeft w:val="0"/>
              <w:marRight w:val="0"/>
              <w:marTop w:val="0"/>
              <w:marBottom w:val="0"/>
              <w:divBdr>
                <w:top w:val="none" w:sz="0" w:space="0" w:color="auto"/>
                <w:left w:val="none" w:sz="0" w:space="0" w:color="auto"/>
                <w:bottom w:val="none" w:sz="0" w:space="0" w:color="auto"/>
                <w:right w:val="none" w:sz="0" w:space="0" w:color="auto"/>
              </w:divBdr>
              <w:divsChild>
                <w:div w:id="908033372">
                  <w:marLeft w:val="0"/>
                  <w:marRight w:val="0"/>
                  <w:marTop w:val="0"/>
                  <w:marBottom w:val="0"/>
                  <w:divBdr>
                    <w:top w:val="none" w:sz="0" w:space="0" w:color="auto"/>
                    <w:left w:val="none" w:sz="0" w:space="0" w:color="auto"/>
                    <w:bottom w:val="none" w:sz="0" w:space="0" w:color="auto"/>
                    <w:right w:val="none" w:sz="0" w:space="0" w:color="auto"/>
                  </w:divBdr>
                </w:div>
              </w:divsChild>
            </w:div>
            <w:div w:id="1564829804">
              <w:marLeft w:val="0"/>
              <w:marRight w:val="0"/>
              <w:marTop w:val="0"/>
              <w:marBottom w:val="0"/>
              <w:divBdr>
                <w:top w:val="none" w:sz="0" w:space="0" w:color="auto"/>
                <w:left w:val="none" w:sz="0" w:space="0" w:color="auto"/>
                <w:bottom w:val="none" w:sz="0" w:space="0" w:color="auto"/>
                <w:right w:val="none" w:sz="0" w:space="0" w:color="auto"/>
              </w:divBdr>
              <w:divsChild>
                <w:div w:id="1323314038">
                  <w:marLeft w:val="0"/>
                  <w:marRight w:val="0"/>
                  <w:marTop w:val="0"/>
                  <w:marBottom w:val="0"/>
                  <w:divBdr>
                    <w:top w:val="none" w:sz="0" w:space="0" w:color="auto"/>
                    <w:left w:val="none" w:sz="0" w:space="0" w:color="auto"/>
                    <w:bottom w:val="none" w:sz="0" w:space="0" w:color="auto"/>
                    <w:right w:val="none" w:sz="0" w:space="0" w:color="auto"/>
                  </w:divBdr>
                </w:div>
              </w:divsChild>
            </w:div>
            <w:div w:id="1566525147">
              <w:marLeft w:val="0"/>
              <w:marRight w:val="0"/>
              <w:marTop w:val="0"/>
              <w:marBottom w:val="0"/>
              <w:divBdr>
                <w:top w:val="none" w:sz="0" w:space="0" w:color="auto"/>
                <w:left w:val="none" w:sz="0" w:space="0" w:color="auto"/>
                <w:bottom w:val="none" w:sz="0" w:space="0" w:color="auto"/>
                <w:right w:val="none" w:sz="0" w:space="0" w:color="auto"/>
              </w:divBdr>
              <w:divsChild>
                <w:div w:id="1893105565">
                  <w:marLeft w:val="0"/>
                  <w:marRight w:val="0"/>
                  <w:marTop w:val="0"/>
                  <w:marBottom w:val="0"/>
                  <w:divBdr>
                    <w:top w:val="none" w:sz="0" w:space="0" w:color="auto"/>
                    <w:left w:val="none" w:sz="0" w:space="0" w:color="auto"/>
                    <w:bottom w:val="none" w:sz="0" w:space="0" w:color="auto"/>
                    <w:right w:val="none" w:sz="0" w:space="0" w:color="auto"/>
                  </w:divBdr>
                </w:div>
              </w:divsChild>
            </w:div>
            <w:div w:id="1566866721">
              <w:marLeft w:val="0"/>
              <w:marRight w:val="0"/>
              <w:marTop w:val="0"/>
              <w:marBottom w:val="0"/>
              <w:divBdr>
                <w:top w:val="none" w:sz="0" w:space="0" w:color="auto"/>
                <w:left w:val="none" w:sz="0" w:space="0" w:color="auto"/>
                <w:bottom w:val="none" w:sz="0" w:space="0" w:color="auto"/>
                <w:right w:val="none" w:sz="0" w:space="0" w:color="auto"/>
              </w:divBdr>
              <w:divsChild>
                <w:div w:id="1815557980">
                  <w:marLeft w:val="0"/>
                  <w:marRight w:val="0"/>
                  <w:marTop w:val="0"/>
                  <w:marBottom w:val="0"/>
                  <w:divBdr>
                    <w:top w:val="none" w:sz="0" w:space="0" w:color="auto"/>
                    <w:left w:val="none" w:sz="0" w:space="0" w:color="auto"/>
                    <w:bottom w:val="none" w:sz="0" w:space="0" w:color="auto"/>
                    <w:right w:val="none" w:sz="0" w:space="0" w:color="auto"/>
                  </w:divBdr>
                </w:div>
              </w:divsChild>
            </w:div>
            <w:div w:id="1567715989">
              <w:marLeft w:val="0"/>
              <w:marRight w:val="0"/>
              <w:marTop w:val="0"/>
              <w:marBottom w:val="0"/>
              <w:divBdr>
                <w:top w:val="none" w:sz="0" w:space="0" w:color="auto"/>
                <w:left w:val="none" w:sz="0" w:space="0" w:color="auto"/>
                <w:bottom w:val="none" w:sz="0" w:space="0" w:color="auto"/>
                <w:right w:val="none" w:sz="0" w:space="0" w:color="auto"/>
              </w:divBdr>
              <w:divsChild>
                <w:div w:id="467817867">
                  <w:marLeft w:val="0"/>
                  <w:marRight w:val="0"/>
                  <w:marTop w:val="0"/>
                  <w:marBottom w:val="0"/>
                  <w:divBdr>
                    <w:top w:val="none" w:sz="0" w:space="0" w:color="auto"/>
                    <w:left w:val="none" w:sz="0" w:space="0" w:color="auto"/>
                    <w:bottom w:val="none" w:sz="0" w:space="0" w:color="auto"/>
                    <w:right w:val="none" w:sz="0" w:space="0" w:color="auto"/>
                  </w:divBdr>
                </w:div>
              </w:divsChild>
            </w:div>
            <w:div w:id="1568951869">
              <w:marLeft w:val="0"/>
              <w:marRight w:val="0"/>
              <w:marTop w:val="300"/>
              <w:marBottom w:val="300"/>
              <w:divBdr>
                <w:top w:val="none" w:sz="0" w:space="0" w:color="auto"/>
                <w:left w:val="none" w:sz="0" w:space="0" w:color="auto"/>
                <w:bottom w:val="none" w:sz="0" w:space="0" w:color="auto"/>
                <w:right w:val="none" w:sz="0" w:space="0" w:color="auto"/>
              </w:divBdr>
            </w:div>
            <w:div w:id="1569419049">
              <w:marLeft w:val="0"/>
              <w:marRight w:val="0"/>
              <w:marTop w:val="0"/>
              <w:marBottom w:val="0"/>
              <w:divBdr>
                <w:top w:val="none" w:sz="0" w:space="0" w:color="auto"/>
                <w:left w:val="none" w:sz="0" w:space="0" w:color="auto"/>
                <w:bottom w:val="none" w:sz="0" w:space="0" w:color="auto"/>
                <w:right w:val="none" w:sz="0" w:space="0" w:color="auto"/>
              </w:divBdr>
              <w:divsChild>
                <w:div w:id="1130513025">
                  <w:marLeft w:val="0"/>
                  <w:marRight w:val="0"/>
                  <w:marTop w:val="0"/>
                  <w:marBottom w:val="0"/>
                  <w:divBdr>
                    <w:top w:val="none" w:sz="0" w:space="0" w:color="auto"/>
                    <w:left w:val="none" w:sz="0" w:space="0" w:color="auto"/>
                    <w:bottom w:val="none" w:sz="0" w:space="0" w:color="auto"/>
                    <w:right w:val="none" w:sz="0" w:space="0" w:color="auto"/>
                  </w:divBdr>
                </w:div>
              </w:divsChild>
            </w:div>
            <w:div w:id="1572734500">
              <w:marLeft w:val="0"/>
              <w:marRight w:val="0"/>
              <w:marTop w:val="0"/>
              <w:marBottom w:val="0"/>
              <w:divBdr>
                <w:top w:val="none" w:sz="0" w:space="0" w:color="auto"/>
                <w:left w:val="none" w:sz="0" w:space="0" w:color="auto"/>
                <w:bottom w:val="none" w:sz="0" w:space="0" w:color="auto"/>
                <w:right w:val="none" w:sz="0" w:space="0" w:color="auto"/>
              </w:divBdr>
              <w:divsChild>
                <w:div w:id="1045375652">
                  <w:marLeft w:val="0"/>
                  <w:marRight w:val="0"/>
                  <w:marTop w:val="0"/>
                  <w:marBottom w:val="0"/>
                  <w:divBdr>
                    <w:top w:val="none" w:sz="0" w:space="0" w:color="auto"/>
                    <w:left w:val="none" w:sz="0" w:space="0" w:color="auto"/>
                    <w:bottom w:val="none" w:sz="0" w:space="0" w:color="auto"/>
                    <w:right w:val="none" w:sz="0" w:space="0" w:color="auto"/>
                  </w:divBdr>
                </w:div>
              </w:divsChild>
            </w:div>
            <w:div w:id="1572736865">
              <w:marLeft w:val="0"/>
              <w:marRight w:val="0"/>
              <w:marTop w:val="0"/>
              <w:marBottom w:val="0"/>
              <w:divBdr>
                <w:top w:val="none" w:sz="0" w:space="0" w:color="auto"/>
                <w:left w:val="none" w:sz="0" w:space="0" w:color="auto"/>
                <w:bottom w:val="none" w:sz="0" w:space="0" w:color="auto"/>
                <w:right w:val="none" w:sz="0" w:space="0" w:color="auto"/>
              </w:divBdr>
              <w:divsChild>
                <w:div w:id="1509445056">
                  <w:marLeft w:val="0"/>
                  <w:marRight w:val="0"/>
                  <w:marTop w:val="0"/>
                  <w:marBottom w:val="0"/>
                  <w:divBdr>
                    <w:top w:val="none" w:sz="0" w:space="0" w:color="auto"/>
                    <w:left w:val="none" w:sz="0" w:space="0" w:color="auto"/>
                    <w:bottom w:val="none" w:sz="0" w:space="0" w:color="auto"/>
                    <w:right w:val="none" w:sz="0" w:space="0" w:color="auto"/>
                  </w:divBdr>
                </w:div>
              </w:divsChild>
            </w:div>
            <w:div w:id="1574006126">
              <w:marLeft w:val="0"/>
              <w:marRight w:val="0"/>
              <w:marTop w:val="0"/>
              <w:marBottom w:val="0"/>
              <w:divBdr>
                <w:top w:val="none" w:sz="0" w:space="0" w:color="auto"/>
                <w:left w:val="none" w:sz="0" w:space="0" w:color="auto"/>
                <w:bottom w:val="none" w:sz="0" w:space="0" w:color="auto"/>
                <w:right w:val="none" w:sz="0" w:space="0" w:color="auto"/>
              </w:divBdr>
              <w:divsChild>
                <w:div w:id="62873068">
                  <w:marLeft w:val="0"/>
                  <w:marRight w:val="0"/>
                  <w:marTop w:val="0"/>
                  <w:marBottom w:val="0"/>
                  <w:divBdr>
                    <w:top w:val="none" w:sz="0" w:space="0" w:color="auto"/>
                    <w:left w:val="none" w:sz="0" w:space="0" w:color="auto"/>
                    <w:bottom w:val="none" w:sz="0" w:space="0" w:color="auto"/>
                    <w:right w:val="none" w:sz="0" w:space="0" w:color="auto"/>
                  </w:divBdr>
                </w:div>
              </w:divsChild>
            </w:div>
            <w:div w:id="1575815108">
              <w:marLeft w:val="0"/>
              <w:marRight w:val="0"/>
              <w:marTop w:val="0"/>
              <w:marBottom w:val="0"/>
              <w:divBdr>
                <w:top w:val="none" w:sz="0" w:space="0" w:color="auto"/>
                <w:left w:val="none" w:sz="0" w:space="0" w:color="auto"/>
                <w:bottom w:val="none" w:sz="0" w:space="0" w:color="auto"/>
                <w:right w:val="none" w:sz="0" w:space="0" w:color="auto"/>
              </w:divBdr>
              <w:divsChild>
                <w:div w:id="496651158">
                  <w:marLeft w:val="0"/>
                  <w:marRight w:val="0"/>
                  <w:marTop w:val="0"/>
                  <w:marBottom w:val="0"/>
                  <w:divBdr>
                    <w:top w:val="none" w:sz="0" w:space="0" w:color="auto"/>
                    <w:left w:val="none" w:sz="0" w:space="0" w:color="auto"/>
                    <w:bottom w:val="none" w:sz="0" w:space="0" w:color="auto"/>
                    <w:right w:val="none" w:sz="0" w:space="0" w:color="auto"/>
                  </w:divBdr>
                </w:div>
              </w:divsChild>
            </w:div>
            <w:div w:id="1576742276">
              <w:marLeft w:val="0"/>
              <w:marRight w:val="0"/>
              <w:marTop w:val="0"/>
              <w:marBottom w:val="0"/>
              <w:divBdr>
                <w:top w:val="none" w:sz="0" w:space="0" w:color="auto"/>
                <w:left w:val="none" w:sz="0" w:space="0" w:color="auto"/>
                <w:bottom w:val="none" w:sz="0" w:space="0" w:color="auto"/>
                <w:right w:val="none" w:sz="0" w:space="0" w:color="auto"/>
              </w:divBdr>
              <w:divsChild>
                <w:div w:id="1691102787">
                  <w:marLeft w:val="0"/>
                  <w:marRight w:val="0"/>
                  <w:marTop w:val="0"/>
                  <w:marBottom w:val="0"/>
                  <w:divBdr>
                    <w:top w:val="none" w:sz="0" w:space="0" w:color="auto"/>
                    <w:left w:val="none" w:sz="0" w:space="0" w:color="auto"/>
                    <w:bottom w:val="none" w:sz="0" w:space="0" w:color="auto"/>
                    <w:right w:val="none" w:sz="0" w:space="0" w:color="auto"/>
                  </w:divBdr>
                </w:div>
              </w:divsChild>
            </w:div>
            <w:div w:id="1577131897">
              <w:marLeft w:val="0"/>
              <w:marRight w:val="0"/>
              <w:marTop w:val="0"/>
              <w:marBottom w:val="0"/>
              <w:divBdr>
                <w:top w:val="none" w:sz="0" w:space="0" w:color="auto"/>
                <w:left w:val="none" w:sz="0" w:space="0" w:color="auto"/>
                <w:bottom w:val="none" w:sz="0" w:space="0" w:color="auto"/>
                <w:right w:val="none" w:sz="0" w:space="0" w:color="auto"/>
              </w:divBdr>
              <w:divsChild>
                <w:div w:id="532576230">
                  <w:marLeft w:val="0"/>
                  <w:marRight w:val="0"/>
                  <w:marTop w:val="0"/>
                  <w:marBottom w:val="0"/>
                  <w:divBdr>
                    <w:top w:val="none" w:sz="0" w:space="0" w:color="auto"/>
                    <w:left w:val="none" w:sz="0" w:space="0" w:color="auto"/>
                    <w:bottom w:val="none" w:sz="0" w:space="0" w:color="auto"/>
                    <w:right w:val="none" w:sz="0" w:space="0" w:color="auto"/>
                  </w:divBdr>
                </w:div>
              </w:divsChild>
            </w:div>
            <w:div w:id="1577856734">
              <w:marLeft w:val="0"/>
              <w:marRight w:val="0"/>
              <w:marTop w:val="300"/>
              <w:marBottom w:val="300"/>
              <w:divBdr>
                <w:top w:val="none" w:sz="0" w:space="0" w:color="auto"/>
                <w:left w:val="none" w:sz="0" w:space="0" w:color="auto"/>
                <w:bottom w:val="none" w:sz="0" w:space="0" w:color="auto"/>
                <w:right w:val="none" w:sz="0" w:space="0" w:color="auto"/>
              </w:divBdr>
            </w:div>
            <w:div w:id="1578899259">
              <w:marLeft w:val="0"/>
              <w:marRight w:val="0"/>
              <w:marTop w:val="0"/>
              <w:marBottom w:val="0"/>
              <w:divBdr>
                <w:top w:val="none" w:sz="0" w:space="0" w:color="auto"/>
                <w:left w:val="none" w:sz="0" w:space="0" w:color="auto"/>
                <w:bottom w:val="none" w:sz="0" w:space="0" w:color="auto"/>
                <w:right w:val="none" w:sz="0" w:space="0" w:color="auto"/>
              </w:divBdr>
              <w:divsChild>
                <w:div w:id="1630891175">
                  <w:marLeft w:val="0"/>
                  <w:marRight w:val="0"/>
                  <w:marTop w:val="0"/>
                  <w:marBottom w:val="0"/>
                  <w:divBdr>
                    <w:top w:val="none" w:sz="0" w:space="0" w:color="auto"/>
                    <w:left w:val="none" w:sz="0" w:space="0" w:color="auto"/>
                    <w:bottom w:val="none" w:sz="0" w:space="0" w:color="auto"/>
                    <w:right w:val="none" w:sz="0" w:space="0" w:color="auto"/>
                  </w:divBdr>
                </w:div>
              </w:divsChild>
            </w:div>
            <w:div w:id="1579486480">
              <w:marLeft w:val="0"/>
              <w:marRight w:val="0"/>
              <w:marTop w:val="0"/>
              <w:marBottom w:val="0"/>
              <w:divBdr>
                <w:top w:val="none" w:sz="0" w:space="0" w:color="auto"/>
                <w:left w:val="none" w:sz="0" w:space="0" w:color="auto"/>
                <w:bottom w:val="none" w:sz="0" w:space="0" w:color="auto"/>
                <w:right w:val="none" w:sz="0" w:space="0" w:color="auto"/>
              </w:divBdr>
              <w:divsChild>
                <w:div w:id="5256108">
                  <w:marLeft w:val="0"/>
                  <w:marRight w:val="0"/>
                  <w:marTop w:val="0"/>
                  <w:marBottom w:val="0"/>
                  <w:divBdr>
                    <w:top w:val="none" w:sz="0" w:space="0" w:color="auto"/>
                    <w:left w:val="none" w:sz="0" w:space="0" w:color="auto"/>
                    <w:bottom w:val="none" w:sz="0" w:space="0" w:color="auto"/>
                    <w:right w:val="none" w:sz="0" w:space="0" w:color="auto"/>
                  </w:divBdr>
                </w:div>
              </w:divsChild>
            </w:div>
            <w:div w:id="1579748089">
              <w:marLeft w:val="0"/>
              <w:marRight w:val="0"/>
              <w:marTop w:val="0"/>
              <w:marBottom w:val="0"/>
              <w:divBdr>
                <w:top w:val="none" w:sz="0" w:space="0" w:color="auto"/>
                <w:left w:val="none" w:sz="0" w:space="0" w:color="auto"/>
                <w:bottom w:val="none" w:sz="0" w:space="0" w:color="auto"/>
                <w:right w:val="none" w:sz="0" w:space="0" w:color="auto"/>
              </w:divBdr>
              <w:divsChild>
                <w:div w:id="1036197869">
                  <w:marLeft w:val="0"/>
                  <w:marRight w:val="0"/>
                  <w:marTop w:val="0"/>
                  <w:marBottom w:val="0"/>
                  <w:divBdr>
                    <w:top w:val="none" w:sz="0" w:space="0" w:color="auto"/>
                    <w:left w:val="none" w:sz="0" w:space="0" w:color="auto"/>
                    <w:bottom w:val="none" w:sz="0" w:space="0" w:color="auto"/>
                    <w:right w:val="none" w:sz="0" w:space="0" w:color="auto"/>
                  </w:divBdr>
                </w:div>
              </w:divsChild>
            </w:div>
            <w:div w:id="1581284207">
              <w:marLeft w:val="0"/>
              <w:marRight w:val="0"/>
              <w:marTop w:val="300"/>
              <w:marBottom w:val="300"/>
              <w:divBdr>
                <w:top w:val="none" w:sz="0" w:space="0" w:color="auto"/>
                <w:left w:val="none" w:sz="0" w:space="0" w:color="auto"/>
                <w:bottom w:val="none" w:sz="0" w:space="0" w:color="auto"/>
                <w:right w:val="none" w:sz="0" w:space="0" w:color="auto"/>
              </w:divBdr>
            </w:div>
            <w:div w:id="1582326725">
              <w:marLeft w:val="0"/>
              <w:marRight w:val="0"/>
              <w:marTop w:val="300"/>
              <w:marBottom w:val="300"/>
              <w:divBdr>
                <w:top w:val="none" w:sz="0" w:space="0" w:color="auto"/>
                <w:left w:val="none" w:sz="0" w:space="0" w:color="auto"/>
                <w:bottom w:val="none" w:sz="0" w:space="0" w:color="auto"/>
                <w:right w:val="none" w:sz="0" w:space="0" w:color="auto"/>
              </w:divBdr>
            </w:div>
            <w:div w:id="1582838527">
              <w:marLeft w:val="0"/>
              <w:marRight w:val="0"/>
              <w:marTop w:val="0"/>
              <w:marBottom w:val="0"/>
              <w:divBdr>
                <w:top w:val="none" w:sz="0" w:space="0" w:color="auto"/>
                <w:left w:val="none" w:sz="0" w:space="0" w:color="auto"/>
                <w:bottom w:val="none" w:sz="0" w:space="0" w:color="auto"/>
                <w:right w:val="none" w:sz="0" w:space="0" w:color="auto"/>
              </w:divBdr>
              <w:divsChild>
                <w:div w:id="123501149">
                  <w:marLeft w:val="0"/>
                  <w:marRight w:val="0"/>
                  <w:marTop w:val="0"/>
                  <w:marBottom w:val="0"/>
                  <w:divBdr>
                    <w:top w:val="none" w:sz="0" w:space="0" w:color="auto"/>
                    <w:left w:val="none" w:sz="0" w:space="0" w:color="auto"/>
                    <w:bottom w:val="none" w:sz="0" w:space="0" w:color="auto"/>
                    <w:right w:val="none" w:sz="0" w:space="0" w:color="auto"/>
                  </w:divBdr>
                </w:div>
              </w:divsChild>
            </w:div>
            <w:div w:id="1584292462">
              <w:marLeft w:val="0"/>
              <w:marRight w:val="0"/>
              <w:marTop w:val="0"/>
              <w:marBottom w:val="0"/>
              <w:divBdr>
                <w:top w:val="none" w:sz="0" w:space="0" w:color="auto"/>
                <w:left w:val="none" w:sz="0" w:space="0" w:color="auto"/>
                <w:bottom w:val="none" w:sz="0" w:space="0" w:color="auto"/>
                <w:right w:val="none" w:sz="0" w:space="0" w:color="auto"/>
              </w:divBdr>
              <w:divsChild>
                <w:div w:id="121383448">
                  <w:marLeft w:val="0"/>
                  <w:marRight w:val="0"/>
                  <w:marTop w:val="0"/>
                  <w:marBottom w:val="0"/>
                  <w:divBdr>
                    <w:top w:val="none" w:sz="0" w:space="0" w:color="auto"/>
                    <w:left w:val="none" w:sz="0" w:space="0" w:color="auto"/>
                    <w:bottom w:val="none" w:sz="0" w:space="0" w:color="auto"/>
                    <w:right w:val="none" w:sz="0" w:space="0" w:color="auto"/>
                  </w:divBdr>
                </w:div>
              </w:divsChild>
            </w:div>
            <w:div w:id="1584490866">
              <w:marLeft w:val="0"/>
              <w:marRight w:val="0"/>
              <w:marTop w:val="300"/>
              <w:marBottom w:val="300"/>
              <w:divBdr>
                <w:top w:val="none" w:sz="0" w:space="0" w:color="auto"/>
                <w:left w:val="none" w:sz="0" w:space="0" w:color="auto"/>
                <w:bottom w:val="none" w:sz="0" w:space="0" w:color="auto"/>
                <w:right w:val="none" w:sz="0" w:space="0" w:color="auto"/>
              </w:divBdr>
            </w:div>
            <w:div w:id="1585408215">
              <w:marLeft w:val="0"/>
              <w:marRight w:val="0"/>
              <w:marTop w:val="0"/>
              <w:marBottom w:val="0"/>
              <w:divBdr>
                <w:top w:val="none" w:sz="0" w:space="0" w:color="auto"/>
                <w:left w:val="none" w:sz="0" w:space="0" w:color="auto"/>
                <w:bottom w:val="none" w:sz="0" w:space="0" w:color="auto"/>
                <w:right w:val="none" w:sz="0" w:space="0" w:color="auto"/>
              </w:divBdr>
              <w:divsChild>
                <w:div w:id="746734129">
                  <w:marLeft w:val="0"/>
                  <w:marRight w:val="0"/>
                  <w:marTop w:val="0"/>
                  <w:marBottom w:val="0"/>
                  <w:divBdr>
                    <w:top w:val="none" w:sz="0" w:space="0" w:color="auto"/>
                    <w:left w:val="none" w:sz="0" w:space="0" w:color="auto"/>
                    <w:bottom w:val="none" w:sz="0" w:space="0" w:color="auto"/>
                    <w:right w:val="none" w:sz="0" w:space="0" w:color="auto"/>
                  </w:divBdr>
                </w:div>
              </w:divsChild>
            </w:div>
            <w:div w:id="1586499617">
              <w:marLeft w:val="0"/>
              <w:marRight w:val="0"/>
              <w:marTop w:val="300"/>
              <w:marBottom w:val="300"/>
              <w:divBdr>
                <w:top w:val="none" w:sz="0" w:space="0" w:color="auto"/>
                <w:left w:val="none" w:sz="0" w:space="0" w:color="auto"/>
                <w:bottom w:val="none" w:sz="0" w:space="0" w:color="auto"/>
                <w:right w:val="none" w:sz="0" w:space="0" w:color="auto"/>
              </w:divBdr>
            </w:div>
            <w:div w:id="1586643050">
              <w:marLeft w:val="0"/>
              <w:marRight w:val="0"/>
              <w:marTop w:val="0"/>
              <w:marBottom w:val="0"/>
              <w:divBdr>
                <w:top w:val="none" w:sz="0" w:space="0" w:color="auto"/>
                <w:left w:val="none" w:sz="0" w:space="0" w:color="auto"/>
                <w:bottom w:val="none" w:sz="0" w:space="0" w:color="auto"/>
                <w:right w:val="none" w:sz="0" w:space="0" w:color="auto"/>
              </w:divBdr>
              <w:divsChild>
                <w:div w:id="1082724219">
                  <w:marLeft w:val="0"/>
                  <w:marRight w:val="0"/>
                  <w:marTop w:val="0"/>
                  <w:marBottom w:val="0"/>
                  <w:divBdr>
                    <w:top w:val="none" w:sz="0" w:space="0" w:color="auto"/>
                    <w:left w:val="none" w:sz="0" w:space="0" w:color="auto"/>
                    <w:bottom w:val="none" w:sz="0" w:space="0" w:color="auto"/>
                    <w:right w:val="none" w:sz="0" w:space="0" w:color="auto"/>
                  </w:divBdr>
                </w:div>
              </w:divsChild>
            </w:div>
            <w:div w:id="1587419378">
              <w:marLeft w:val="0"/>
              <w:marRight w:val="0"/>
              <w:marTop w:val="300"/>
              <w:marBottom w:val="300"/>
              <w:divBdr>
                <w:top w:val="none" w:sz="0" w:space="0" w:color="auto"/>
                <w:left w:val="none" w:sz="0" w:space="0" w:color="auto"/>
                <w:bottom w:val="none" w:sz="0" w:space="0" w:color="auto"/>
                <w:right w:val="none" w:sz="0" w:space="0" w:color="auto"/>
              </w:divBdr>
            </w:div>
            <w:div w:id="1588073547">
              <w:marLeft w:val="0"/>
              <w:marRight w:val="0"/>
              <w:marTop w:val="0"/>
              <w:marBottom w:val="0"/>
              <w:divBdr>
                <w:top w:val="none" w:sz="0" w:space="0" w:color="auto"/>
                <w:left w:val="none" w:sz="0" w:space="0" w:color="auto"/>
                <w:bottom w:val="none" w:sz="0" w:space="0" w:color="auto"/>
                <w:right w:val="none" w:sz="0" w:space="0" w:color="auto"/>
              </w:divBdr>
              <w:divsChild>
                <w:div w:id="51274711">
                  <w:marLeft w:val="0"/>
                  <w:marRight w:val="0"/>
                  <w:marTop w:val="0"/>
                  <w:marBottom w:val="0"/>
                  <w:divBdr>
                    <w:top w:val="none" w:sz="0" w:space="0" w:color="auto"/>
                    <w:left w:val="none" w:sz="0" w:space="0" w:color="auto"/>
                    <w:bottom w:val="none" w:sz="0" w:space="0" w:color="auto"/>
                    <w:right w:val="none" w:sz="0" w:space="0" w:color="auto"/>
                  </w:divBdr>
                </w:div>
              </w:divsChild>
            </w:div>
            <w:div w:id="1588491381">
              <w:marLeft w:val="0"/>
              <w:marRight w:val="0"/>
              <w:marTop w:val="300"/>
              <w:marBottom w:val="300"/>
              <w:divBdr>
                <w:top w:val="none" w:sz="0" w:space="0" w:color="auto"/>
                <w:left w:val="none" w:sz="0" w:space="0" w:color="auto"/>
                <w:bottom w:val="none" w:sz="0" w:space="0" w:color="auto"/>
                <w:right w:val="none" w:sz="0" w:space="0" w:color="auto"/>
              </w:divBdr>
            </w:div>
            <w:div w:id="1592884308">
              <w:marLeft w:val="0"/>
              <w:marRight w:val="0"/>
              <w:marTop w:val="0"/>
              <w:marBottom w:val="0"/>
              <w:divBdr>
                <w:top w:val="none" w:sz="0" w:space="0" w:color="auto"/>
                <w:left w:val="none" w:sz="0" w:space="0" w:color="auto"/>
                <w:bottom w:val="none" w:sz="0" w:space="0" w:color="auto"/>
                <w:right w:val="none" w:sz="0" w:space="0" w:color="auto"/>
              </w:divBdr>
              <w:divsChild>
                <w:div w:id="227082569">
                  <w:marLeft w:val="0"/>
                  <w:marRight w:val="0"/>
                  <w:marTop w:val="0"/>
                  <w:marBottom w:val="0"/>
                  <w:divBdr>
                    <w:top w:val="none" w:sz="0" w:space="0" w:color="auto"/>
                    <w:left w:val="none" w:sz="0" w:space="0" w:color="auto"/>
                    <w:bottom w:val="none" w:sz="0" w:space="0" w:color="auto"/>
                    <w:right w:val="none" w:sz="0" w:space="0" w:color="auto"/>
                  </w:divBdr>
                </w:div>
              </w:divsChild>
            </w:div>
            <w:div w:id="1593508772">
              <w:marLeft w:val="0"/>
              <w:marRight w:val="0"/>
              <w:marTop w:val="300"/>
              <w:marBottom w:val="300"/>
              <w:divBdr>
                <w:top w:val="none" w:sz="0" w:space="0" w:color="auto"/>
                <w:left w:val="none" w:sz="0" w:space="0" w:color="auto"/>
                <w:bottom w:val="none" w:sz="0" w:space="0" w:color="auto"/>
                <w:right w:val="none" w:sz="0" w:space="0" w:color="auto"/>
              </w:divBdr>
            </w:div>
            <w:div w:id="1593927347">
              <w:marLeft w:val="0"/>
              <w:marRight w:val="0"/>
              <w:marTop w:val="0"/>
              <w:marBottom w:val="0"/>
              <w:divBdr>
                <w:top w:val="none" w:sz="0" w:space="0" w:color="auto"/>
                <w:left w:val="none" w:sz="0" w:space="0" w:color="auto"/>
                <w:bottom w:val="none" w:sz="0" w:space="0" w:color="auto"/>
                <w:right w:val="none" w:sz="0" w:space="0" w:color="auto"/>
              </w:divBdr>
              <w:divsChild>
                <w:div w:id="1604221880">
                  <w:marLeft w:val="0"/>
                  <w:marRight w:val="0"/>
                  <w:marTop w:val="0"/>
                  <w:marBottom w:val="0"/>
                  <w:divBdr>
                    <w:top w:val="none" w:sz="0" w:space="0" w:color="auto"/>
                    <w:left w:val="none" w:sz="0" w:space="0" w:color="auto"/>
                    <w:bottom w:val="none" w:sz="0" w:space="0" w:color="auto"/>
                    <w:right w:val="none" w:sz="0" w:space="0" w:color="auto"/>
                  </w:divBdr>
                </w:div>
              </w:divsChild>
            </w:div>
            <w:div w:id="1594045186">
              <w:marLeft w:val="0"/>
              <w:marRight w:val="0"/>
              <w:marTop w:val="0"/>
              <w:marBottom w:val="0"/>
              <w:divBdr>
                <w:top w:val="none" w:sz="0" w:space="0" w:color="auto"/>
                <w:left w:val="none" w:sz="0" w:space="0" w:color="auto"/>
                <w:bottom w:val="none" w:sz="0" w:space="0" w:color="auto"/>
                <w:right w:val="none" w:sz="0" w:space="0" w:color="auto"/>
              </w:divBdr>
              <w:divsChild>
                <w:div w:id="1811482003">
                  <w:marLeft w:val="0"/>
                  <w:marRight w:val="0"/>
                  <w:marTop w:val="0"/>
                  <w:marBottom w:val="0"/>
                  <w:divBdr>
                    <w:top w:val="none" w:sz="0" w:space="0" w:color="auto"/>
                    <w:left w:val="none" w:sz="0" w:space="0" w:color="auto"/>
                    <w:bottom w:val="none" w:sz="0" w:space="0" w:color="auto"/>
                    <w:right w:val="none" w:sz="0" w:space="0" w:color="auto"/>
                  </w:divBdr>
                </w:div>
              </w:divsChild>
            </w:div>
            <w:div w:id="1594045677">
              <w:marLeft w:val="0"/>
              <w:marRight w:val="0"/>
              <w:marTop w:val="0"/>
              <w:marBottom w:val="0"/>
              <w:divBdr>
                <w:top w:val="none" w:sz="0" w:space="0" w:color="auto"/>
                <w:left w:val="none" w:sz="0" w:space="0" w:color="auto"/>
                <w:bottom w:val="none" w:sz="0" w:space="0" w:color="auto"/>
                <w:right w:val="none" w:sz="0" w:space="0" w:color="auto"/>
              </w:divBdr>
              <w:divsChild>
                <w:div w:id="1555117953">
                  <w:marLeft w:val="0"/>
                  <w:marRight w:val="0"/>
                  <w:marTop w:val="0"/>
                  <w:marBottom w:val="0"/>
                  <w:divBdr>
                    <w:top w:val="none" w:sz="0" w:space="0" w:color="auto"/>
                    <w:left w:val="none" w:sz="0" w:space="0" w:color="auto"/>
                    <w:bottom w:val="none" w:sz="0" w:space="0" w:color="auto"/>
                    <w:right w:val="none" w:sz="0" w:space="0" w:color="auto"/>
                  </w:divBdr>
                </w:div>
              </w:divsChild>
            </w:div>
            <w:div w:id="1594976422">
              <w:marLeft w:val="0"/>
              <w:marRight w:val="0"/>
              <w:marTop w:val="300"/>
              <w:marBottom w:val="300"/>
              <w:divBdr>
                <w:top w:val="none" w:sz="0" w:space="0" w:color="auto"/>
                <w:left w:val="none" w:sz="0" w:space="0" w:color="auto"/>
                <w:bottom w:val="none" w:sz="0" w:space="0" w:color="auto"/>
                <w:right w:val="none" w:sz="0" w:space="0" w:color="auto"/>
              </w:divBdr>
            </w:div>
            <w:div w:id="1596861080">
              <w:marLeft w:val="0"/>
              <w:marRight w:val="0"/>
              <w:marTop w:val="0"/>
              <w:marBottom w:val="0"/>
              <w:divBdr>
                <w:top w:val="none" w:sz="0" w:space="0" w:color="auto"/>
                <w:left w:val="none" w:sz="0" w:space="0" w:color="auto"/>
                <w:bottom w:val="none" w:sz="0" w:space="0" w:color="auto"/>
                <w:right w:val="none" w:sz="0" w:space="0" w:color="auto"/>
              </w:divBdr>
              <w:divsChild>
                <w:div w:id="249898830">
                  <w:marLeft w:val="0"/>
                  <w:marRight w:val="0"/>
                  <w:marTop w:val="0"/>
                  <w:marBottom w:val="0"/>
                  <w:divBdr>
                    <w:top w:val="none" w:sz="0" w:space="0" w:color="auto"/>
                    <w:left w:val="none" w:sz="0" w:space="0" w:color="auto"/>
                    <w:bottom w:val="none" w:sz="0" w:space="0" w:color="auto"/>
                    <w:right w:val="none" w:sz="0" w:space="0" w:color="auto"/>
                  </w:divBdr>
                </w:div>
              </w:divsChild>
            </w:div>
            <w:div w:id="1598058590">
              <w:marLeft w:val="0"/>
              <w:marRight w:val="0"/>
              <w:marTop w:val="0"/>
              <w:marBottom w:val="0"/>
              <w:divBdr>
                <w:top w:val="none" w:sz="0" w:space="0" w:color="auto"/>
                <w:left w:val="none" w:sz="0" w:space="0" w:color="auto"/>
                <w:bottom w:val="none" w:sz="0" w:space="0" w:color="auto"/>
                <w:right w:val="none" w:sz="0" w:space="0" w:color="auto"/>
              </w:divBdr>
              <w:divsChild>
                <w:div w:id="496458384">
                  <w:marLeft w:val="0"/>
                  <w:marRight w:val="0"/>
                  <w:marTop w:val="0"/>
                  <w:marBottom w:val="0"/>
                  <w:divBdr>
                    <w:top w:val="none" w:sz="0" w:space="0" w:color="auto"/>
                    <w:left w:val="none" w:sz="0" w:space="0" w:color="auto"/>
                    <w:bottom w:val="none" w:sz="0" w:space="0" w:color="auto"/>
                    <w:right w:val="none" w:sz="0" w:space="0" w:color="auto"/>
                  </w:divBdr>
                </w:div>
              </w:divsChild>
            </w:div>
            <w:div w:id="1598178234">
              <w:marLeft w:val="0"/>
              <w:marRight w:val="0"/>
              <w:marTop w:val="0"/>
              <w:marBottom w:val="0"/>
              <w:divBdr>
                <w:top w:val="none" w:sz="0" w:space="0" w:color="auto"/>
                <w:left w:val="none" w:sz="0" w:space="0" w:color="auto"/>
                <w:bottom w:val="none" w:sz="0" w:space="0" w:color="auto"/>
                <w:right w:val="none" w:sz="0" w:space="0" w:color="auto"/>
              </w:divBdr>
              <w:divsChild>
                <w:div w:id="302274619">
                  <w:marLeft w:val="0"/>
                  <w:marRight w:val="0"/>
                  <w:marTop w:val="0"/>
                  <w:marBottom w:val="0"/>
                  <w:divBdr>
                    <w:top w:val="none" w:sz="0" w:space="0" w:color="auto"/>
                    <w:left w:val="none" w:sz="0" w:space="0" w:color="auto"/>
                    <w:bottom w:val="none" w:sz="0" w:space="0" w:color="auto"/>
                    <w:right w:val="none" w:sz="0" w:space="0" w:color="auto"/>
                  </w:divBdr>
                </w:div>
              </w:divsChild>
            </w:div>
            <w:div w:id="1598293059">
              <w:marLeft w:val="0"/>
              <w:marRight w:val="0"/>
              <w:marTop w:val="0"/>
              <w:marBottom w:val="0"/>
              <w:divBdr>
                <w:top w:val="none" w:sz="0" w:space="0" w:color="auto"/>
                <w:left w:val="none" w:sz="0" w:space="0" w:color="auto"/>
                <w:bottom w:val="none" w:sz="0" w:space="0" w:color="auto"/>
                <w:right w:val="none" w:sz="0" w:space="0" w:color="auto"/>
              </w:divBdr>
              <w:divsChild>
                <w:div w:id="964389704">
                  <w:marLeft w:val="0"/>
                  <w:marRight w:val="0"/>
                  <w:marTop w:val="0"/>
                  <w:marBottom w:val="0"/>
                  <w:divBdr>
                    <w:top w:val="none" w:sz="0" w:space="0" w:color="auto"/>
                    <w:left w:val="none" w:sz="0" w:space="0" w:color="auto"/>
                    <w:bottom w:val="none" w:sz="0" w:space="0" w:color="auto"/>
                    <w:right w:val="none" w:sz="0" w:space="0" w:color="auto"/>
                  </w:divBdr>
                </w:div>
              </w:divsChild>
            </w:div>
            <w:div w:id="1599678693">
              <w:marLeft w:val="0"/>
              <w:marRight w:val="0"/>
              <w:marTop w:val="0"/>
              <w:marBottom w:val="0"/>
              <w:divBdr>
                <w:top w:val="none" w:sz="0" w:space="0" w:color="auto"/>
                <w:left w:val="none" w:sz="0" w:space="0" w:color="auto"/>
                <w:bottom w:val="none" w:sz="0" w:space="0" w:color="auto"/>
                <w:right w:val="none" w:sz="0" w:space="0" w:color="auto"/>
              </w:divBdr>
              <w:divsChild>
                <w:div w:id="1996032490">
                  <w:marLeft w:val="0"/>
                  <w:marRight w:val="0"/>
                  <w:marTop w:val="0"/>
                  <w:marBottom w:val="0"/>
                  <w:divBdr>
                    <w:top w:val="none" w:sz="0" w:space="0" w:color="auto"/>
                    <w:left w:val="none" w:sz="0" w:space="0" w:color="auto"/>
                    <w:bottom w:val="none" w:sz="0" w:space="0" w:color="auto"/>
                    <w:right w:val="none" w:sz="0" w:space="0" w:color="auto"/>
                  </w:divBdr>
                </w:div>
              </w:divsChild>
            </w:div>
            <w:div w:id="1600484501">
              <w:marLeft w:val="0"/>
              <w:marRight w:val="0"/>
              <w:marTop w:val="0"/>
              <w:marBottom w:val="0"/>
              <w:divBdr>
                <w:top w:val="none" w:sz="0" w:space="0" w:color="auto"/>
                <w:left w:val="none" w:sz="0" w:space="0" w:color="auto"/>
                <w:bottom w:val="none" w:sz="0" w:space="0" w:color="auto"/>
                <w:right w:val="none" w:sz="0" w:space="0" w:color="auto"/>
              </w:divBdr>
              <w:divsChild>
                <w:div w:id="1289051258">
                  <w:marLeft w:val="0"/>
                  <w:marRight w:val="0"/>
                  <w:marTop w:val="0"/>
                  <w:marBottom w:val="0"/>
                  <w:divBdr>
                    <w:top w:val="none" w:sz="0" w:space="0" w:color="auto"/>
                    <w:left w:val="none" w:sz="0" w:space="0" w:color="auto"/>
                    <w:bottom w:val="none" w:sz="0" w:space="0" w:color="auto"/>
                    <w:right w:val="none" w:sz="0" w:space="0" w:color="auto"/>
                  </w:divBdr>
                </w:div>
              </w:divsChild>
            </w:div>
            <w:div w:id="1603565882">
              <w:marLeft w:val="0"/>
              <w:marRight w:val="0"/>
              <w:marTop w:val="0"/>
              <w:marBottom w:val="0"/>
              <w:divBdr>
                <w:top w:val="none" w:sz="0" w:space="0" w:color="auto"/>
                <w:left w:val="none" w:sz="0" w:space="0" w:color="auto"/>
                <w:bottom w:val="none" w:sz="0" w:space="0" w:color="auto"/>
                <w:right w:val="none" w:sz="0" w:space="0" w:color="auto"/>
              </w:divBdr>
              <w:divsChild>
                <w:div w:id="1966963496">
                  <w:marLeft w:val="0"/>
                  <w:marRight w:val="0"/>
                  <w:marTop w:val="0"/>
                  <w:marBottom w:val="0"/>
                  <w:divBdr>
                    <w:top w:val="none" w:sz="0" w:space="0" w:color="auto"/>
                    <w:left w:val="none" w:sz="0" w:space="0" w:color="auto"/>
                    <w:bottom w:val="none" w:sz="0" w:space="0" w:color="auto"/>
                    <w:right w:val="none" w:sz="0" w:space="0" w:color="auto"/>
                  </w:divBdr>
                </w:div>
              </w:divsChild>
            </w:div>
            <w:div w:id="1603607056">
              <w:marLeft w:val="0"/>
              <w:marRight w:val="0"/>
              <w:marTop w:val="0"/>
              <w:marBottom w:val="0"/>
              <w:divBdr>
                <w:top w:val="none" w:sz="0" w:space="0" w:color="auto"/>
                <w:left w:val="none" w:sz="0" w:space="0" w:color="auto"/>
                <w:bottom w:val="none" w:sz="0" w:space="0" w:color="auto"/>
                <w:right w:val="none" w:sz="0" w:space="0" w:color="auto"/>
              </w:divBdr>
              <w:divsChild>
                <w:div w:id="59788719">
                  <w:marLeft w:val="0"/>
                  <w:marRight w:val="0"/>
                  <w:marTop w:val="0"/>
                  <w:marBottom w:val="0"/>
                  <w:divBdr>
                    <w:top w:val="none" w:sz="0" w:space="0" w:color="auto"/>
                    <w:left w:val="none" w:sz="0" w:space="0" w:color="auto"/>
                    <w:bottom w:val="none" w:sz="0" w:space="0" w:color="auto"/>
                    <w:right w:val="none" w:sz="0" w:space="0" w:color="auto"/>
                  </w:divBdr>
                </w:div>
              </w:divsChild>
            </w:div>
            <w:div w:id="1603882360">
              <w:marLeft w:val="0"/>
              <w:marRight w:val="0"/>
              <w:marTop w:val="0"/>
              <w:marBottom w:val="0"/>
              <w:divBdr>
                <w:top w:val="none" w:sz="0" w:space="0" w:color="auto"/>
                <w:left w:val="none" w:sz="0" w:space="0" w:color="auto"/>
                <w:bottom w:val="none" w:sz="0" w:space="0" w:color="auto"/>
                <w:right w:val="none" w:sz="0" w:space="0" w:color="auto"/>
              </w:divBdr>
              <w:divsChild>
                <w:div w:id="2070688153">
                  <w:marLeft w:val="0"/>
                  <w:marRight w:val="0"/>
                  <w:marTop w:val="0"/>
                  <w:marBottom w:val="0"/>
                  <w:divBdr>
                    <w:top w:val="none" w:sz="0" w:space="0" w:color="auto"/>
                    <w:left w:val="none" w:sz="0" w:space="0" w:color="auto"/>
                    <w:bottom w:val="none" w:sz="0" w:space="0" w:color="auto"/>
                    <w:right w:val="none" w:sz="0" w:space="0" w:color="auto"/>
                  </w:divBdr>
                </w:div>
              </w:divsChild>
            </w:div>
            <w:div w:id="1605454589">
              <w:marLeft w:val="0"/>
              <w:marRight w:val="0"/>
              <w:marTop w:val="0"/>
              <w:marBottom w:val="0"/>
              <w:divBdr>
                <w:top w:val="none" w:sz="0" w:space="0" w:color="auto"/>
                <w:left w:val="none" w:sz="0" w:space="0" w:color="auto"/>
                <w:bottom w:val="none" w:sz="0" w:space="0" w:color="auto"/>
                <w:right w:val="none" w:sz="0" w:space="0" w:color="auto"/>
              </w:divBdr>
              <w:divsChild>
                <w:div w:id="1272861978">
                  <w:marLeft w:val="0"/>
                  <w:marRight w:val="0"/>
                  <w:marTop w:val="0"/>
                  <w:marBottom w:val="0"/>
                  <w:divBdr>
                    <w:top w:val="none" w:sz="0" w:space="0" w:color="auto"/>
                    <w:left w:val="none" w:sz="0" w:space="0" w:color="auto"/>
                    <w:bottom w:val="none" w:sz="0" w:space="0" w:color="auto"/>
                    <w:right w:val="none" w:sz="0" w:space="0" w:color="auto"/>
                  </w:divBdr>
                </w:div>
              </w:divsChild>
            </w:div>
            <w:div w:id="1605573188">
              <w:marLeft w:val="0"/>
              <w:marRight w:val="0"/>
              <w:marTop w:val="0"/>
              <w:marBottom w:val="0"/>
              <w:divBdr>
                <w:top w:val="none" w:sz="0" w:space="0" w:color="auto"/>
                <w:left w:val="none" w:sz="0" w:space="0" w:color="auto"/>
                <w:bottom w:val="none" w:sz="0" w:space="0" w:color="auto"/>
                <w:right w:val="none" w:sz="0" w:space="0" w:color="auto"/>
              </w:divBdr>
              <w:divsChild>
                <w:div w:id="1879976068">
                  <w:marLeft w:val="0"/>
                  <w:marRight w:val="0"/>
                  <w:marTop w:val="0"/>
                  <w:marBottom w:val="0"/>
                  <w:divBdr>
                    <w:top w:val="none" w:sz="0" w:space="0" w:color="auto"/>
                    <w:left w:val="none" w:sz="0" w:space="0" w:color="auto"/>
                    <w:bottom w:val="none" w:sz="0" w:space="0" w:color="auto"/>
                    <w:right w:val="none" w:sz="0" w:space="0" w:color="auto"/>
                  </w:divBdr>
                </w:div>
              </w:divsChild>
            </w:div>
            <w:div w:id="1607345032">
              <w:marLeft w:val="0"/>
              <w:marRight w:val="0"/>
              <w:marTop w:val="300"/>
              <w:marBottom w:val="300"/>
              <w:divBdr>
                <w:top w:val="none" w:sz="0" w:space="0" w:color="auto"/>
                <w:left w:val="none" w:sz="0" w:space="0" w:color="auto"/>
                <w:bottom w:val="none" w:sz="0" w:space="0" w:color="auto"/>
                <w:right w:val="none" w:sz="0" w:space="0" w:color="auto"/>
              </w:divBdr>
            </w:div>
            <w:div w:id="1608007186">
              <w:marLeft w:val="0"/>
              <w:marRight w:val="0"/>
              <w:marTop w:val="0"/>
              <w:marBottom w:val="0"/>
              <w:divBdr>
                <w:top w:val="none" w:sz="0" w:space="0" w:color="auto"/>
                <w:left w:val="none" w:sz="0" w:space="0" w:color="auto"/>
                <w:bottom w:val="none" w:sz="0" w:space="0" w:color="auto"/>
                <w:right w:val="none" w:sz="0" w:space="0" w:color="auto"/>
              </w:divBdr>
              <w:divsChild>
                <w:div w:id="594706317">
                  <w:marLeft w:val="0"/>
                  <w:marRight w:val="0"/>
                  <w:marTop w:val="0"/>
                  <w:marBottom w:val="0"/>
                  <w:divBdr>
                    <w:top w:val="none" w:sz="0" w:space="0" w:color="auto"/>
                    <w:left w:val="none" w:sz="0" w:space="0" w:color="auto"/>
                    <w:bottom w:val="none" w:sz="0" w:space="0" w:color="auto"/>
                    <w:right w:val="none" w:sz="0" w:space="0" w:color="auto"/>
                  </w:divBdr>
                </w:div>
              </w:divsChild>
            </w:div>
            <w:div w:id="1608073609">
              <w:marLeft w:val="0"/>
              <w:marRight w:val="0"/>
              <w:marTop w:val="0"/>
              <w:marBottom w:val="0"/>
              <w:divBdr>
                <w:top w:val="none" w:sz="0" w:space="0" w:color="auto"/>
                <w:left w:val="none" w:sz="0" w:space="0" w:color="auto"/>
                <w:bottom w:val="none" w:sz="0" w:space="0" w:color="auto"/>
                <w:right w:val="none" w:sz="0" w:space="0" w:color="auto"/>
              </w:divBdr>
              <w:divsChild>
                <w:div w:id="21128755">
                  <w:marLeft w:val="0"/>
                  <w:marRight w:val="0"/>
                  <w:marTop w:val="0"/>
                  <w:marBottom w:val="0"/>
                  <w:divBdr>
                    <w:top w:val="none" w:sz="0" w:space="0" w:color="auto"/>
                    <w:left w:val="none" w:sz="0" w:space="0" w:color="auto"/>
                    <w:bottom w:val="none" w:sz="0" w:space="0" w:color="auto"/>
                    <w:right w:val="none" w:sz="0" w:space="0" w:color="auto"/>
                  </w:divBdr>
                </w:div>
              </w:divsChild>
            </w:div>
            <w:div w:id="1608274060">
              <w:marLeft w:val="0"/>
              <w:marRight w:val="0"/>
              <w:marTop w:val="0"/>
              <w:marBottom w:val="0"/>
              <w:divBdr>
                <w:top w:val="none" w:sz="0" w:space="0" w:color="auto"/>
                <w:left w:val="none" w:sz="0" w:space="0" w:color="auto"/>
                <w:bottom w:val="none" w:sz="0" w:space="0" w:color="auto"/>
                <w:right w:val="none" w:sz="0" w:space="0" w:color="auto"/>
              </w:divBdr>
              <w:divsChild>
                <w:div w:id="1640069825">
                  <w:marLeft w:val="0"/>
                  <w:marRight w:val="0"/>
                  <w:marTop w:val="0"/>
                  <w:marBottom w:val="0"/>
                  <w:divBdr>
                    <w:top w:val="none" w:sz="0" w:space="0" w:color="auto"/>
                    <w:left w:val="none" w:sz="0" w:space="0" w:color="auto"/>
                    <w:bottom w:val="none" w:sz="0" w:space="0" w:color="auto"/>
                    <w:right w:val="none" w:sz="0" w:space="0" w:color="auto"/>
                  </w:divBdr>
                </w:div>
              </w:divsChild>
            </w:div>
            <w:div w:id="1613592056">
              <w:marLeft w:val="0"/>
              <w:marRight w:val="0"/>
              <w:marTop w:val="0"/>
              <w:marBottom w:val="0"/>
              <w:divBdr>
                <w:top w:val="none" w:sz="0" w:space="0" w:color="auto"/>
                <w:left w:val="none" w:sz="0" w:space="0" w:color="auto"/>
                <w:bottom w:val="none" w:sz="0" w:space="0" w:color="auto"/>
                <w:right w:val="none" w:sz="0" w:space="0" w:color="auto"/>
              </w:divBdr>
              <w:divsChild>
                <w:div w:id="918291789">
                  <w:marLeft w:val="0"/>
                  <w:marRight w:val="0"/>
                  <w:marTop w:val="0"/>
                  <w:marBottom w:val="0"/>
                  <w:divBdr>
                    <w:top w:val="none" w:sz="0" w:space="0" w:color="auto"/>
                    <w:left w:val="none" w:sz="0" w:space="0" w:color="auto"/>
                    <w:bottom w:val="none" w:sz="0" w:space="0" w:color="auto"/>
                    <w:right w:val="none" w:sz="0" w:space="0" w:color="auto"/>
                  </w:divBdr>
                </w:div>
              </w:divsChild>
            </w:div>
            <w:div w:id="1619028131">
              <w:marLeft w:val="0"/>
              <w:marRight w:val="0"/>
              <w:marTop w:val="0"/>
              <w:marBottom w:val="0"/>
              <w:divBdr>
                <w:top w:val="none" w:sz="0" w:space="0" w:color="auto"/>
                <w:left w:val="none" w:sz="0" w:space="0" w:color="auto"/>
                <w:bottom w:val="none" w:sz="0" w:space="0" w:color="auto"/>
                <w:right w:val="none" w:sz="0" w:space="0" w:color="auto"/>
              </w:divBdr>
              <w:divsChild>
                <w:div w:id="285895099">
                  <w:marLeft w:val="0"/>
                  <w:marRight w:val="0"/>
                  <w:marTop w:val="0"/>
                  <w:marBottom w:val="0"/>
                  <w:divBdr>
                    <w:top w:val="none" w:sz="0" w:space="0" w:color="auto"/>
                    <w:left w:val="none" w:sz="0" w:space="0" w:color="auto"/>
                    <w:bottom w:val="none" w:sz="0" w:space="0" w:color="auto"/>
                    <w:right w:val="none" w:sz="0" w:space="0" w:color="auto"/>
                  </w:divBdr>
                </w:div>
              </w:divsChild>
            </w:div>
            <w:div w:id="1619607683">
              <w:marLeft w:val="0"/>
              <w:marRight w:val="0"/>
              <w:marTop w:val="0"/>
              <w:marBottom w:val="0"/>
              <w:divBdr>
                <w:top w:val="none" w:sz="0" w:space="0" w:color="auto"/>
                <w:left w:val="none" w:sz="0" w:space="0" w:color="auto"/>
                <w:bottom w:val="none" w:sz="0" w:space="0" w:color="auto"/>
                <w:right w:val="none" w:sz="0" w:space="0" w:color="auto"/>
              </w:divBdr>
              <w:divsChild>
                <w:div w:id="1868366327">
                  <w:marLeft w:val="0"/>
                  <w:marRight w:val="0"/>
                  <w:marTop w:val="0"/>
                  <w:marBottom w:val="0"/>
                  <w:divBdr>
                    <w:top w:val="none" w:sz="0" w:space="0" w:color="auto"/>
                    <w:left w:val="none" w:sz="0" w:space="0" w:color="auto"/>
                    <w:bottom w:val="none" w:sz="0" w:space="0" w:color="auto"/>
                    <w:right w:val="none" w:sz="0" w:space="0" w:color="auto"/>
                  </w:divBdr>
                </w:div>
              </w:divsChild>
            </w:div>
            <w:div w:id="1622688452">
              <w:marLeft w:val="0"/>
              <w:marRight w:val="0"/>
              <w:marTop w:val="0"/>
              <w:marBottom w:val="0"/>
              <w:divBdr>
                <w:top w:val="none" w:sz="0" w:space="0" w:color="auto"/>
                <w:left w:val="none" w:sz="0" w:space="0" w:color="auto"/>
                <w:bottom w:val="none" w:sz="0" w:space="0" w:color="auto"/>
                <w:right w:val="none" w:sz="0" w:space="0" w:color="auto"/>
              </w:divBdr>
              <w:divsChild>
                <w:div w:id="1492600496">
                  <w:marLeft w:val="0"/>
                  <w:marRight w:val="0"/>
                  <w:marTop w:val="0"/>
                  <w:marBottom w:val="0"/>
                  <w:divBdr>
                    <w:top w:val="none" w:sz="0" w:space="0" w:color="auto"/>
                    <w:left w:val="none" w:sz="0" w:space="0" w:color="auto"/>
                    <w:bottom w:val="none" w:sz="0" w:space="0" w:color="auto"/>
                    <w:right w:val="none" w:sz="0" w:space="0" w:color="auto"/>
                  </w:divBdr>
                </w:div>
              </w:divsChild>
            </w:div>
            <w:div w:id="1623224950">
              <w:marLeft w:val="0"/>
              <w:marRight w:val="0"/>
              <w:marTop w:val="0"/>
              <w:marBottom w:val="0"/>
              <w:divBdr>
                <w:top w:val="none" w:sz="0" w:space="0" w:color="auto"/>
                <w:left w:val="none" w:sz="0" w:space="0" w:color="auto"/>
                <w:bottom w:val="none" w:sz="0" w:space="0" w:color="auto"/>
                <w:right w:val="none" w:sz="0" w:space="0" w:color="auto"/>
              </w:divBdr>
              <w:divsChild>
                <w:div w:id="1491099117">
                  <w:marLeft w:val="0"/>
                  <w:marRight w:val="0"/>
                  <w:marTop w:val="0"/>
                  <w:marBottom w:val="0"/>
                  <w:divBdr>
                    <w:top w:val="none" w:sz="0" w:space="0" w:color="auto"/>
                    <w:left w:val="none" w:sz="0" w:space="0" w:color="auto"/>
                    <w:bottom w:val="none" w:sz="0" w:space="0" w:color="auto"/>
                    <w:right w:val="none" w:sz="0" w:space="0" w:color="auto"/>
                  </w:divBdr>
                </w:div>
              </w:divsChild>
            </w:div>
            <w:div w:id="1628125318">
              <w:marLeft w:val="0"/>
              <w:marRight w:val="0"/>
              <w:marTop w:val="300"/>
              <w:marBottom w:val="300"/>
              <w:divBdr>
                <w:top w:val="none" w:sz="0" w:space="0" w:color="auto"/>
                <w:left w:val="none" w:sz="0" w:space="0" w:color="auto"/>
                <w:bottom w:val="none" w:sz="0" w:space="0" w:color="auto"/>
                <w:right w:val="none" w:sz="0" w:space="0" w:color="auto"/>
              </w:divBdr>
            </w:div>
            <w:div w:id="1628314464">
              <w:marLeft w:val="0"/>
              <w:marRight w:val="0"/>
              <w:marTop w:val="0"/>
              <w:marBottom w:val="0"/>
              <w:divBdr>
                <w:top w:val="none" w:sz="0" w:space="0" w:color="auto"/>
                <w:left w:val="none" w:sz="0" w:space="0" w:color="auto"/>
                <w:bottom w:val="none" w:sz="0" w:space="0" w:color="auto"/>
                <w:right w:val="none" w:sz="0" w:space="0" w:color="auto"/>
              </w:divBdr>
              <w:divsChild>
                <w:div w:id="1540704040">
                  <w:marLeft w:val="0"/>
                  <w:marRight w:val="0"/>
                  <w:marTop w:val="0"/>
                  <w:marBottom w:val="0"/>
                  <w:divBdr>
                    <w:top w:val="none" w:sz="0" w:space="0" w:color="auto"/>
                    <w:left w:val="none" w:sz="0" w:space="0" w:color="auto"/>
                    <w:bottom w:val="none" w:sz="0" w:space="0" w:color="auto"/>
                    <w:right w:val="none" w:sz="0" w:space="0" w:color="auto"/>
                  </w:divBdr>
                </w:div>
              </w:divsChild>
            </w:div>
            <w:div w:id="1628467591">
              <w:marLeft w:val="0"/>
              <w:marRight w:val="0"/>
              <w:marTop w:val="0"/>
              <w:marBottom w:val="0"/>
              <w:divBdr>
                <w:top w:val="none" w:sz="0" w:space="0" w:color="auto"/>
                <w:left w:val="none" w:sz="0" w:space="0" w:color="auto"/>
                <w:bottom w:val="none" w:sz="0" w:space="0" w:color="auto"/>
                <w:right w:val="none" w:sz="0" w:space="0" w:color="auto"/>
              </w:divBdr>
              <w:divsChild>
                <w:div w:id="622882156">
                  <w:marLeft w:val="0"/>
                  <w:marRight w:val="0"/>
                  <w:marTop w:val="0"/>
                  <w:marBottom w:val="0"/>
                  <w:divBdr>
                    <w:top w:val="none" w:sz="0" w:space="0" w:color="auto"/>
                    <w:left w:val="none" w:sz="0" w:space="0" w:color="auto"/>
                    <w:bottom w:val="none" w:sz="0" w:space="0" w:color="auto"/>
                    <w:right w:val="none" w:sz="0" w:space="0" w:color="auto"/>
                  </w:divBdr>
                </w:div>
              </w:divsChild>
            </w:div>
            <w:div w:id="1629167757">
              <w:marLeft w:val="0"/>
              <w:marRight w:val="0"/>
              <w:marTop w:val="0"/>
              <w:marBottom w:val="0"/>
              <w:divBdr>
                <w:top w:val="none" w:sz="0" w:space="0" w:color="auto"/>
                <w:left w:val="none" w:sz="0" w:space="0" w:color="auto"/>
                <w:bottom w:val="none" w:sz="0" w:space="0" w:color="auto"/>
                <w:right w:val="none" w:sz="0" w:space="0" w:color="auto"/>
              </w:divBdr>
              <w:divsChild>
                <w:div w:id="4862532">
                  <w:marLeft w:val="0"/>
                  <w:marRight w:val="0"/>
                  <w:marTop w:val="0"/>
                  <w:marBottom w:val="0"/>
                  <w:divBdr>
                    <w:top w:val="none" w:sz="0" w:space="0" w:color="auto"/>
                    <w:left w:val="none" w:sz="0" w:space="0" w:color="auto"/>
                    <w:bottom w:val="none" w:sz="0" w:space="0" w:color="auto"/>
                    <w:right w:val="none" w:sz="0" w:space="0" w:color="auto"/>
                  </w:divBdr>
                </w:div>
              </w:divsChild>
            </w:div>
            <w:div w:id="1629776026">
              <w:marLeft w:val="0"/>
              <w:marRight w:val="0"/>
              <w:marTop w:val="0"/>
              <w:marBottom w:val="0"/>
              <w:divBdr>
                <w:top w:val="none" w:sz="0" w:space="0" w:color="auto"/>
                <w:left w:val="none" w:sz="0" w:space="0" w:color="auto"/>
                <w:bottom w:val="none" w:sz="0" w:space="0" w:color="auto"/>
                <w:right w:val="none" w:sz="0" w:space="0" w:color="auto"/>
              </w:divBdr>
              <w:divsChild>
                <w:div w:id="652953541">
                  <w:marLeft w:val="0"/>
                  <w:marRight w:val="0"/>
                  <w:marTop w:val="0"/>
                  <w:marBottom w:val="0"/>
                  <w:divBdr>
                    <w:top w:val="none" w:sz="0" w:space="0" w:color="auto"/>
                    <w:left w:val="none" w:sz="0" w:space="0" w:color="auto"/>
                    <w:bottom w:val="none" w:sz="0" w:space="0" w:color="auto"/>
                    <w:right w:val="none" w:sz="0" w:space="0" w:color="auto"/>
                  </w:divBdr>
                </w:div>
              </w:divsChild>
            </w:div>
            <w:div w:id="1630237597">
              <w:marLeft w:val="0"/>
              <w:marRight w:val="0"/>
              <w:marTop w:val="0"/>
              <w:marBottom w:val="0"/>
              <w:divBdr>
                <w:top w:val="none" w:sz="0" w:space="0" w:color="auto"/>
                <w:left w:val="none" w:sz="0" w:space="0" w:color="auto"/>
                <w:bottom w:val="none" w:sz="0" w:space="0" w:color="auto"/>
                <w:right w:val="none" w:sz="0" w:space="0" w:color="auto"/>
              </w:divBdr>
              <w:divsChild>
                <w:div w:id="1978879397">
                  <w:marLeft w:val="0"/>
                  <w:marRight w:val="0"/>
                  <w:marTop w:val="0"/>
                  <w:marBottom w:val="0"/>
                  <w:divBdr>
                    <w:top w:val="none" w:sz="0" w:space="0" w:color="auto"/>
                    <w:left w:val="none" w:sz="0" w:space="0" w:color="auto"/>
                    <w:bottom w:val="none" w:sz="0" w:space="0" w:color="auto"/>
                    <w:right w:val="none" w:sz="0" w:space="0" w:color="auto"/>
                  </w:divBdr>
                </w:div>
              </w:divsChild>
            </w:div>
            <w:div w:id="1630433901">
              <w:marLeft w:val="0"/>
              <w:marRight w:val="0"/>
              <w:marTop w:val="0"/>
              <w:marBottom w:val="0"/>
              <w:divBdr>
                <w:top w:val="none" w:sz="0" w:space="0" w:color="auto"/>
                <w:left w:val="none" w:sz="0" w:space="0" w:color="auto"/>
                <w:bottom w:val="none" w:sz="0" w:space="0" w:color="auto"/>
                <w:right w:val="none" w:sz="0" w:space="0" w:color="auto"/>
              </w:divBdr>
              <w:divsChild>
                <w:div w:id="188376621">
                  <w:marLeft w:val="0"/>
                  <w:marRight w:val="0"/>
                  <w:marTop w:val="0"/>
                  <w:marBottom w:val="0"/>
                  <w:divBdr>
                    <w:top w:val="none" w:sz="0" w:space="0" w:color="auto"/>
                    <w:left w:val="none" w:sz="0" w:space="0" w:color="auto"/>
                    <w:bottom w:val="none" w:sz="0" w:space="0" w:color="auto"/>
                    <w:right w:val="none" w:sz="0" w:space="0" w:color="auto"/>
                  </w:divBdr>
                </w:div>
              </w:divsChild>
            </w:div>
            <w:div w:id="1630434659">
              <w:marLeft w:val="0"/>
              <w:marRight w:val="0"/>
              <w:marTop w:val="0"/>
              <w:marBottom w:val="0"/>
              <w:divBdr>
                <w:top w:val="none" w:sz="0" w:space="0" w:color="auto"/>
                <w:left w:val="none" w:sz="0" w:space="0" w:color="auto"/>
                <w:bottom w:val="none" w:sz="0" w:space="0" w:color="auto"/>
                <w:right w:val="none" w:sz="0" w:space="0" w:color="auto"/>
              </w:divBdr>
              <w:divsChild>
                <w:div w:id="1649165276">
                  <w:marLeft w:val="0"/>
                  <w:marRight w:val="0"/>
                  <w:marTop w:val="0"/>
                  <w:marBottom w:val="0"/>
                  <w:divBdr>
                    <w:top w:val="none" w:sz="0" w:space="0" w:color="auto"/>
                    <w:left w:val="none" w:sz="0" w:space="0" w:color="auto"/>
                    <w:bottom w:val="none" w:sz="0" w:space="0" w:color="auto"/>
                    <w:right w:val="none" w:sz="0" w:space="0" w:color="auto"/>
                  </w:divBdr>
                </w:div>
              </w:divsChild>
            </w:div>
            <w:div w:id="1632244868">
              <w:marLeft w:val="0"/>
              <w:marRight w:val="0"/>
              <w:marTop w:val="0"/>
              <w:marBottom w:val="0"/>
              <w:divBdr>
                <w:top w:val="none" w:sz="0" w:space="0" w:color="auto"/>
                <w:left w:val="none" w:sz="0" w:space="0" w:color="auto"/>
                <w:bottom w:val="none" w:sz="0" w:space="0" w:color="auto"/>
                <w:right w:val="none" w:sz="0" w:space="0" w:color="auto"/>
              </w:divBdr>
              <w:divsChild>
                <w:div w:id="1920938120">
                  <w:marLeft w:val="0"/>
                  <w:marRight w:val="0"/>
                  <w:marTop w:val="0"/>
                  <w:marBottom w:val="0"/>
                  <w:divBdr>
                    <w:top w:val="none" w:sz="0" w:space="0" w:color="auto"/>
                    <w:left w:val="none" w:sz="0" w:space="0" w:color="auto"/>
                    <w:bottom w:val="none" w:sz="0" w:space="0" w:color="auto"/>
                    <w:right w:val="none" w:sz="0" w:space="0" w:color="auto"/>
                  </w:divBdr>
                </w:div>
              </w:divsChild>
            </w:div>
            <w:div w:id="1634141958">
              <w:marLeft w:val="0"/>
              <w:marRight w:val="0"/>
              <w:marTop w:val="0"/>
              <w:marBottom w:val="0"/>
              <w:divBdr>
                <w:top w:val="none" w:sz="0" w:space="0" w:color="auto"/>
                <w:left w:val="none" w:sz="0" w:space="0" w:color="auto"/>
                <w:bottom w:val="none" w:sz="0" w:space="0" w:color="auto"/>
                <w:right w:val="none" w:sz="0" w:space="0" w:color="auto"/>
              </w:divBdr>
              <w:divsChild>
                <w:div w:id="170680032">
                  <w:marLeft w:val="0"/>
                  <w:marRight w:val="0"/>
                  <w:marTop w:val="0"/>
                  <w:marBottom w:val="0"/>
                  <w:divBdr>
                    <w:top w:val="none" w:sz="0" w:space="0" w:color="auto"/>
                    <w:left w:val="none" w:sz="0" w:space="0" w:color="auto"/>
                    <w:bottom w:val="none" w:sz="0" w:space="0" w:color="auto"/>
                    <w:right w:val="none" w:sz="0" w:space="0" w:color="auto"/>
                  </w:divBdr>
                </w:div>
              </w:divsChild>
            </w:div>
            <w:div w:id="1634868816">
              <w:marLeft w:val="0"/>
              <w:marRight w:val="0"/>
              <w:marTop w:val="0"/>
              <w:marBottom w:val="0"/>
              <w:divBdr>
                <w:top w:val="none" w:sz="0" w:space="0" w:color="auto"/>
                <w:left w:val="none" w:sz="0" w:space="0" w:color="auto"/>
                <w:bottom w:val="none" w:sz="0" w:space="0" w:color="auto"/>
                <w:right w:val="none" w:sz="0" w:space="0" w:color="auto"/>
              </w:divBdr>
              <w:divsChild>
                <w:div w:id="1184246733">
                  <w:marLeft w:val="0"/>
                  <w:marRight w:val="0"/>
                  <w:marTop w:val="0"/>
                  <w:marBottom w:val="0"/>
                  <w:divBdr>
                    <w:top w:val="none" w:sz="0" w:space="0" w:color="auto"/>
                    <w:left w:val="none" w:sz="0" w:space="0" w:color="auto"/>
                    <w:bottom w:val="none" w:sz="0" w:space="0" w:color="auto"/>
                    <w:right w:val="none" w:sz="0" w:space="0" w:color="auto"/>
                  </w:divBdr>
                </w:div>
              </w:divsChild>
            </w:div>
            <w:div w:id="1635938881">
              <w:marLeft w:val="0"/>
              <w:marRight w:val="0"/>
              <w:marTop w:val="0"/>
              <w:marBottom w:val="0"/>
              <w:divBdr>
                <w:top w:val="none" w:sz="0" w:space="0" w:color="auto"/>
                <w:left w:val="none" w:sz="0" w:space="0" w:color="auto"/>
                <w:bottom w:val="none" w:sz="0" w:space="0" w:color="auto"/>
                <w:right w:val="none" w:sz="0" w:space="0" w:color="auto"/>
              </w:divBdr>
              <w:divsChild>
                <w:div w:id="1364164359">
                  <w:marLeft w:val="0"/>
                  <w:marRight w:val="0"/>
                  <w:marTop w:val="0"/>
                  <w:marBottom w:val="0"/>
                  <w:divBdr>
                    <w:top w:val="none" w:sz="0" w:space="0" w:color="auto"/>
                    <w:left w:val="none" w:sz="0" w:space="0" w:color="auto"/>
                    <w:bottom w:val="none" w:sz="0" w:space="0" w:color="auto"/>
                    <w:right w:val="none" w:sz="0" w:space="0" w:color="auto"/>
                  </w:divBdr>
                </w:div>
              </w:divsChild>
            </w:div>
            <w:div w:id="1638146617">
              <w:marLeft w:val="0"/>
              <w:marRight w:val="0"/>
              <w:marTop w:val="0"/>
              <w:marBottom w:val="0"/>
              <w:divBdr>
                <w:top w:val="none" w:sz="0" w:space="0" w:color="auto"/>
                <w:left w:val="none" w:sz="0" w:space="0" w:color="auto"/>
                <w:bottom w:val="none" w:sz="0" w:space="0" w:color="auto"/>
                <w:right w:val="none" w:sz="0" w:space="0" w:color="auto"/>
              </w:divBdr>
              <w:divsChild>
                <w:div w:id="58091339">
                  <w:marLeft w:val="0"/>
                  <w:marRight w:val="0"/>
                  <w:marTop w:val="0"/>
                  <w:marBottom w:val="0"/>
                  <w:divBdr>
                    <w:top w:val="none" w:sz="0" w:space="0" w:color="auto"/>
                    <w:left w:val="none" w:sz="0" w:space="0" w:color="auto"/>
                    <w:bottom w:val="none" w:sz="0" w:space="0" w:color="auto"/>
                    <w:right w:val="none" w:sz="0" w:space="0" w:color="auto"/>
                  </w:divBdr>
                </w:div>
              </w:divsChild>
            </w:div>
            <w:div w:id="1638798159">
              <w:marLeft w:val="0"/>
              <w:marRight w:val="0"/>
              <w:marTop w:val="0"/>
              <w:marBottom w:val="0"/>
              <w:divBdr>
                <w:top w:val="none" w:sz="0" w:space="0" w:color="auto"/>
                <w:left w:val="none" w:sz="0" w:space="0" w:color="auto"/>
                <w:bottom w:val="none" w:sz="0" w:space="0" w:color="auto"/>
                <w:right w:val="none" w:sz="0" w:space="0" w:color="auto"/>
              </w:divBdr>
              <w:divsChild>
                <w:div w:id="883326173">
                  <w:marLeft w:val="0"/>
                  <w:marRight w:val="0"/>
                  <w:marTop w:val="0"/>
                  <w:marBottom w:val="0"/>
                  <w:divBdr>
                    <w:top w:val="none" w:sz="0" w:space="0" w:color="auto"/>
                    <w:left w:val="none" w:sz="0" w:space="0" w:color="auto"/>
                    <w:bottom w:val="none" w:sz="0" w:space="0" w:color="auto"/>
                    <w:right w:val="none" w:sz="0" w:space="0" w:color="auto"/>
                  </w:divBdr>
                </w:div>
              </w:divsChild>
            </w:div>
            <w:div w:id="1641612605">
              <w:marLeft w:val="0"/>
              <w:marRight w:val="0"/>
              <w:marTop w:val="0"/>
              <w:marBottom w:val="0"/>
              <w:divBdr>
                <w:top w:val="none" w:sz="0" w:space="0" w:color="auto"/>
                <w:left w:val="none" w:sz="0" w:space="0" w:color="auto"/>
                <w:bottom w:val="none" w:sz="0" w:space="0" w:color="auto"/>
                <w:right w:val="none" w:sz="0" w:space="0" w:color="auto"/>
              </w:divBdr>
              <w:divsChild>
                <w:div w:id="1715424174">
                  <w:marLeft w:val="0"/>
                  <w:marRight w:val="0"/>
                  <w:marTop w:val="0"/>
                  <w:marBottom w:val="0"/>
                  <w:divBdr>
                    <w:top w:val="none" w:sz="0" w:space="0" w:color="auto"/>
                    <w:left w:val="none" w:sz="0" w:space="0" w:color="auto"/>
                    <w:bottom w:val="none" w:sz="0" w:space="0" w:color="auto"/>
                    <w:right w:val="none" w:sz="0" w:space="0" w:color="auto"/>
                  </w:divBdr>
                </w:div>
              </w:divsChild>
            </w:div>
            <w:div w:id="1642032362">
              <w:marLeft w:val="0"/>
              <w:marRight w:val="0"/>
              <w:marTop w:val="0"/>
              <w:marBottom w:val="0"/>
              <w:divBdr>
                <w:top w:val="none" w:sz="0" w:space="0" w:color="auto"/>
                <w:left w:val="none" w:sz="0" w:space="0" w:color="auto"/>
                <w:bottom w:val="none" w:sz="0" w:space="0" w:color="auto"/>
                <w:right w:val="none" w:sz="0" w:space="0" w:color="auto"/>
              </w:divBdr>
              <w:divsChild>
                <w:div w:id="1557232254">
                  <w:marLeft w:val="0"/>
                  <w:marRight w:val="0"/>
                  <w:marTop w:val="0"/>
                  <w:marBottom w:val="0"/>
                  <w:divBdr>
                    <w:top w:val="none" w:sz="0" w:space="0" w:color="auto"/>
                    <w:left w:val="none" w:sz="0" w:space="0" w:color="auto"/>
                    <w:bottom w:val="none" w:sz="0" w:space="0" w:color="auto"/>
                    <w:right w:val="none" w:sz="0" w:space="0" w:color="auto"/>
                  </w:divBdr>
                </w:div>
              </w:divsChild>
            </w:div>
            <w:div w:id="1642416353">
              <w:marLeft w:val="0"/>
              <w:marRight w:val="0"/>
              <w:marTop w:val="0"/>
              <w:marBottom w:val="0"/>
              <w:divBdr>
                <w:top w:val="none" w:sz="0" w:space="0" w:color="auto"/>
                <w:left w:val="none" w:sz="0" w:space="0" w:color="auto"/>
                <w:bottom w:val="none" w:sz="0" w:space="0" w:color="auto"/>
                <w:right w:val="none" w:sz="0" w:space="0" w:color="auto"/>
              </w:divBdr>
              <w:divsChild>
                <w:div w:id="905846492">
                  <w:marLeft w:val="0"/>
                  <w:marRight w:val="0"/>
                  <w:marTop w:val="0"/>
                  <w:marBottom w:val="0"/>
                  <w:divBdr>
                    <w:top w:val="none" w:sz="0" w:space="0" w:color="auto"/>
                    <w:left w:val="none" w:sz="0" w:space="0" w:color="auto"/>
                    <w:bottom w:val="none" w:sz="0" w:space="0" w:color="auto"/>
                    <w:right w:val="none" w:sz="0" w:space="0" w:color="auto"/>
                  </w:divBdr>
                </w:div>
              </w:divsChild>
            </w:div>
            <w:div w:id="1643540795">
              <w:marLeft w:val="0"/>
              <w:marRight w:val="0"/>
              <w:marTop w:val="0"/>
              <w:marBottom w:val="0"/>
              <w:divBdr>
                <w:top w:val="none" w:sz="0" w:space="0" w:color="auto"/>
                <w:left w:val="none" w:sz="0" w:space="0" w:color="auto"/>
                <w:bottom w:val="none" w:sz="0" w:space="0" w:color="auto"/>
                <w:right w:val="none" w:sz="0" w:space="0" w:color="auto"/>
              </w:divBdr>
              <w:divsChild>
                <w:div w:id="2044280225">
                  <w:marLeft w:val="0"/>
                  <w:marRight w:val="0"/>
                  <w:marTop w:val="0"/>
                  <w:marBottom w:val="0"/>
                  <w:divBdr>
                    <w:top w:val="none" w:sz="0" w:space="0" w:color="auto"/>
                    <w:left w:val="none" w:sz="0" w:space="0" w:color="auto"/>
                    <w:bottom w:val="none" w:sz="0" w:space="0" w:color="auto"/>
                    <w:right w:val="none" w:sz="0" w:space="0" w:color="auto"/>
                  </w:divBdr>
                </w:div>
              </w:divsChild>
            </w:div>
            <w:div w:id="1643585343">
              <w:marLeft w:val="0"/>
              <w:marRight w:val="0"/>
              <w:marTop w:val="0"/>
              <w:marBottom w:val="0"/>
              <w:divBdr>
                <w:top w:val="none" w:sz="0" w:space="0" w:color="auto"/>
                <w:left w:val="none" w:sz="0" w:space="0" w:color="auto"/>
                <w:bottom w:val="none" w:sz="0" w:space="0" w:color="auto"/>
                <w:right w:val="none" w:sz="0" w:space="0" w:color="auto"/>
              </w:divBdr>
              <w:divsChild>
                <w:div w:id="484394829">
                  <w:marLeft w:val="0"/>
                  <w:marRight w:val="0"/>
                  <w:marTop w:val="0"/>
                  <w:marBottom w:val="0"/>
                  <w:divBdr>
                    <w:top w:val="none" w:sz="0" w:space="0" w:color="auto"/>
                    <w:left w:val="none" w:sz="0" w:space="0" w:color="auto"/>
                    <w:bottom w:val="none" w:sz="0" w:space="0" w:color="auto"/>
                    <w:right w:val="none" w:sz="0" w:space="0" w:color="auto"/>
                  </w:divBdr>
                </w:div>
              </w:divsChild>
            </w:div>
            <w:div w:id="1644119132">
              <w:marLeft w:val="0"/>
              <w:marRight w:val="0"/>
              <w:marTop w:val="0"/>
              <w:marBottom w:val="0"/>
              <w:divBdr>
                <w:top w:val="none" w:sz="0" w:space="0" w:color="auto"/>
                <w:left w:val="none" w:sz="0" w:space="0" w:color="auto"/>
                <w:bottom w:val="none" w:sz="0" w:space="0" w:color="auto"/>
                <w:right w:val="none" w:sz="0" w:space="0" w:color="auto"/>
              </w:divBdr>
              <w:divsChild>
                <w:div w:id="1426340347">
                  <w:marLeft w:val="0"/>
                  <w:marRight w:val="0"/>
                  <w:marTop w:val="0"/>
                  <w:marBottom w:val="0"/>
                  <w:divBdr>
                    <w:top w:val="none" w:sz="0" w:space="0" w:color="auto"/>
                    <w:left w:val="none" w:sz="0" w:space="0" w:color="auto"/>
                    <w:bottom w:val="none" w:sz="0" w:space="0" w:color="auto"/>
                    <w:right w:val="none" w:sz="0" w:space="0" w:color="auto"/>
                  </w:divBdr>
                </w:div>
              </w:divsChild>
            </w:div>
            <w:div w:id="1650010453">
              <w:marLeft w:val="0"/>
              <w:marRight w:val="0"/>
              <w:marTop w:val="0"/>
              <w:marBottom w:val="0"/>
              <w:divBdr>
                <w:top w:val="none" w:sz="0" w:space="0" w:color="auto"/>
                <w:left w:val="none" w:sz="0" w:space="0" w:color="auto"/>
                <w:bottom w:val="none" w:sz="0" w:space="0" w:color="auto"/>
                <w:right w:val="none" w:sz="0" w:space="0" w:color="auto"/>
              </w:divBdr>
              <w:divsChild>
                <w:div w:id="197551814">
                  <w:marLeft w:val="0"/>
                  <w:marRight w:val="0"/>
                  <w:marTop w:val="0"/>
                  <w:marBottom w:val="0"/>
                  <w:divBdr>
                    <w:top w:val="none" w:sz="0" w:space="0" w:color="auto"/>
                    <w:left w:val="none" w:sz="0" w:space="0" w:color="auto"/>
                    <w:bottom w:val="none" w:sz="0" w:space="0" w:color="auto"/>
                    <w:right w:val="none" w:sz="0" w:space="0" w:color="auto"/>
                  </w:divBdr>
                </w:div>
              </w:divsChild>
            </w:div>
            <w:div w:id="1650132631">
              <w:marLeft w:val="0"/>
              <w:marRight w:val="0"/>
              <w:marTop w:val="0"/>
              <w:marBottom w:val="0"/>
              <w:divBdr>
                <w:top w:val="none" w:sz="0" w:space="0" w:color="auto"/>
                <w:left w:val="none" w:sz="0" w:space="0" w:color="auto"/>
                <w:bottom w:val="none" w:sz="0" w:space="0" w:color="auto"/>
                <w:right w:val="none" w:sz="0" w:space="0" w:color="auto"/>
              </w:divBdr>
              <w:divsChild>
                <w:div w:id="1862087853">
                  <w:marLeft w:val="0"/>
                  <w:marRight w:val="0"/>
                  <w:marTop w:val="0"/>
                  <w:marBottom w:val="0"/>
                  <w:divBdr>
                    <w:top w:val="none" w:sz="0" w:space="0" w:color="auto"/>
                    <w:left w:val="none" w:sz="0" w:space="0" w:color="auto"/>
                    <w:bottom w:val="none" w:sz="0" w:space="0" w:color="auto"/>
                    <w:right w:val="none" w:sz="0" w:space="0" w:color="auto"/>
                  </w:divBdr>
                </w:div>
              </w:divsChild>
            </w:div>
            <w:div w:id="1650549250">
              <w:marLeft w:val="0"/>
              <w:marRight w:val="0"/>
              <w:marTop w:val="0"/>
              <w:marBottom w:val="0"/>
              <w:divBdr>
                <w:top w:val="none" w:sz="0" w:space="0" w:color="auto"/>
                <w:left w:val="none" w:sz="0" w:space="0" w:color="auto"/>
                <w:bottom w:val="none" w:sz="0" w:space="0" w:color="auto"/>
                <w:right w:val="none" w:sz="0" w:space="0" w:color="auto"/>
              </w:divBdr>
              <w:divsChild>
                <w:div w:id="597523907">
                  <w:marLeft w:val="0"/>
                  <w:marRight w:val="0"/>
                  <w:marTop w:val="0"/>
                  <w:marBottom w:val="0"/>
                  <w:divBdr>
                    <w:top w:val="none" w:sz="0" w:space="0" w:color="auto"/>
                    <w:left w:val="none" w:sz="0" w:space="0" w:color="auto"/>
                    <w:bottom w:val="none" w:sz="0" w:space="0" w:color="auto"/>
                    <w:right w:val="none" w:sz="0" w:space="0" w:color="auto"/>
                  </w:divBdr>
                </w:div>
              </w:divsChild>
            </w:div>
            <w:div w:id="1650862037">
              <w:marLeft w:val="0"/>
              <w:marRight w:val="0"/>
              <w:marTop w:val="300"/>
              <w:marBottom w:val="300"/>
              <w:divBdr>
                <w:top w:val="none" w:sz="0" w:space="0" w:color="auto"/>
                <w:left w:val="none" w:sz="0" w:space="0" w:color="auto"/>
                <w:bottom w:val="none" w:sz="0" w:space="0" w:color="auto"/>
                <w:right w:val="none" w:sz="0" w:space="0" w:color="auto"/>
              </w:divBdr>
            </w:div>
            <w:div w:id="1651595906">
              <w:marLeft w:val="0"/>
              <w:marRight w:val="0"/>
              <w:marTop w:val="0"/>
              <w:marBottom w:val="0"/>
              <w:divBdr>
                <w:top w:val="none" w:sz="0" w:space="0" w:color="auto"/>
                <w:left w:val="none" w:sz="0" w:space="0" w:color="auto"/>
                <w:bottom w:val="none" w:sz="0" w:space="0" w:color="auto"/>
                <w:right w:val="none" w:sz="0" w:space="0" w:color="auto"/>
              </w:divBdr>
              <w:divsChild>
                <w:div w:id="188032952">
                  <w:marLeft w:val="0"/>
                  <w:marRight w:val="0"/>
                  <w:marTop w:val="0"/>
                  <w:marBottom w:val="0"/>
                  <w:divBdr>
                    <w:top w:val="none" w:sz="0" w:space="0" w:color="auto"/>
                    <w:left w:val="none" w:sz="0" w:space="0" w:color="auto"/>
                    <w:bottom w:val="none" w:sz="0" w:space="0" w:color="auto"/>
                    <w:right w:val="none" w:sz="0" w:space="0" w:color="auto"/>
                  </w:divBdr>
                </w:div>
              </w:divsChild>
            </w:div>
            <w:div w:id="1651867282">
              <w:marLeft w:val="0"/>
              <w:marRight w:val="0"/>
              <w:marTop w:val="300"/>
              <w:marBottom w:val="300"/>
              <w:divBdr>
                <w:top w:val="none" w:sz="0" w:space="0" w:color="auto"/>
                <w:left w:val="none" w:sz="0" w:space="0" w:color="auto"/>
                <w:bottom w:val="none" w:sz="0" w:space="0" w:color="auto"/>
                <w:right w:val="none" w:sz="0" w:space="0" w:color="auto"/>
              </w:divBdr>
            </w:div>
            <w:div w:id="1651983373">
              <w:marLeft w:val="0"/>
              <w:marRight w:val="0"/>
              <w:marTop w:val="0"/>
              <w:marBottom w:val="0"/>
              <w:divBdr>
                <w:top w:val="none" w:sz="0" w:space="0" w:color="auto"/>
                <w:left w:val="none" w:sz="0" w:space="0" w:color="auto"/>
                <w:bottom w:val="none" w:sz="0" w:space="0" w:color="auto"/>
                <w:right w:val="none" w:sz="0" w:space="0" w:color="auto"/>
              </w:divBdr>
              <w:divsChild>
                <w:div w:id="470290556">
                  <w:marLeft w:val="0"/>
                  <w:marRight w:val="0"/>
                  <w:marTop w:val="0"/>
                  <w:marBottom w:val="0"/>
                  <w:divBdr>
                    <w:top w:val="none" w:sz="0" w:space="0" w:color="auto"/>
                    <w:left w:val="none" w:sz="0" w:space="0" w:color="auto"/>
                    <w:bottom w:val="none" w:sz="0" w:space="0" w:color="auto"/>
                    <w:right w:val="none" w:sz="0" w:space="0" w:color="auto"/>
                  </w:divBdr>
                </w:div>
              </w:divsChild>
            </w:div>
            <w:div w:id="1653824740">
              <w:marLeft w:val="0"/>
              <w:marRight w:val="0"/>
              <w:marTop w:val="0"/>
              <w:marBottom w:val="0"/>
              <w:divBdr>
                <w:top w:val="none" w:sz="0" w:space="0" w:color="auto"/>
                <w:left w:val="none" w:sz="0" w:space="0" w:color="auto"/>
                <w:bottom w:val="none" w:sz="0" w:space="0" w:color="auto"/>
                <w:right w:val="none" w:sz="0" w:space="0" w:color="auto"/>
              </w:divBdr>
              <w:divsChild>
                <w:div w:id="256906938">
                  <w:marLeft w:val="0"/>
                  <w:marRight w:val="0"/>
                  <w:marTop w:val="0"/>
                  <w:marBottom w:val="0"/>
                  <w:divBdr>
                    <w:top w:val="none" w:sz="0" w:space="0" w:color="auto"/>
                    <w:left w:val="none" w:sz="0" w:space="0" w:color="auto"/>
                    <w:bottom w:val="none" w:sz="0" w:space="0" w:color="auto"/>
                    <w:right w:val="none" w:sz="0" w:space="0" w:color="auto"/>
                  </w:divBdr>
                </w:div>
              </w:divsChild>
            </w:div>
            <w:div w:id="1654529062">
              <w:marLeft w:val="0"/>
              <w:marRight w:val="0"/>
              <w:marTop w:val="0"/>
              <w:marBottom w:val="0"/>
              <w:divBdr>
                <w:top w:val="none" w:sz="0" w:space="0" w:color="auto"/>
                <w:left w:val="none" w:sz="0" w:space="0" w:color="auto"/>
                <w:bottom w:val="none" w:sz="0" w:space="0" w:color="auto"/>
                <w:right w:val="none" w:sz="0" w:space="0" w:color="auto"/>
              </w:divBdr>
              <w:divsChild>
                <w:div w:id="1974745548">
                  <w:marLeft w:val="0"/>
                  <w:marRight w:val="0"/>
                  <w:marTop w:val="0"/>
                  <w:marBottom w:val="0"/>
                  <w:divBdr>
                    <w:top w:val="none" w:sz="0" w:space="0" w:color="auto"/>
                    <w:left w:val="none" w:sz="0" w:space="0" w:color="auto"/>
                    <w:bottom w:val="none" w:sz="0" w:space="0" w:color="auto"/>
                    <w:right w:val="none" w:sz="0" w:space="0" w:color="auto"/>
                  </w:divBdr>
                </w:div>
              </w:divsChild>
            </w:div>
            <w:div w:id="1656374122">
              <w:marLeft w:val="0"/>
              <w:marRight w:val="0"/>
              <w:marTop w:val="0"/>
              <w:marBottom w:val="0"/>
              <w:divBdr>
                <w:top w:val="none" w:sz="0" w:space="0" w:color="auto"/>
                <w:left w:val="none" w:sz="0" w:space="0" w:color="auto"/>
                <w:bottom w:val="none" w:sz="0" w:space="0" w:color="auto"/>
                <w:right w:val="none" w:sz="0" w:space="0" w:color="auto"/>
              </w:divBdr>
              <w:divsChild>
                <w:div w:id="1415013612">
                  <w:marLeft w:val="0"/>
                  <w:marRight w:val="0"/>
                  <w:marTop w:val="0"/>
                  <w:marBottom w:val="0"/>
                  <w:divBdr>
                    <w:top w:val="none" w:sz="0" w:space="0" w:color="auto"/>
                    <w:left w:val="none" w:sz="0" w:space="0" w:color="auto"/>
                    <w:bottom w:val="none" w:sz="0" w:space="0" w:color="auto"/>
                    <w:right w:val="none" w:sz="0" w:space="0" w:color="auto"/>
                  </w:divBdr>
                </w:div>
              </w:divsChild>
            </w:div>
            <w:div w:id="1657681227">
              <w:marLeft w:val="0"/>
              <w:marRight w:val="0"/>
              <w:marTop w:val="0"/>
              <w:marBottom w:val="0"/>
              <w:divBdr>
                <w:top w:val="none" w:sz="0" w:space="0" w:color="auto"/>
                <w:left w:val="none" w:sz="0" w:space="0" w:color="auto"/>
                <w:bottom w:val="none" w:sz="0" w:space="0" w:color="auto"/>
                <w:right w:val="none" w:sz="0" w:space="0" w:color="auto"/>
              </w:divBdr>
              <w:divsChild>
                <w:div w:id="1925870145">
                  <w:marLeft w:val="0"/>
                  <w:marRight w:val="0"/>
                  <w:marTop w:val="0"/>
                  <w:marBottom w:val="0"/>
                  <w:divBdr>
                    <w:top w:val="none" w:sz="0" w:space="0" w:color="auto"/>
                    <w:left w:val="none" w:sz="0" w:space="0" w:color="auto"/>
                    <w:bottom w:val="none" w:sz="0" w:space="0" w:color="auto"/>
                    <w:right w:val="none" w:sz="0" w:space="0" w:color="auto"/>
                  </w:divBdr>
                </w:div>
              </w:divsChild>
            </w:div>
            <w:div w:id="1658345015">
              <w:marLeft w:val="0"/>
              <w:marRight w:val="0"/>
              <w:marTop w:val="0"/>
              <w:marBottom w:val="0"/>
              <w:divBdr>
                <w:top w:val="none" w:sz="0" w:space="0" w:color="auto"/>
                <w:left w:val="none" w:sz="0" w:space="0" w:color="auto"/>
                <w:bottom w:val="none" w:sz="0" w:space="0" w:color="auto"/>
                <w:right w:val="none" w:sz="0" w:space="0" w:color="auto"/>
              </w:divBdr>
              <w:divsChild>
                <w:div w:id="1793860446">
                  <w:marLeft w:val="0"/>
                  <w:marRight w:val="0"/>
                  <w:marTop w:val="0"/>
                  <w:marBottom w:val="0"/>
                  <w:divBdr>
                    <w:top w:val="none" w:sz="0" w:space="0" w:color="auto"/>
                    <w:left w:val="none" w:sz="0" w:space="0" w:color="auto"/>
                    <w:bottom w:val="none" w:sz="0" w:space="0" w:color="auto"/>
                    <w:right w:val="none" w:sz="0" w:space="0" w:color="auto"/>
                  </w:divBdr>
                </w:div>
              </w:divsChild>
            </w:div>
            <w:div w:id="1660108815">
              <w:marLeft w:val="0"/>
              <w:marRight w:val="0"/>
              <w:marTop w:val="0"/>
              <w:marBottom w:val="0"/>
              <w:divBdr>
                <w:top w:val="none" w:sz="0" w:space="0" w:color="auto"/>
                <w:left w:val="none" w:sz="0" w:space="0" w:color="auto"/>
                <w:bottom w:val="none" w:sz="0" w:space="0" w:color="auto"/>
                <w:right w:val="none" w:sz="0" w:space="0" w:color="auto"/>
              </w:divBdr>
              <w:divsChild>
                <w:div w:id="1206217424">
                  <w:marLeft w:val="0"/>
                  <w:marRight w:val="0"/>
                  <w:marTop w:val="0"/>
                  <w:marBottom w:val="0"/>
                  <w:divBdr>
                    <w:top w:val="none" w:sz="0" w:space="0" w:color="auto"/>
                    <w:left w:val="none" w:sz="0" w:space="0" w:color="auto"/>
                    <w:bottom w:val="none" w:sz="0" w:space="0" w:color="auto"/>
                    <w:right w:val="none" w:sz="0" w:space="0" w:color="auto"/>
                  </w:divBdr>
                </w:div>
              </w:divsChild>
            </w:div>
            <w:div w:id="1663393135">
              <w:marLeft w:val="0"/>
              <w:marRight w:val="0"/>
              <w:marTop w:val="0"/>
              <w:marBottom w:val="0"/>
              <w:divBdr>
                <w:top w:val="none" w:sz="0" w:space="0" w:color="auto"/>
                <w:left w:val="none" w:sz="0" w:space="0" w:color="auto"/>
                <w:bottom w:val="none" w:sz="0" w:space="0" w:color="auto"/>
                <w:right w:val="none" w:sz="0" w:space="0" w:color="auto"/>
              </w:divBdr>
              <w:divsChild>
                <w:div w:id="2134980301">
                  <w:marLeft w:val="0"/>
                  <w:marRight w:val="0"/>
                  <w:marTop w:val="0"/>
                  <w:marBottom w:val="0"/>
                  <w:divBdr>
                    <w:top w:val="none" w:sz="0" w:space="0" w:color="auto"/>
                    <w:left w:val="none" w:sz="0" w:space="0" w:color="auto"/>
                    <w:bottom w:val="none" w:sz="0" w:space="0" w:color="auto"/>
                    <w:right w:val="none" w:sz="0" w:space="0" w:color="auto"/>
                  </w:divBdr>
                </w:div>
              </w:divsChild>
            </w:div>
            <w:div w:id="1663971786">
              <w:marLeft w:val="0"/>
              <w:marRight w:val="0"/>
              <w:marTop w:val="300"/>
              <w:marBottom w:val="300"/>
              <w:divBdr>
                <w:top w:val="none" w:sz="0" w:space="0" w:color="auto"/>
                <w:left w:val="none" w:sz="0" w:space="0" w:color="auto"/>
                <w:bottom w:val="none" w:sz="0" w:space="0" w:color="auto"/>
                <w:right w:val="none" w:sz="0" w:space="0" w:color="auto"/>
              </w:divBdr>
            </w:div>
            <w:div w:id="1667250303">
              <w:marLeft w:val="0"/>
              <w:marRight w:val="0"/>
              <w:marTop w:val="0"/>
              <w:marBottom w:val="0"/>
              <w:divBdr>
                <w:top w:val="none" w:sz="0" w:space="0" w:color="auto"/>
                <w:left w:val="none" w:sz="0" w:space="0" w:color="auto"/>
                <w:bottom w:val="none" w:sz="0" w:space="0" w:color="auto"/>
                <w:right w:val="none" w:sz="0" w:space="0" w:color="auto"/>
              </w:divBdr>
              <w:divsChild>
                <w:div w:id="1220751306">
                  <w:marLeft w:val="0"/>
                  <w:marRight w:val="0"/>
                  <w:marTop w:val="0"/>
                  <w:marBottom w:val="0"/>
                  <w:divBdr>
                    <w:top w:val="none" w:sz="0" w:space="0" w:color="auto"/>
                    <w:left w:val="none" w:sz="0" w:space="0" w:color="auto"/>
                    <w:bottom w:val="none" w:sz="0" w:space="0" w:color="auto"/>
                    <w:right w:val="none" w:sz="0" w:space="0" w:color="auto"/>
                  </w:divBdr>
                </w:div>
              </w:divsChild>
            </w:div>
            <w:div w:id="1670131652">
              <w:marLeft w:val="0"/>
              <w:marRight w:val="0"/>
              <w:marTop w:val="0"/>
              <w:marBottom w:val="0"/>
              <w:divBdr>
                <w:top w:val="none" w:sz="0" w:space="0" w:color="auto"/>
                <w:left w:val="none" w:sz="0" w:space="0" w:color="auto"/>
                <w:bottom w:val="none" w:sz="0" w:space="0" w:color="auto"/>
                <w:right w:val="none" w:sz="0" w:space="0" w:color="auto"/>
              </w:divBdr>
              <w:divsChild>
                <w:div w:id="1498423521">
                  <w:marLeft w:val="0"/>
                  <w:marRight w:val="0"/>
                  <w:marTop w:val="0"/>
                  <w:marBottom w:val="0"/>
                  <w:divBdr>
                    <w:top w:val="none" w:sz="0" w:space="0" w:color="auto"/>
                    <w:left w:val="none" w:sz="0" w:space="0" w:color="auto"/>
                    <w:bottom w:val="none" w:sz="0" w:space="0" w:color="auto"/>
                    <w:right w:val="none" w:sz="0" w:space="0" w:color="auto"/>
                  </w:divBdr>
                </w:div>
              </w:divsChild>
            </w:div>
            <w:div w:id="1672828151">
              <w:marLeft w:val="0"/>
              <w:marRight w:val="0"/>
              <w:marTop w:val="300"/>
              <w:marBottom w:val="300"/>
              <w:divBdr>
                <w:top w:val="none" w:sz="0" w:space="0" w:color="auto"/>
                <w:left w:val="none" w:sz="0" w:space="0" w:color="auto"/>
                <w:bottom w:val="none" w:sz="0" w:space="0" w:color="auto"/>
                <w:right w:val="none" w:sz="0" w:space="0" w:color="auto"/>
              </w:divBdr>
            </w:div>
            <w:div w:id="1673069332">
              <w:marLeft w:val="0"/>
              <w:marRight w:val="0"/>
              <w:marTop w:val="0"/>
              <w:marBottom w:val="0"/>
              <w:divBdr>
                <w:top w:val="none" w:sz="0" w:space="0" w:color="auto"/>
                <w:left w:val="none" w:sz="0" w:space="0" w:color="auto"/>
                <w:bottom w:val="none" w:sz="0" w:space="0" w:color="auto"/>
                <w:right w:val="none" w:sz="0" w:space="0" w:color="auto"/>
              </w:divBdr>
              <w:divsChild>
                <w:div w:id="1737045562">
                  <w:marLeft w:val="0"/>
                  <w:marRight w:val="0"/>
                  <w:marTop w:val="0"/>
                  <w:marBottom w:val="0"/>
                  <w:divBdr>
                    <w:top w:val="none" w:sz="0" w:space="0" w:color="auto"/>
                    <w:left w:val="none" w:sz="0" w:space="0" w:color="auto"/>
                    <w:bottom w:val="none" w:sz="0" w:space="0" w:color="auto"/>
                    <w:right w:val="none" w:sz="0" w:space="0" w:color="auto"/>
                  </w:divBdr>
                </w:div>
              </w:divsChild>
            </w:div>
            <w:div w:id="1674257127">
              <w:marLeft w:val="0"/>
              <w:marRight w:val="0"/>
              <w:marTop w:val="0"/>
              <w:marBottom w:val="0"/>
              <w:divBdr>
                <w:top w:val="none" w:sz="0" w:space="0" w:color="auto"/>
                <w:left w:val="none" w:sz="0" w:space="0" w:color="auto"/>
                <w:bottom w:val="none" w:sz="0" w:space="0" w:color="auto"/>
                <w:right w:val="none" w:sz="0" w:space="0" w:color="auto"/>
              </w:divBdr>
              <w:divsChild>
                <w:div w:id="372538986">
                  <w:marLeft w:val="0"/>
                  <w:marRight w:val="0"/>
                  <w:marTop w:val="0"/>
                  <w:marBottom w:val="0"/>
                  <w:divBdr>
                    <w:top w:val="none" w:sz="0" w:space="0" w:color="auto"/>
                    <w:left w:val="none" w:sz="0" w:space="0" w:color="auto"/>
                    <w:bottom w:val="none" w:sz="0" w:space="0" w:color="auto"/>
                    <w:right w:val="none" w:sz="0" w:space="0" w:color="auto"/>
                  </w:divBdr>
                </w:div>
              </w:divsChild>
            </w:div>
            <w:div w:id="1676766929">
              <w:marLeft w:val="0"/>
              <w:marRight w:val="0"/>
              <w:marTop w:val="0"/>
              <w:marBottom w:val="0"/>
              <w:divBdr>
                <w:top w:val="none" w:sz="0" w:space="0" w:color="auto"/>
                <w:left w:val="none" w:sz="0" w:space="0" w:color="auto"/>
                <w:bottom w:val="none" w:sz="0" w:space="0" w:color="auto"/>
                <w:right w:val="none" w:sz="0" w:space="0" w:color="auto"/>
              </w:divBdr>
              <w:divsChild>
                <w:div w:id="1702900228">
                  <w:marLeft w:val="0"/>
                  <w:marRight w:val="0"/>
                  <w:marTop w:val="0"/>
                  <w:marBottom w:val="0"/>
                  <w:divBdr>
                    <w:top w:val="none" w:sz="0" w:space="0" w:color="auto"/>
                    <w:left w:val="none" w:sz="0" w:space="0" w:color="auto"/>
                    <w:bottom w:val="none" w:sz="0" w:space="0" w:color="auto"/>
                    <w:right w:val="none" w:sz="0" w:space="0" w:color="auto"/>
                  </w:divBdr>
                </w:div>
              </w:divsChild>
            </w:div>
            <w:div w:id="1677077483">
              <w:marLeft w:val="0"/>
              <w:marRight w:val="0"/>
              <w:marTop w:val="300"/>
              <w:marBottom w:val="300"/>
              <w:divBdr>
                <w:top w:val="none" w:sz="0" w:space="0" w:color="auto"/>
                <w:left w:val="none" w:sz="0" w:space="0" w:color="auto"/>
                <w:bottom w:val="none" w:sz="0" w:space="0" w:color="auto"/>
                <w:right w:val="none" w:sz="0" w:space="0" w:color="auto"/>
              </w:divBdr>
            </w:div>
            <w:div w:id="1677998158">
              <w:marLeft w:val="0"/>
              <w:marRight w:val="0"/>
              <w:marTop w:val="0"/>
              <w:marBottom w:val="0"/>
              <w:divBdr>
                <w:top w:val="none" w:sz="0" w:space="0" w:color="auto"/>
                <w:left w:val="none" w:sz="0" w:space="0" w:color="auto"/>
                <w:bottom w:val="none" w:sz="0" w:space="0" w:color="auto"/>
                <w:right w:val="none" w:sz="0" w:space="0" w:color="auto"/>
              </w:divBdr>
              <w:divsChild>
                <w:div w:id="1605920704">
                  <w:marLeft w:val="0"/>
                  <w:marRight w:val="0"/>
                  <w:marTop w:val="0"/>
                  <w:marBottom w:val="0"/>
                  <w:divBdr>
                    <w:top w:val="none" w:sz="0" w:space="0" w:color="auto"/>
                    <w:left w:val="none" w:sz="0" w:space="0" w:color="auto"/>
                    <w:bottom w:val="none" w:sz="0" w:space="0" w:color="auto"/>
                    <w:right w:val="none" w:sz="0" w:space="0" w:color="auto"/>
                  </w:divBdr>
                </w:div>
              </w:divsChild>
            </w:div>
            <w:div w:id="1680738162">
              <w:marLeft w:val="0"/>
              <w:marRight w:val="0"/>
              <w:marTop w:val="0"/>
              <w:marBottom w:val="0"/>
              <w:divBdr>
                <w:top w:val="none" w:sz="0" w:space="0" w:color="auto"/>
                <w:left w:val="none" w:sz="0" w:space="0" w:color="auto"/>
                <w:bottom w:val="none" w:sz="0" w:space="0" w:color="auto"/>
                <w:right w:val="none" w:sz="0" w:space="0" w:color="auto"/>
              </w:divBdr>
              <w:divsChild>
                <w:div w:id="943537803">
                  <w:marLeft w:val="0"/>
                  <w:marRight w:val="0"/>
                  <w:marTop w:val="0"/>
                  <w:marBottom w:val="0"/>
                  <w:divBdr>
                    <w:top w:val="none" w:sz="0" w:space="0" w:color="auto"/>
                    <w:left w:val="none" w:sz="0" w:space="0" w:color="auto"/>
                    <w:bottom w:val="none" w:sz="0" w:space="0" w:color="auto"/>
                    <w:right w:val="none" w:sz="0" w:space="0" w:color="auto"/>
                  </w:divBdr>
                </w:div>
              </w:divsChild>
            </w:div>
            <w:div w:id="1683123252">
              <w:marLeft w:val="0"/>
              <w:marRight w:val="0"/>
              <w:marTop w:val="0"/>
              <w:marBottom w:val="0"/>
              <w:divBdr>
                <w:top w:val="none" w:sz="0" w:space="0" w:color="auto"/>
                <w:left w:val="none" w:sz="0" w:space="0" w:color="auto"/>
                <w:bottom w:val="none" w:sz="0" w:space="0" w:color="auto"/>
                <w:right w:val="none" w:sz="0" w:space="0" w:color="auto"/>
              </w:divBdr>
              <w:divsChild>
                <w:div w:id="649024354">
                  <w:marLeft w:val="0"/>
                  <w:marRight w:val="0"/>
                  <w:marTop w:val="0"/>
                  <w:marBottom w:val="0"/>
                  <w:divBdr>
                    <w:top w:val="none" w:sz="0" w:space="0" w:color="auto"/>
                    <w:left w:val="none" w:sz="0" w:space="0" w:color="auto"/>
                    <w:bottom w:val="none" w:sz="0" w:space="0" w:color="auto"/>
                    <w:right w:val="none" w:sz="0" w:space="0" w:color="auto"/>
                  </w:divBdr>
                </w:div>
              </w:divsChild>
            </w:div>
            <w:div w:id="1683431598">
              <w:marLeft w:val="0"/>
              <w:marRight w:val="0"/>
              <w:marTop w:val="0"/>
              <w:marBottom w:val="0"/>
              <w:divBdr>
                <w:top w:val="none" w:sz="0" w:space="0" w:color="auto"/>
                <w:left w:val="none" w:sz="0" w:space="0" w:color="auto"/>
                <w:bottom w:val="none" w:sz="0" w:space="0" w:color="auto"/>
                <w:right w:val="none" w:sz="0" w:space="0" w:color="auto"/>
              </w:divBdr>
              <w:divsChild>
                <w:div w:id="71852442">
                  <w:marLeft w:val="0"/>
                  <w:marRight w:val="0"/>
                  <w:marTop w:val="0"/>
                  <w:marBottom w:val="0"/>
                  <w:divBdr>
                    <w:top w:val="none" w:sz="0" w:space="0" w:color="auto"/>
                    <w:left w:val="none" w:sz="0" w:space="0" w:color="auto"/>
                    <w:bottom w:val="none" w:sz="0" w:space="0" w:color="auto"/>
                    <w:right w:val="none" w:sz="0" w:space="0" w:color="auto"/>
                  </w:divBdr>
                </w:div>
              </w:divsChild>
            </w:div>
            <w:div w:id="1684084762">
              <w:marLeft w:val="0"/>
              <w:marRight w:val="0"/>
              <w:marTop w:val="0"/>
              <w:marBottom w:val="0"/>
              <w:divBdr>
                <w:top w:val="none" w:sz="0" w:space="0" w:color="auto"/>
                <w:left w:val="none" w:sz="0" w:space="0" w:color="auto"/>
                <w:bottom w:val="none" w:sz="0" w:space="0" w:color="auto"/>
                <w:right w:val="none" w:sz="0" w:space="0" w:color="auto"/>
              </w:divBdr>
              <w:divsChild>
                <w:div w:id="2045791677">
                  <w:marLeft w:val="0"/>
                  <w:marRight w:val="0"/>
                  <w:marTop w:val="0"/>
                  <w:marBottom w:val="0"/>
                  <w:divBdr>
                    <w:top w:val="none" w:sz="0" w:space="0" w:color="auto"/>
                    <w:left w:val="none" w:sz="0" w:space="0" w:color="auto"/>
                    <w:bottom w:val="none" w:sz="0" w:space="0" w:color="auto"/>
                    <w:right w:val="none" w:sz="0" w:space="0" w:color="auto"/>
                  </w:divBdr>
                </w:div>
              </w:divsChild>
            </w:div>
            <w:div w:id="1684282300">
              <w:marLeft w:val="0"/>
              <w:marRight w:val="0"/>
              <w:marTop w:val="300"/>
              <w:marBottom w:val="300"/>
              <w:divBdr>
                <w:top w:val="none" w:sz="0" w:space="0" w:color="auto"/>
                <w:left w:val="none" w:sz="0" w:space="0" w:color="auto"/>
                <w:bottom w:val="none" w:sz="0" w:space="0" w:color="auto"/>
                <w:right w:val="none" w:sz="0" w:space="0" w:color="auto"/>
              </w:divBdr>
            </w:div>
            <w:div w:id="1684941113">
              <w:marLeft w:val="0"/>
              <w:marRight w:val="0"/>
              <w:marTop w:val="0"/>
              <w:marBottom w:val="0"/>
              <w:divBdr>
                <w:top w:val="none" w:sz="0" w:space="0" w:color="auto"/>
                <w:left w:val="none" w:sz="0" w:space="0" w:color="auto"/>
                <w:bottom w:val="none" w:sz="0" w:space="0" w:color="auto"/>
                <w:right w:val="none" w:sz="0" w:space="0" w:color="auto"/>
              </w:divBdr>
              <w:divsChild>
                <w:div w:id="995961254">
                  <w:marLeft w:val="0"/>
                  <w:marRight w:val="0"/>
                  <w:marTop w:val="0"/>
                  <w:marBottom w:val="0"/>
                  <w:divBdr>
                    <w:top w:val="none" w:sz="0" w:space="0" w:color="auto"/>
                    <w:left w:val="none" w:sz="0" w:space="0" w:color="auto"/>
                    <w:bottom w:val="none" w:sz="0" w:space="0" w:color="auto"/>
                    <w:right w:val="none" w:sz="0" w:space="0" w:color="auto"/>
                  </w:divBdr>
                </w:div>
              </w:divsChild>
            </w:div>
            <w:div w:id="1685090663">
              <w:marLeft w:val="0"/>
              <w:marRight w:val="0"/>
              <w:marTop w:val="0"/>
              <w:marBottom w:val="0"/>
              <w:divBdr>
                <w:top w:val="none" w:sz="0" w:space="0" w:color="auto"/>
                <w:left w:val="none" w:sz="0" w:space="0" w:color="auto"/>
                <w:bottom w:val="none" w:sz="0" w:space="0" w:color="auto"/>
                <w:right w:val="none" w:sz="0" w:space="0" w:color="auto"/>
              </w:divBdr>
              <w:divsChild>
                <w:div w:id="1250577166">
                  <w:marLeft w:val="0"/>
                  <w:marRight w:val="0"/>
                  <w:marTop w:val="0"/>
                  <w:marBottom w:val="0"/>
                  <w:divBdr>
                    <w:top w:val="none" w:sz="0" w:space="0" w:color="auto"/>
                    <w:left w:val="none" w:sz="0" w:space="0" w:color="auto"/>
                    <w:bottom w:val="none" w:sz="0" w:space="0" w:color="auto"/>
                    <w:right w:val="none" w:sz="0" w:space="0" w:color="auto"/>
                  </w:divBdr>
                </w:div>
              </w:divsChild>
            </w:div>
            <w:div w:id="1685282414">
              <w:marLeft w:val="0"/>
              <w:marRight w:val="0"/>
              <w:marTop w:val="0"/>
              <w:marBottom w:val="0"/>
              <w:divBdr>
                <w:top w:val="none" w:sz="0" w:space="0" w:color="auto"/>
                <w:left w:val="none" w:sz="0" w:space="0" w:color="auto"/>
                <w:bottom w:val="none" w:sz="0" w:space="0" w:color="auto"/>
                <w:right w:val="none" w:sz="0" w:space="0" w:color="auto"/>
              </w:divBdr>
              <w:divsChild>
                <w:div w:id="1764523630">
                  <w:marLeft w:val="0"/>
                  <w:marRight w:val="0"/>
                  <w:marTop w:val="0"/>
                  <w:marBottom w:val="0"/>
                  <w:divBdr>
                    <w:top w:val="none" w:sz="0" w:space="0" w:color="auto"/>
                    <w:left w:val="none" w:sz="0" w:space="0" w:color="auto"/>
                    <w:bottom w:val="none" w:sz="0" w:space="0" w:color="auto"/>
                    <w:right w:val="none" w:sz="0" w:space="0" w:color="auto"/>
                  </w:divBdr>
                </w:div>
              </w:divsChild>
            </w:div>
            <w:div w:id="1685401164">
              <w:marLeft w:val="0"/>
              <w:marRight w:val="0"/>
              <w:marTop w:val="0"/>
              <w:marBottom w:val="0"/>
              <w:divBdr>
                <w:top w:val="none" w:sz="0" w:space="0" w:color="auto"/>
                <w:left w:val="none" w:sz="0" w:space="0" w:color="auto"/>
                <w:bottom w:val="none" w:sz="0" w:space="0" w:color="auto"/>
                <w:right w:val="none" w:sz="0" w:space="0" w:color="auto"/>
              </w:divBdr>
              <w:divsChild>
                <w:div w:id="614870389">
                  <w:marLeft w:val="0"/>
                  <w:marRight w:val="0"/>
                  <w:marTop w:val="0"/>
                  <w:marBottom w:val="0"/>
                  <w:divBdr>
                    <w:top w:val="none" w:sz="0" w:space="0" w:color="auto"/>
                    <w:left w:val="none" w:sz="0" w:space="0" w:color="auto"/>
                    <w:bottom w:val="none" w:sz="0" w:space="0" w:color="auto"/>
                    <w:right w:val="none" w:sz="0" w:space="0" w:color="auto"/>
                  </w:divBdr>
                </w:div>
              </w:divsChild>
            </w:div>
            <w:div w:id="1686011427">
              <w:marLeft w:val="0"/>
              <w:marRight w:val="0"/>
              <w:marTop w:val="0"/>
              <w:marBottom w:val="0"/>
              <w:divBdr>
                <w:top w:val="none" w:sz="0" w:space="0" w:color="auto"/>
                <w:left w:val="none" w:sz="0" w:space="0" w:color="auto"/>
                <w:bottom w:val="none" w:sz="0" w:space="0" w:color="auto"/>
                <w:right w:val="none" w:sz="0" w:space="0" w:color="auto"/>
              </w:divBdr>
              <w:divsChild>
                <w:div w:id="916328081">
                  <w:marLeft w:val="0"/>
                  <w:marRight w:val="0"/>
                  <w:marTop w:val="0"/>
                  <w:marBottom w:val="0"/>
                  <w:divBdr>
                    <w:top w:val="none" w:sz="0" w:space="0" w:color="auto"/>
                    <w:left w:val="none" w:sz="0" w:space="0" w:color="auto"/>
                    <w:bottom w:val="none" w:sz="0" w:space="0" w:color="auto"/>
                    <w:right w:val="none" w:sz="0" w:space="0" w:color="auto"/>
                  </w:divBdr>
                </w:div>
              </w:divsChild>
            </w:div>
            <w:div w:id="1686638470">
              <w:marLeft w:val="0"/>
              <w:marRight w:val="0"/>
              <w:marTop w:val="0"/>
              <w:marBottom w:val="0"/>
              <w:divBdr>
                <w:top w:val="none" w:sz="0" w:space="0" w:color="auto"/>
                <w:left w:val="none" w:sz="0" w:space="0" w:color="auto"/>
                <w:bottom w:val="none" w:sz="0" w:space="0" w:color="auto"/>
                <w:right w:val="none" w:sz="0" w:space="0" w:color="auto"/>
              </w:divBdr>
              <w:divsChild>
                <w:div w:id="8265546">
                  <w:marLeft w:val="0"/>
                  <w:marRight w:val="0"/>
                  <w:marTop w:val="0"/>
                  <w:marBottom w:val="0"/>
                  <w:divBdr>
                    <w:top w:val="none" w:sz="0" w:space="0" w:color="auto"/>
                    <w:left w:val="none" w:sz="0" w:space="0" w:color="auto"/>
                    <w:bottom w:val="none" w:sz="0" w:space="0" w:color="auto"/>
                    <w:right w:val="none" w:sz="0" w:space="0" w:color="auto"/>
                  </w:divBdr>
                </w:div>
              </w:divsChild>
            </w:div>
            <w:div w:id="1686782214">
              <w:marLeft w:val="0"/>
              <w:marRight w:val="0"/>
              <w:marTop w:val="0"/>
              <w:marBottom w:val="0"/>
              <w:divBdr>
                <w:top w:val="none" w:sz="0" w:space="0" w:color="auto"/>
                <w:left w:val="none" w:sz="0" w:space="0" w:color="auto"/>
                <w:bottom w:val="none" w:sz="0" w:space="0" w:color="auto"/>
                <w:right w:val="none" w:sz="0" w:space="0" w:color="auto"/>
              </w:divBdr>
              <w:divsChild>
                <w:div w:id="907767058">
                  <w:marLeft w:val="0"/>
                  <w:marRight w:val="0"/>
                  <w:marTop w:val="0"/>
                  <w:marBottom w:val="0"/>
                  <w:divBdr>
                    <w:top w:val="none" w:sz="0" w:space="0" w:color="auto"/>
                    <w:left w:val="none" w:sz="0" w:space="0" w:color="auto"/>
                    <w:bottom w:val="none" w:sz="0" w:space="0" w:color="auto"/>
                    <w:right w:val="none" w:sz="0" w:space="0" w:color="auto"/>
                  </w:divBdr>
                </w:div>
              </w:divsChild>
            </w:div>
            <w:div w:id="1686860801">
              <w:marLeft w:val="0"/>
              <w:marRight w:val="0"/>
              <w:marTop w:val="0"/>
              <w:marBottom w:val="0"/>
              <w:divBdr>
                <w:top w:val="none" w:sz="0" w:space="0" w:color="auto"/>
                <w:left w:val="none" w:sz="0" w:space="0" w:color="auto"/>
                <w:bottom w:val="none" w:sz="0" w:space="0" w:color="auto"/>
                <w:right w:val="none" w:sz="0" w:space="0" w:color="auto"/>
              </w:divBdr>
              <w:divsChild>
                <w:div w:id="395783827">
                  <w:marLeft w:val="0"/>
                  <w:marRight w:val="0"/>
                  <w:marTop w:val="0"/>
                  <w:marBottom w:val="0"/>
                  <w:divBdr>
                    <w:top w:val="none" w:sz="0" w:space="0" w:color="auto"/>
                    <w:left w:val="none" w:sz="0" w:space="0" w:color="auto"/>
                    <w:bottom w:val="none" w:sz="0" w:space="0" w:color="auto"/>
                    <w:right w:val="none" w:sz="0" w:space="0" w:color="auto"/>
                  </w:divBdr>
                </w:div>
              </w:divsChild>
            </w:div>
            <w:div w:id="1687750881">
              <w:marLeft w:val="0"/>
              <w:marRight w:val="0"/>
              <w:marTop w:val="300"/>
              <w:marBottom w:val="300"/>
              <w:divBdr>
                <w:top w:val="none" w:sz="0" w:space="0" w:color="auto"/>
                <w:left w:val="none" w:sz="0" w:space="0" w:color="auto"/>
                <w:bottom w:val="none" w:sz="0" w:space="0" w:color="auto"/>
                <w:right w:val="none" w:sz="0" w:space="0" w:color="auto"/>
              </w:divBdr>
            </w:div>
            <w:div w:id="1690640822">
              <w:marLeft w:val="0"/>
              <w:marRight w:val="0"/>
              <w:marTop w:val="0"/>
              <w:marBottom w:val="0"/>
              <w:divBdr>
                <w:top w:val="none" w:sz="0" w:space="0" w:color="auto"/>
                <w:left w:val="none" w:sz="0" w:space="0" w:color="auto"/>
                <w:bottom w:val="none" w:sz="0" w:space="0" w:color="auto"/>
                <w:right w:val="none" w:sz="0" w:space="0" w:color="auto"/>
              </w:divBdr>
              <w:divsChild>
                <w:div w:id="1005549259">
                  <w:marLeft w:val="0"/>
                  <w:marRight w:val="0"/>
                  <w:marTop w:val="0"/>
                  <w:marBottom w:val="0"/>
                  <w:divBdr>
                    <w:top w:val="none" w:sz="0" w:space="0" w:color="auto"/>
                    <w:left w:val="none" w:sz="0" w:space="0" w:color="auto"/>
                    <w:bottom w:val="none" w:sz="0" w:space="0" w:color="auto"/>
                    <w:right w:val="none" w:sz="0" w:space="0" w:color="auto"/>
                  </w:divBdr>
                </w:div>
              </w:divsChild>
            </w:div>
            <w:div w:id="1690792922">
              <w:marLeft w:val="0"/>
              <w:marRight w:val="0"/>
              <w:marTop w:val="300"/>
              <w:marBottom w:val="300"/>
              <w:divBdr>
                <w:top w:val="none" w:sz="0" w:space="0" w:color="auto"/>
                <w:left w:val="none" w:sz="0" w:space="0" w:color="auto"/>
                <w:bottom w:val="none" w:sz="0" w:space="0" w:color="auto"/>
                <w:right w:val="none" w:sz="0" w:space="0" w:color="auto"/>
              </w:divBdr>
            </w:div>
            <w:div w:id="1692687600">
              <w:marLeft w:val="0"/>
              <w:marRight w:val="0"/>
              <w:marTop w:val="0"/>
              <w:marBottom w:val="0"/>
              <w:divBdr>
                <w:top w:val="none" w:sz="0" w:space="0" w:color="auto"/>
                <w:left w:val="none" w:sz="0" w:space="0" w:color="auto"/>
                <w:bottom w:val="none" w:sz="0" w:space="0" w:color="auto"/>
                <w:right w:val="none" w:sz="0" w:space="0" w:color="auto"/>
              </w:divBdr>
              <w:divsChild>
                <w:div w:id="194468823">
                  <w:marLeft w:val="0"/>
                  <w:marRight w:val="0"/>
                  <w:marTop w:val="0"/>
                  <w:marBottom w:val="0"/>
                  <w:divBdr>
                    <w:top w:val="none" w:sz="0" w:space="0" w:color="auto"/>
                    <w:left w:val="none" w:sz="0" w:space="0" w:color="auto"/>
                    <w:bottom w:val="none" w:sz="0" w:space="0" w:color="auto"/>
                    <w:right w:val="none" w:sz="0" w:space="0" w:color="auto"/>
                  </w:divBdr>
                </w:div>
              </w:divsChild>
            </w:div>
            <w:div w:id="1693652304">
              <w:marLeft w:val="0"/>
              <w:marRight w:val="0"/>
              <w:marTop w:val="0"/>
              <w:marBottom w:val="0"/>
              <w:divBdr>
                <w:top w:val="none" w:sz="0" w:space="0" w:color="auto"/>
                <w:left w:val="none" w:sz="0" w:space="0" w:color="auto"/>
                <w:bottom w:val="none" w:sz="0" w:space="0" w:color="auto"/>
                <w:right w:val="none" w:sz="0" w:space="0" w:color="auto"/>
              </w:divBdr>
              <w:divsChild>
                <w:div w:id="1670988293">
                  <w:marLeft w:val="0"/>
                  <w:marRight w:val="0"/>
                  <w:marTop w:val="0"/>
                  <w:marBottom w:val="0"/>
                  <w:divBdr>
                    <w:top w:val="none" w:sz="0" w:space="0" w:color="auto"/>
                    <w:left w:val="none" w:sz="0" w:space="0" w:color="auto"/>
                    <w:bottom w:val="none" w:sz="0" w:space="0" w:color="auto"/>
                    <w:right w:val="none" w:sz="0" w:space="0" w:color="auto"/>
                  </w:divBdr>
                </w:div>
              </w:divsChild>
            </w:div>
            <w:div w:id="1694040316">
              <w:marLeft w:val="0"/>
              <w:marRight w:val="0"/>
              <w:marTop w:val="0"/>
              <w:marBottom w:val="0"/>
              <w:divBdr>
                <w:top w:val="none" w:sz="0" w:space="0" w:color="auto"/>
                <w:left w:val="none" w:sz="0" w:space="0" w:color="auto"/>
                <w:bottom w:val="none" w:sz="0" w:space="0" w:color="auto"/>
                <w:right w:val="none" w:sz="0" w:space="0" w:color="auto"/>
              </w:divBdr>
              <w:divsChild>
                <w:div w:id="1732846510">
                  <w:marLeft w:val="0"/>
                  <w:marRight w:val="0"/>
                  <w:marTop w:val="0"/>
                  <w:marBottom w:val="0"/>
                  <w:divBdr>
                    <w:top w:val="none" w:sz="0" w:space="0" w:color="auto"/>
                    <w:left w:val="none" w:sz="0" w:space="0" w:color="auto"/>
                    <w:bottom w:val="none" w:sz="0" w:space="0" w:color="auto"/>
                    <w:right w:val="none" w:sz="0" w:space="0" w:color="auto"/>
                  </w:divBdr>
                </w:div>
              </w:divsChild>
            </w:div>
            <w:div w:id="1695301037">
              <w:marLeft w:val="0"/>
              <w:marRight w:val="0"/>
              <w:marTop w:val="0"/>
              <w:marBottom w:val="0"/>
              <w:divBdr>
                <w:top w:val="none" w:sz="0" w:space="0" w:color="auto"/>
                <w:left w:val="none" w:sz="0" w:space="0" w:color="auto"/>
                <w:bottom w:val="none" w:sz="0" w:space="0" w:color="auto"/>
                <w:right w:val="none" w:sz="0" w:space="0" w:color="auto"/>
              </w:divBdr>
              <w:divsChild>
                <w:div w:id="1537422436">
                  <w:marLeft w:val="0"/>
                  <w:marRight w:val="0"/>
                  <w:marTop w:val="0"/>
                  <w:marBottom w:val="0"/>
                  <w:divBdr>
                    <w:top w:val="none" w:sz="0" w:space="0" w:color="auto"/>
                    <w:left w:val="none" w:sz="0" w:space="0" w:color="auto"/>
                    <w:bottom w:val="none" w:sz="0" w:space="0" w:color="auto"/>
                    <w:right w:val="none" w:sz="0" w:space="0" w:color="auto"/>
                  </w:divBdr>
                </w:div>
              </w:divsChild>
            </w:div>
            <w:div w:id="1695424509">
              <w:marLeft w:val="0"/>
              <w:marRight w:val="0"/>
              <w:marTop w:val="0"/>
              <w:marBottom w:val="0"/>
              <w:divBdr>
                <w:top w:val="none" w:sz="0" w:space="0" w:color="auto"/>
                <w:left w:val="none" w:sz="0" w:space="0" w:color="auto"/>
                <w:bottom w:val="none" w:sz="0" w:space="0" w:color="auto"/>
                <w:right w:val="none" w:sz="0" w:space="0" w:color="auto"/>
              </w:divBdr>
              <w:divsChild>
                <w:div w:id="1792093213">
                  <w:marLeft w:val="0"/>
                  <w:marRight w:val="0"/>
                  <w:marTop w:val="0"/>
                  <w:marBottom w:val="0"/>
                  <w:divBdr>
                    <w:top w:val="none" w:sz="0" w:space="0" w:color="auto"/>
                    <w:left w:val="none" w:sz="0" w:space="0" w:color="auto"/>
                    <w:bottom w:val="none" w:sz="0" w:space="0" w:color="auto"/>
                    <w:right w:val="none" w:sz="0" w:space="0" w:color="auto"/>
                  </w:divBdr>
                </w:div>
              </w:divsChild>
            </w:div>
            <w:div w:id="1696073076">
              <w:marLeft w:val="0"/>
              <w:marRight w:val="0"/>
              <w:marTop w:val="0"/>
              <w:marBottom w:val="0"/>
              <w:divBdr>
                <w:top w:val="none" w:sz="0" w:space="0" w:color="auto"/>
                <w:left w:val="none" w:sz="0" w:space="0" w:color="auto"/>
                <w:bottom w:val="none" w:sz="0" w:space="0" w:color="auto"/>
                <w:right w:val="none" w:sz="0" w:space="0" w:color="auto"/>
              </w:divBdr>
              <w:divsChild>
                <w:div w:id="879902944">
                  <w:marLeft w:val="0"/>
                  <w:marRight w:val="0"/>
                  <w:marTop w:val="0"/>
                  <w:marBottom w:val="0"/>
                  <w:divBdr>
                    <w:top w:val="none" w:sz="0" w:space="0" w:color="auto"/>
                    <w:left w:val="none" w:sz="0" w:space="0" w:color="auto"/>
                    <w:bottom w:val="none" w:sz="0" w:space="0" w:color="auto"/>
                    <w:right w:val="none" w:sz="0" w:space="0" w:color="auto"/>
                  </w:divBdr>
                </w:div>
              </w:divsChild>
            </w:div>
            <w:div w:id="1697075693">
              <w:marLeft w:val="0"/>
              <w:marRight w:val="0"/>
              <w:marTop w:val="0"/>
              <w:marBottom w:val="0"/>
              <w:divBdr>
                <w:top w:val="none" w:sz="0" w:space="0" w:color="auto"/>
                <w:left w:val="none" w:sz="0" w:space="0" w:color="auto"/>
                <w:bottom w:val="none" w:sz="0" w:space="0" w:color="auto"/>
                <w:right w:val="none" w:sz="0" w:space="0" w:color="auto"/>
              </w:divBdr>
              <w:divsChild>
                <w:div w:id="1475487072">
                  <w:marLeft w:val="0"/>
                  <w:marRight w:val="0"/>
                  <w:marTop w:val="0"/>
                  <w:marBottom w:val="0"/>
                  <w:divBdr>
                    <w:top w:val="none" w:sz="0" w:space="0" w:color="auto"/>
                    <w:left w:val="none" w:sz="0" w:space="0" w:color="auto"/>
                    <w:bottom w:val="none" w:sz="0" w:space="0" w:color="auto"/>
                    <w:right w:val="none" w:sz="0" w:space="0" w:color="auto"/>
                  </w:divBdr>
                </w:div>
              </w:divsChild>
            </w:div>
            <w:div w:id="1699620504">
              <w:marLeft w:val="0"/>
              <w:marRight w:val="0"/>
              <w:marTop w:val="0"/>
              <w:marBottom w:val="0"/>
              <w:divBdr>
                <w:top w:val="none" w:sz="0" w:space="0" w:color="auto"/>
                <w:left w:val="none" w:sz="0" w:space="0" w:color="auto"/>
                <w:bottom w:val="none" w:sz="0" w:space="0" w:color="auto"/>
                <w:right w:val="none" w:sz="0" w:space="0" w:color="auto"/>
              </w:divBdr>
              <w:divsChild>
                <w:div w:id="1838377824">
                  <w:marLeft w:val="0"/>
                  <w:marRight w:val="0"/>
                  <w:marTop w:val="0"/>
                  <w:marBottom w:val="0"/>
                  <w:divBdr>
                    <w:top w:val="none" w:sz="0" w:space="0" w:color="auto"/>
                    <w:left w:val="none" w:sz="0" w:space="0" w:color="auto"/>
                    <w:bottom w:val="none" w:sz="0" w:space="0" w:color="auto"/>
                    <w:right w:val="none" w:sz="0" w:space="0" w:color="auto"/>
                  </w:divBdr>
                </w:div>
              </w:divsChild>
            </w:div>
            <w:div w:id="1701320322">
              <w:marLeft w:val="0"/>
              <w:marRight w:val="0"/>
              <w:marTop w:val="0"/>
              <w:marBottom w:val="0"/>
              <w:divBdr>
                <w:top w:val="none" w:sz="0" w:space="0" w:color="auto"/>
                <w:left w:val="none" w:sz="0" w:space="0" w:color="auto"/>
                <w:bottom w:val="none" w:sz="0" w:space="0" w:color="auto"/>
                <w:right w:val="none" w:sz="0" w:space="0" w:color="auto"/>
              </w:divBdr>
              <w:divsChild>
                <w:div w:id="1251233837">
                  <w:marLeft w:val="0"/>
                  <w:marRight w:val="0"/>
                  <w:marTop w:val="0"/>
                  <w:marBottom w:val="0"/>
                  <w:divBdr>
                    <w:top w:val="none" w:sz="0" w:space="0" w:color="auto"/>
                    <w:left w:val="none" w:sz="0" w:space="0" w:color="auto"/>
                    <w:bottom w:val="none" w:sz="0" w:space="0" w:color="auto"/>
                    <w:right w:val="none" w:sz="0" w:space="0" w:color="auto"/>
                  </w:divBdr>
                </w:div>
              </w:divsChild>
            </w:div>
            <w:div w:id="1703750578">
              <w:marLeft w:val="0"/>
              <w:marRight w:val="0"/>
              <w:marTop w:val="0"/>
              <w:marBottom w:val="0"/>
              <w:divBdr>
                <w:top w:val="none" w:sz="0" w:space="0" w:color="auto"/>
                <w:left w:val="none" w:sz="0" w:space="0" w:color="auto"/>
                <w:bottom w:val="none" w:sz="0" w:space="0" w:color="auto"/>
                <w:right w:val="none" w:sz="0" w:space="0" w:color="auto"/>
              </w:divBdr>
              <w:divsChild>
                <w:div w:id="1265959465">
                  <w:marLeft w:val="0"/>
                  <w:marRight w:val="0"/>
                  <w:marTop w:val="0"/>
                  <w:marBottom w:val="0"/>
                  <w:divBdr>
                    <w:top w:val="none" w:sz="0" w:space="0" w:color="auto"/>
                    <w:left w:val="none" w:sz="0" w:space="0" w:color="auto"/>
                    <w:bottom w:val="none" w:sz="0" w:space="0" w:color="auto"/>
                    <w:right w:val="none" w:sz="0" w:space="0" w:color="auto"/>
                  </w:divBdr>
                </w:div>
              </w:divsChild>
            </w:div>
            <w:div w:id="1704937619">
              <w:marLeft w:val="0"/>
              <w:marRight w:val="0"/>
              <w:marTop w:val="300"/>
              <w:marBottom w:val="300"/>
              <w:divBdr>
                <w:top w:val="none" w:sz="0" w:space="0" w:color="auto"/>
                <w:left w:val="none" w:sz="0" w:space="0" w:color="auto"/>
                <w:bottom w:val="none" w:sz="0" w:space="0" w:color="auto"/>
                <w:right w:val="none" w:sz="0" w:space="0" w:color="auto"/>
              </w:divBdr>
            </w:div>
            <w:div w:id="1705137190">
              <w:marLeft w:val="0"/>
              <w:marRight w:val="0"/>
              <w:marTop w:val="300"/>
              <w:marBottom w:val="300"/>
              <w:divBdr>
                <w:top w:val="none" w:sz="0" w:space="0" w:color="auto"/>
                <w:left w:val="none" w:sz="0" w:space="0" w:color="auto"/>
                <w:bottom w:val="none" w:sz="0" w:space="0" w:color="auto"/>
                <w:right w:val="none" w:sz="0" w:space="0" w:color="auto"/>
              </w:divBdr>
            </w:div>
            <w:div w:id="1705211996">
              <w:marLeft w:val="0"/>
              <w:marRight w:val="0"/>
              <w:marTop w:val="0"/>
              <w:marBottom w:val="0"/>
              <w:divBdr>
                <w:top w:val="none" w:sz="0" w:space="0" w:color="auto"/>
                <w:left w:val="none" w:sz="0" w:space="0" w:color="auto"/>
                <w:bottom w:val="none" w:sz="0" w:space="0" w:color="auto"/>
                <w:right w:val="none" w:sz="0" w:space="0" w:color="auto"/>
              </w:divBdr>
              <w:divsChild>
                <w:div w:id="1005715492">
                  <w:marLeft w:val="0"/>
                  <w:marRight w:val="0"/>
                  <w:marTop w:val="0"/>
                  <w:marBottom w:val="0"/>
                  <w:divBdr>
                    <w:top w:val="none" w:sz="0" w:space="0" w:color="auto"/>
                    <w:left w:val="none" w:sz="0" w:space="0" w:color="auto"/>
                    <w:bottom w:val="none" w:sz="0" w:space="0" w:color="auto"/>
                    <w:right w:val="none" w:sz="0" w:space="0" w:color="auto"/>
                  </w:divBdr>
                </w:div>
              </w:divsChild>
            </w:div>
            <w:div w:id="1705246875">
              <w:marLeft w:val="0"/>
              <w:marRight w:val="0"/>
              <w:marTop w:val="0"/>
              <w:marBottom w:val="0"/>
              <w:divBdr>
                <w:top w:val="none" w:sz="0" w:space="0" w:color="auto"/>
                <w:left w:val="none" w:sz="0" w:space="0" w:color="auto"/>
                <w:bottom w:val="none" w:sz="0" w:space="0" w:color="auto"/>
                <w:right w:val="none" w:sz="0" w:space="0" w:color="auto"/>
              </w:divBdr>
              <w:divsChild>
                <w:div w:id="2045977462">
                  <w:marLeft w:val="0"/>
                  <w:marRight w:val="0"/>
                  <w:marTop w:val="0"/>
                  <w:marBottom w:val="0"/>
                  <w:divBdr>
                    <w:top w:val="none" w:sz="0" w:space="0" w:color="auto"/>
                    <w:left w:val="none" w:sz="0" w:space="0" w:color="auto"/>
                    <w:bottom w:val="none" w:sz="0" w:space="0" w:color="auto"/>
                    <w:right w:val="none" w:sz="0" w:space="0" w:color="auto"/>
                  </w:divBdr>
                </w:div>
              </w:divsChild>
            </w:div>
            <w:div w:id="1705446177">
              <w:marLeft w:val="0"/>
              <w:marRight w:val="0"/>
              <w:marTop w:val="300"/>
              <w:marBottom w:val="300"/>
              <w:divBdr>
                <w:top w:val="none" w:sz="0" w:space="0" w:color="auto"/>
                <w:left w:val="none" w:sz="0" w:space="0" w:color="auto"/>
                <w:bottom w:val="none" w:sz="0" w:space="0" w:color="auto"/>
                <w:right w:val="none" w:sz="0" w:space="0" w:color="auto"/>
              </w:divBdr>
            </w:div>
            <w:div w:id="1706365896">
              <w:marLeft w:val="0"/>
              <w:marRight w:val="0"/>
              <w:marTop w:val="0"/>
              <w:marBottom w:val="0"/>
              <w:divBdr>
                <w:top w:val="none" w:sz="0" w:space="0" w:color="auto"/>
                <w:left w:val="none" w:sz="0" w:space="0" w:color="auto"/>
                <w:bottom w:val="none" w:sz="0" w:space="0" w:color="auto"/>
                <w:right w:val="none" w:sz="0" w:space="0" w:color="auto"/>
              </w:divBdr>
              <w:divsChild>
                <w:div w:id="553277125">
                  <w:marLeft w:val="0"/>
                  <w:marRight w:val="0"/>
                  <w:marTop w:val="0"/>
                  <w:marBottom w:val="0"/>
                  <w:divBdr>
                    <w:top w:val="none" w:sz="0" w:space="0" w:color="auto"/>
                    <w:left w:val="none" w:sz="0" w:space="0" w:color="auto"/>
                    <w:bottom w:val="none" w:sz="0" w:space="0" w:color="auto"/>
                    <w:right w:val="none" w:sz="0" w:space="0" w:color="auto"/>
                  </w:divBdr>
                </w:div>
              </w:divsChild>
            </w:div>
            <w:div w:id="1707026130">
              <w:marLeft w:val="0"/>
              <w:marRight w:val="0"/>
              <w:marTop w:val="0"/>
              <w:marBottom w:val="0"/>
              <w:divBdr>
                <w:top w:val="none" w:sz="0" w:space="0" w:color="auto"/>
                <w:left w:val="none" w:sz="0" w:space="0" w:color="auto"/>
                <w:bottom w:val="none" w:sz="0" w:space="0" w:color="auto"/>
                <w:right w:val="none" w:sz="0" w:space="0" w:color="auto"/>
              </w:divBdr>
              <w:divsChild>
                <w:div w:id="1653868263">
                  <w:marLeft w:val="0"/>
                  <w:marRight w:val="0"/>
                  <w:marTop w:val="0"/>
                  <w:marBottom w:val="0"/>
                  <w:divBdr>
                    <w:top w:val="none" w:sz="0" w:space="0" w:color="auto"/>
                    <w:left w:val="none" w:sz="0" w:space="0" w:color="auto"/>
                    <w:bottom w:val="none" w:sz="0" w:space="0" w:color="auto"/>
                    <w:right w:val="none" w:sz="0" w:space="0" w:color="auto"/>
                  </w:divBdr>
                </w:div>
              </w:divsChild>
            </w:div>
            <w:div w:id="1707177373">
              <w:marLeft w:val="0"/>
              <w:marRight w:val="0"/>
              <w:marTop w:val="0"/>
              <w:marBottom w:val="0"/>
              <w:divBdr>
                <w:top w:val="none" w:sz="0" w:space="0" w:color="auto"/>
                <w:left w:val="none" w:sz="0" w:space="0" w:color="auto"/>
                <w:bottom w:val="none" w:sz="0" w:space="0" w:color="auto"/>
                <w:right w:val="none" w:sz="0" w:space="0" w:color="auto"/>
              </w:divBdr>
              <w:divsChild>
                <w:div w:id="296037658">
                  <w:marLeft w:val="0"/>
                  <w:marRight w:val="0"/>
                  <w:marTop w:val="0"/>
                  <w:marBottom w:val="0"/>
                  <w:divBdr>
                    <w:top w:val="none" w:sz="0" w:space="0" w:color="auto"/>
                    <w:left w:val="none" w:sz="0" w:space="0" w:color="auto"/>
                    <w:bottom w:val="none" w:sz="0" w:space="0" w:color="auto"/>
                    <w:right w:val="none" w:sz="0" w:space="0" w:color="auto"/>
                  </w:divBdr>
                </w:div>
              </w:divsChild>
            </w:div>
            <w:div w:id="1708065779">
              <w:marLeft w:val="0"/>
              <w:marRight w:val="0"/>
              <w:marTop w:val="0"/>
              <w:marBottom w:val="0"/>
              <w:divBdr>
                <w:top w:val="none" w:sz="0" w:space="0" w:color="auto"/>
                <w:left w:val="none" w:sz="0" w:space="0" w:color="auto"/>
                <w:bottom w:val="none" w:sz="0" w:space="0" w:color="auto"/>
                <w:right w:val="none" w:sz="0" w:space="0" w:color="auto"/>
              </w:divBdr>
              <w:divsChild>
                <w:div w:id="299384932">
                  <w:marLeft w:val="0"/>
                  <w:marRight w:val="0"/>
                  <w:marTop w:val="0"/>
                  <w:marBottom w:val="0"/>
                  <w:divBdr>
                    <w:top w:val="none" w:sz="0" w:space="0" w:color="auto"/>
                    <w:left w:val="none" w:sz="0" w:space="0" w:color="auto"/>
                    <w:bottom w:val="none" w:sz="0" w:space="0" w:color="auto"/>
                    <w:right w:val="none" w:sz="0" w:space="0" w:color="auto"/>
                  </w:divBdr>
                </w:div>
              </w:divsChild>
            </w:div>
            <w:div w:id="1708480924">
              <w:marLeft w:val="0"/>
              <w:marRight w:val="0"/>
              <w:marTop w:val="0"/>
              <w:marBottom w:val="0"/>
              <w:divBdr>
                <w:top w:val="none" w:sz="0" w:space="0" w:color="auto"/>
                <w:left w:val="none" w:sz="0" w:space="0" w:color="auto"/>
                <w:bottom w:val="none" w:sz="0" w:space="0" w:color="auto"/>
                <w:right w:val="none" w:sz="0" w:space="0" w:color="auto"/>
              </w:divBdr>
              <w:divsChild>
                <w:div w:id="520432085">
                  <w:marLeft w:val="0"/>
                  <w:marRight w:val="0"/>
                  <w:marTop w:val="0"/>
                  <w:marBottom w:val="0"/>
                  <w:divBdr>
                    <w:top w:val="none" w:sz="0" w:space="0" w:color="auto"/>
                    <w:left w:val="none" w:sz="0" w:space="0" w:color="auto"/>
                    <w:bottom w:val="none" w:sz="0" w:space="0" w:color="auto"/>
                    <w:right w:val="none" w:sz="0" w:space="0" w:color="auto"/>
                  </w:divBdr>
                </w:div>
              </w:divsChild>
            </w:div>
            <w:div w:id="1708949088">
              <w:marLeft w:val="0"/>
              <w:marRight w:val="0"/>
              <w:marTop w:val="0"/>
              <w:marBottom w:val="0"/>
              <w:divBdr>
                <w:top w:val="none" w:sz="0" w:space="0" w:color="auto"/>
                <w:left w:val="none" w:sz="0" w:space="0" w:color="auto"/>
                <w:bottom w:val="none" w:sz="0" w:space="0" w:color="auto"/>
                <w:right w:val="none" w:sz="0" w:space="0" w:color="auto"/>
              </w:divBdr>
              <w:divsChild>
                <w:div w:id="278537698">
                  <w:marLeft w:val="0"/>
                  <w:marRight w:val="0"/>
                  <w:marTop w:val="0"/>
                  <w:marBottom w:val="0"/>
                  <w:divBdr>
                    <w:top w:val="none" w:sz="0" w:space="0" w:color="auto"/>
                    <w:left w:val="none" w:sz="0" w:space="0" w:color="auto"/>
                    <w:bottom w:val="none" w:sz="0" w:space="0" w:color="auto"/>
                    <w:right w:val="none" w:sz="0" w:space="0" w:color="auto"/>
                  </w:divBdr>
                </w:div>
              </w:divsChild>
            </w:div>
            <w:div w:id="1709604070">
              <w:marLeft w:val="0"/>
              <w:marRight w:val="0"/>
              <w:marTop w:val="0"/>
              <w:marBottom w:val="0"/>
              <w:divBdr>
                <w:top w:val="none" w:sz="0" w:space="0" w:color="auto"/>
                <w:left w:val="none" w:sz="0" w:space="0" w:color="auto"/>
                <w:bottom w:val="none" w:sz="0" w:space="0" w:color="auto"/>
                <w:right w:val="none" w:sz="0" w:space="0" w:color="auto"/>
              </w:divBdr>
              <w:divsChild>
                <w:div w:id="1311329812">
                  <w:marLeft w:val="0"/>
                  <w:marRight w:val="0"/>
                  <w:marTop w:val="0"/>
                  <w:marBottom w:val="0"/>
                  <w:divBdr>
                    <w:top w:val="none" w:sz="0" w:space="0" w:color="auto"/>
                    <w:left w:val="none" w:sz="0" w:space="0" w:color="auto"/>
                    <w:bottom w:val="none" w:sz="0" w:space="0" w:color="auto"/>
                    <w:right w:val="none" w:sz="0" w:space="0" w:color="auto"/>
                  </w:divBdr>
                </w:div>
              </w:divsChild>
            </w:div>
            <w:div w:id="1710375571">
              <w:marLeft w:val="0"/>
              <w:marRight w:val="0"/>
              <w:marTop w:val="0"/>
              <w:marBottom w:val="0"/>
              <w:divBdr>
                <w:top w:val="none" w:sz="0" w:space="0" w:color="auto"/>
                <w:left w:val="none" w:sz="0" w:space="0" w:color="auto"/>
                <w:bottom w:val="none" w:sz="0" w:space="0" w:color="auto"/>
                <w:right w:val="none" w:sz="0" w:space="0" w:color="auto"/>
              </w:divBdr>
              <w:divsChild>
                <w:div w:id="174073868">
                  <w:marLeft w:val="0"/>
                  <w:marRight w:val="0"/>
                  <w:marTop w:val="0"/>
                  <w:marBottom w:val="0"/>
                  <w:divBdr>
                    <w:top w:val="none" w:sz="0" w:space="0" w:color="auto"/>
                    <w:left w:val="none" w:sz="0" w:space="0" w:color="auto"/>
                    <w:bottom w:val="none" w:sz="0" w:space="0" w:color="auto"/>
                    <w:right w:val="none" w:sz="0" w:space="0" w:color="auto"/>
                  </w:divBdr>
                </w:div>
              </w:divsChild>
            </w:div>
            <w:div w:id="1711687727">
              <w:marLeft w:val="0"/>
              <w:marRight w:val="0"/>
              <w:marTop w:val="0"/>
              <w:marBottom w:val="0"/>
              <w:divBdr>
                <w:top w:val="none" w:sz="0" w:space="0" w:color="auto"/>
                <w:left w:val="none" w:sz="0" w:space="0" w:color="auto"/>
                <w:bottom w:val="none" w:sz="0" w:space="0" w:color="auto"/>
                <w:right w:val="none" w:sz="0" w:space="0" w:color="auto"/>
              </w:divBdr>
              <w:divsChild>
                <w:div w:id="1123966511">
                  <w:marLeft w:val="0"/>
                  <w:marRight w:val="0"/>
                  <w:marTop w:val="0"/>
                  <w:marBottom w:val="0"/>
                  <w:divBdr>
                    <w:top w:val="none" w:sz="0" w:space="0" w:color="auto"/>
                    <w:left w:val="none" w:sz="0" w:space="0" w:color="auto"/>
                    <w:bottom w:val="none" w:sz="0" w:space="0" w:color="auto"/>
                    <w:right w:val="none" w:sz="0" w:space="0" w:color="auto"/>
                  </w:divBdr>
                </w:div>
              </w:divsChild>
            </w:div>
            <w:div w:id="1713143268">
              <w:marLeft w:val="0"/>
              <w:marRight w:val="0"/>
              <w:marTop w:val="0"/>
              <w:marBottom w:val="0"/>
              <w:divBdr>
                <w:top w:val="none" w:sz="0" w:space="0" w:color="auto"/>
                <w:left w:val="none" w:sz="0" w:space="0" w:color="auto"/>
                <w:bottom w:val="none" w:sz="0" w:space="0" w:color="auto"/>
                <w:right w:val="none" w:sz="0" w:space="0" w:color="auto"/>
              </w:divBdr>
              <w:divsChild>
                <w:div w:id="307443712">
                  <w:marLeft w:val="0"/>
                  <w:marRight w:val="0"/>
                  <w:marTop w:val="0"/>
                  <w:marBottom w:val="0"/>
                  <w:divBdr>
                    <w:top w:val="none" w:sz="0" w:space="0" w:color="auto"/>
                    <w:left w:val="none" w:sz="0" w:space="0" w:color="auto"/>
                    <w:bottom w:val="none" w:sz="0" w:space="0" w:color="auto"/>
                    <w:right w:val="none" w:sz="0" w:space="0" w:color="auto"/>
                  </w:divBdr>
                </w:div>
              </w:divsChild>
            </w:div>
            <w:div w:id="1713922223">
              <w:marLeft w:val="0"/>
              <w:marRight w:val="0"/>
              <w:marTop w:val="0"/>
              <w:marBottom w:val="0"/>
              <w:divBdr>
                <w:top w:val="none" w:sz="0" w:space="0" w:color="auto"/>
                <w:left w:val="none" w:sz="0" w:space="0" w:color="auto"/>
                <w:bottom w:val="none" w:sz="0" w:space="0" w:color="auto"/>
                <w:right w:val="none" w:sz="0" w:space="0" w:color="auto"/>
              </w:divBdr>
              <w:divsChild>
                <w:div w:id="302851557">
                  <w:marLeft w:val="0"/>
                  <w:marRight w:val="0"/>
                  <w:marTop w:val="0"/>
                  <w:marBottom w:val="0"/>
                  <w:divBdr>
                    <w:top w:val="none" w:sz="0" w:space="0" w:color="auto"/>
                    <w:left w:val="none" w:sz="0" w:space="0" w:color="auto"/>
                    <w:bottom w:val="none" w:sz="0" w:space="0" w:color="auto"/>
                    <w:right w:val="none" w:sz="0" w:space="0" w:color="auto"/>
                  </w:divBdr>
                </w:div>
              </w:divsChild>
            </w:div>
            <w:div w:id="1716657244">
              <w:marLeft w:val="0"/>
              <w:marRight w:val="0"/>
              <w:marTop w:val="0"/>
              <w:marBottom w:val="0"/>
              <w:divBdr>
                <w:top w:val="none" w:sz="0" w:space="0" w:color="auto"/>
                <w:left w:val="none" w:sz="0" w:space="0" w:color="auto"/>
                <w:bottom w:val="none" w:sz="0" w:space="0" w:color="auto"/>
                <w:right w:val="none" w:sz="0" w:space="0" w:color="auto"/>
              </w:divBdr>
              <w:divsChild>
                <w:div w:id="943415505">
                  <w:marLeft w:val="0"/>
                  <w:marRight w:val="0"/>
                  <w:marTop w:val="0"/>
                  <w:marBottom w:val="0"/>
                  <w:divBdr>
                    <w:top w:val="none" w:sz="0" w:space="0" w:color="auto"/>
                    <w:left w:val="none" w:sz="0" w:space="0" w:color="auto"/>
                    <w:bottom w:val="none" w:sz="0" w:space="0" w:color="auto"/>
                    <w:right w:val="none" w:sz="0" w:space="0" w:color="auto"/>
                  </w:divBdr>
                </w:div>
              </w:divsChild>
            </w:div>
            <w:div w:id="1717856630">
              <w:marLeft w:val="0"/>
              <w:marRight w:val="0"/>
              <w:marTop w:val="0"/>
              <w:marBottom w:val="0"/>
              <w:divBdr>
                <w:top w:val="none" w:sz="0" w:space="0" w:color="auto"/>
                <w:left w:val="none" w:sz="0" w:space="0" w:color="auto"/>
                <w:bottom w:val="none" w:sz="0" w:space="0" w:color="auto"/>
                <w:right w:val="none" w:sz="0" w:space="0" w:color="auto"/>
              </w:divBdr>
              <w:divsChild>
                <w:div w:id="62334834">
                  <w:marLeft w:val="0"/>
                  <w:marRight w:val="0"/>
                  <w:marTop w:val="0"/>
                  <w:marBottom w:val="0"/>
                  <w:divBdr>
                    <w:top w:val="none" w:sz="0" w:space="0" w:color="auto"/>
                    <w:left w:val="none" w:sz="0" w:space="0" w:color="auto"/>
                    <w:bottom w:val="none" w:sz="0" w:space="0" w:color="auto"/>
                    <w:right w:val="none" w:sz="0" w:space="0" w:color="auto"/>
                  </w:divBdr>
                </w:div>
              </w:divsChild>
            </w:div>
            <w:div w:id="1718115991">
              <w:marLeft w:val="0"/>
              <w:marRight w:val="0"/>
              <w:marTop w:val="0"/>
              <w:marBottom w:val="0"/>
              <w:divBdr>
                <w:top w:val="none" w:sz="0" w:space="0" w:color="auto"/>
                <w:left w:val="none" w:sz="0" w:space="0" w:color="auto"/>
                <w:bottom w:val="none" w:sz="0" w:space="0" w:color="auto"/>
                <w:right w:val="none" w:sz="0" w:space="0" w:color="auto"/>
              </w:divBdr>
              <w:divsChild>
                <w:div w:id="755900324">
                  <w:marLeft w:val="0"/>
                  <w:marRight w:val="0"/>
                  <w:marTop w:val="0"/>
                  <w:marBottom w:val="0"/>
                  <w:divBdr>
                    <w:top w:val="none" w:sz="0" w:space="0" w:color="auto"/>
                    <w:left w:val="none" w:sz="0" w:space="0" w:color="auto"/>
                    <w:bottom w:val="none" w:sz="0" w:space="0" w:color="auto"/>
                    <w:right w:val="none" w:sz="0" w:space="0" w:color="auto"/>
                  </w:divBdr>
                </w:div>
              </w:divsChild>
            </w:div>
            <w:div w:id="1718815660">
              <w:marLeft w:val="0"/>
              <w:marRight w:val="0"/>
              <w:marTop w:val="0"/>
              <w:marBottom w:val="0"/>
              <w:divBdr>
                <w:top w:val="none" w:sz="0" w:space="0" w:color="auto"/>
                <w:left w:val="none" w:sz="0" w:space="0" w:color="auto"/>
                <w:bottom w:val="none" w:sz="0" w:space="0" w:color="auto"/>
                <w:right w:val="none" w:sz="0" w:space="0" w:color="auto"/>
              </w:divBdr>
              <w:divsChild>
                <w:div w:id="1964378922">
                  <w:marLeft w:val="0"/>
                  <w:marRight w:val="0"/>
                  <w:marTop w:val="0"/>
                  <w:marBottom w:val="0"/>
                  <w:divBdr>
                    <w:top w:val="none" w:sz="0" w:space="0" w:color="auto"/>
                    <w:left w:val="none" w:sz="0" w:space="0" w:color="auto"/>
                    <w:bottom w:val="none" w:sz="0" w:space="0" w:color="auto"/>
                    <w:right w:val="none" w:sz="0" w:space="0" w:color="auto"/>
                  </w:divBdr>
                </w:div>
              </w:divsChild>
            </w:div>
            <w:div w:id="1719739858">
              <w:marLeft w:val="0"/>
              <w:marRight w:val="0"/>
              <w:marTop w:val="0"/>
              <w:marBottom w:val="0"/>
              <w:divBdr>
                <w:top w:val="none" w:sz="0" w:space="0" w:color="auto"/>
                <w:left w:val="none" w:sz="0" w:space="0" w:color="auto"/>
                <w:bottom w:val="none" w:sz="0" w:space="0" w:color="auto"/>
                <w:right w:val="none" w:sz="0" w:space="0" w:color="auto"/>
              </w:divBdr>
              <w:divsChild>
                <w:div w:id="1325090423">
                  <w:marLeft w:val="0"/>
                  <w:marRight w:val="0"/>
                  <w:marTop w:val="0"/>
                  <w:marBottom w:val="0"/>
                  <w:divBdr>
                    <w:top w:val="none" w:sz="0" w:space="0" w:color="auto"/>
                    <w:left w:val="none" w:sz="0" w:space="0" w:color="auto"/>
                    <w:bottom w:val="none" w:sz="0" w:space="0" w:color="auto"/>
                    <w:right w:val="none" w:sz="0" w:space="0" w:color="auto"/>
                  </w:divBdr>
                </w:div>
              </w:divsChild>
            </w:div>
            <w:div w:id="1719742057">
              <w:marLeft w:val="0"/>
              <w:marRight w:val="0"/>
              <w:marTop w:val="0"/>
              <w:marBottom w:val="0"/>
              <w:divBdr>
                <w:top w:val="none" w:sz="0" w:space="0" w:color="auto"/>
                <w:left w:val="none" w:sz="0" w:space="0" w:color="auto"/>
                <w:bottom w:val="none" w:sz="0" w:space="0" w:color="auto"/>
                <w:right w:val="none" w:sz="0" w:space="0" w:color="auto"/>
              </w:divBdr>
              <w:divsChild>
                <w:div w:id="1088428173">
                  <w:marLeft w:val="0"/>
                  <w:marRight w:val="0"/>
                  <w:marTop w:val="0"/>
                  <w:marBottom w:val="0"/>
                  <w:divBdr>
                    <w:top w:val="none" w:sz="0" w:space="0" w:color="auto"/>
                    <w:left w:val="none" w:sz="0" w:space="0" w:color="auto"/>
                    <w:bottom w:val="none" w:sz="0" w:space="0" w:color="auto"/>
                    <w:right w:val="none" w:sz="0" w:space="0" w:color="auto"/>
                  </w:divBdr>
                </w:div>
              </w:divsChild>
            </w:div>
            <w:div w:id="1719933935">
              <w:marLeft w:val="0"/>
              <w:marRight w:val="0"/>
              <w:marTop w:val="300"/>
              <w:marBottom w:val="300"/>
              <w:divBdr>
                <w:top w:val="none" w:sz="0" w:space="0" w:color="auto"/>
                <w:left w:val="none" w:sz="0" w:space="0" w:color="auto"/>
                <w:bottom w:val="none" w:sz="0" w:space="0" w:color="auto"/>
                <w:right w:val="none" w:sz="0" w:space="0" w:color="auto"/>
              </w:divBdr>
            </w:div>
            <w:div w:id="1720394076">
              <w:marLeft w:val="0"/>
              <w:marRight w:val="0"/>
              <w:marTop w:val="0"/>
              <w:marBottom w:val="0"/>
              <w:divBdr>
                <w:top w:val="none" w:sz="0" w:space="0" w:color="auto"/>
                <w:left w:val="none" w:sz="0" w:space="0" w:color="auto"/>
                <w:bottom w:val="none" w:sz="0" w:space="0" w:color="auto"/>
                <w:right w:val="none" w:sz="0" w:space="0" w:color="auto"/>
              </w:divBdr>
              <w:divsChild>
                <w:div w:id="414471420">
                  <w:marLeft w:val="0"/>
                  <w:marRight w:val="0"/>
                  <w:marTop w:val="0"/>
                  <w:marBottom w:val="0"/>
                  <w:divBdr>
                    <w:top w:val="none" w:sz="0" w:space="0" w:color="auto"/>
                    <w:left w:val="none" w:sz="0" w:space="0" w:color="auto"/>
                    <w:bottom w:val="none" w:sz="0" w:space="0" w:color="auto"/>
                    <w:right w:val="none" w:sz="0" w:space="0" w:color="auto"/>
                  </w:divBdr>
                </w:div>
              </w:divsChild>
            </w:div>
            <w:div w:id="1720591940">
              <w:marLeft w:val="0"/>
              <w:marRight w:val="0"/>
              <w:marTop w:val="0"/>
              <w:marBottom w:val="0"/>
              <w:divBdr>
                <w:top w:val="none" w:sz="0" w:space="0" w:color="auto"/>
                <w:left w:val="none" w:sz="0" w:space="0" w:color="auto"/>
                <w:bottom w:val="none" w:sz="0" w:space="0" w:color="auto"/>
                <w:right w:val="none" w:sz="0" w:space="0" w:color="auto"/>
              </w:divBdr>
              <w:divsChild>
                <w:div w:id="1724670008">
                  <w:marLeft w:val="0"/>
                  <w:marRight w:val="0"/>
                  <w:marTop w:val="0"/>
                  <w:marBottom w:val="0"/>
                  <w:divBdr>
                    <w:top w:val="none" w:sz="0" w:space="0" w:color="auto"/>
                    <w:left w:val="none" w:sz="0" w:space="0" w:color="auto"/>
                    <w:bottom w:val="none" w:sz="0" w:space="0" w:color="auto"/>
                    <w:right w:val="none" w:sz="0" w:space="0" w:color="auto"/>
                  </w:divBdr>
                </w:div>
              </w:divsChild>
            </w:div>
            <w:div w:id="1722172881">
              <w:marLeft w:val="0"/>
              <w:marRight w:val="0"/>
              <w:marTop w:val="0"/>
              <w:marBottom w:val="0"/>
              <w:divBdr>
                <w:top w:val="none" w:sz="0" w:space="0" w:color="auto"/>
                <w:left w:val="none" w:sz="0" w:space="0" w:color="auto"/>
                <w:bottom w:val="none" w:sz="0" w:space="0" w:color="auto"/>
                <w:right w:val="none" w:sz="0" w:space="0" w:color="auto"/>
              </w:divBdr>
              <w:divsChild>
                <w:div w:id="1968388563">
                  <w:marLeft w:val="0"/>
                  <w:marRight w:val="0"/>
                  <w:marTop w:val="0"/>
                  <w:marBottom w:val="0"/>
                  <w:divBdr>
                    <w:top w:val="none" w:sz="0" w:space="0" w:color="auto"/>
                    <w:left w:val="none" w:sz="0" w:space="0" w:color="auto"/>
                    <w:bottom w:val="none" w:sz="0" w:space="0" w:color="auto"/>
                    <w:right w:val="none" w:sz="0" w:space="0" w:color="auto"/>
                  </w:divBdr>
                </w:div>
              </w:divsChild>
            </w:div>
            <w:div w:id="1723672347">
              <w:marLeft w:val="0"/>
              <w:marRight w:val="0"/>
              <w:marTop w:val="0"/>
              <w:marBottom w:val="0"/>
              <w:divBdr>
                <w:top w:val="none" w:sz="0" w:space="0" w:color="auto"/>
                <w:left w:val="none" w:sz="0" w:space="0" w:color="auto"/>
                <w:bottom w:val="none" w:sz="0" w:space="0" w:color="auto"/>
                <w:right w:val="none" w:sz="0" w:space="0" w:color="auto"/>
              </w:divBdr>
              <w:divsChild>
                <w:div w:id="1258174147">
                  <w:marLeft w:val="0"/>
                  <w:marRight w:val="0"/>
                  <w:marTop w:val="0"/>
                  <w:marBottom w:val="0"/>
                  <w:divBdr>
                    <w:top w:val="none" w:sz="0" w:space="0" w:color="auto"/>
                    <w:left w:val="none" w:sz="0" w:space="0" w:color="auto"/>
                    <w:bottom w:val="none" w:sz="0" w:space="0" w:color="auto"/>
                    <w:right w:val="none" w:sz="0" w:space="0" w:color="auto"/>
                  </w:divBdr>
                </w:div>
              </w:divsChild>
            </w:div>
            <w:div w:id="1724523527">
              <w:marLeft w:val="0"/>
              <w:marRight w:val="0"/>
              <w:marTop w:val="0"/>
              <w:marBottom w:val="0"/>
              <w:divBdr>
                <w:top w:val="none" w:sz="0" w:space="0" w:color="auto"/>
                <w:left w:val="none" w:sz="0" w:space="0" w:color="auto"/>
                <w:bottom w:val="none" w:sz="0" w:space="0" w:color="auto"/>
                <w:right w:val="none" w:sz="0" w:space="0" w:color="auto"/>
              </w:divBdr>
              <w:divsChild>
                <w:div w:id="1978608943">
                  <w:marLeft w:val="0"/>
                  <w:marRight w:val="0"/>
                  <w:marTop w:val="0"/>
                  <w:marBottom w:val="0"/>
                  <w:divBdr>
                    <w:top w:val="none" w:sz="0" w:space="0" w:color="auto"/>
                    <w:left w:val="none" w:sz="0" w:space="0" w:color="auto"/>
                    <w:bottom w:val="none" w:sz="0" w:space="0" w:color="auto"/>
                    <w:right w:val="none" w:sz="0" w:space="0" w:color="auto"/>
                  </w:divBdr>
                </w:div>
              </w:divsChild>
            </w:div>
            <w:div w:id="1726299329">
              <w:marLeft w:val="0"/>
              <w:marRight w:val="0"/>
              <w:marTop w:val="0"/>
              <w:marBottom w:val="0"/>
              <w:divBdr>
                <w:top w:val="none" w:sz="0" w:space="0" w:color="auto"/>
                <w:left w:val="none" w:sz="0" w:space="0" w:color="auto"/>
                <w:bottom w:val="none" w:sz="0" w:space="0" w:color="auto"/>
                <w:right w:val="none" w:sz="0" w:space="0" w:color="auto"/>
              </w:divBdr>
              <w:divsChild>
                <w:div w:id="1471284310">
                  <w:marLeft w:val="0"/>
                  <w:marRight w:val="0"/>
                  <w:marTop w:val="0"/>
                  <w:marBottom w:val="0"/>
                  <w:divBdr>
                    <w:top w:val="none" w:sz="0" w:space="0" w:color="auto"/>
                    <w:left w:val="none" w:sz="0" w:space="0" w:color="auto"/>
                    <w:bottom w:val="none" w:sz="0" w:space="0" w:color="auto"/>
                    <w:right w:val="none" w:sz="0" w:space="0" w:color="auto"/>
                  </w:divBdr>
                </w:div>
              </w:divsChild>
            </w:div>
            <w:div w:id="1726829881">
              <w:marLeft w:val="0"/>
              <w:marRight w:val="0"/>
              <w:marTop w:val="0"/>
              <w:marBottom w:val="0"/>
              <w:divBdr>
                <w:top w:val="none" w:sz="0" w:space="0" w:color="auto"/>
                <w:left w:val="none" w:sz="0" w:space="0" w:color="auto"/>
                <w:bottom w:val="none" w:sz="0" w:space="0" w:color="auto"/>
                <w:right w:val="none" w:sz="0" w:space="0" w:color="auto"/>
              </w:divBdr>
              <w:divsChild>
                <w:div w:id="2133206535">
                  <w:marLeft w:val="0"/>
                  <w:marRight w:val="0"/>
                  <w:marTop w:val="0"/>
                  <w:marBottom w:val="0"/>
                  <w:divBdr>
                    <w:top w:val="none" w:sz="0" w:space="0" w:color="auto"/>
                    <w:left w:val="none" w:sz="0" w:space="0" w:color="auto"/>
                    <w:bottom w:val="none" w:sz="0" w:space="0" w:color="auto"/>
                    <w:right w:val="none" w:sz="0" w:space="0" w:color="auto"/>
                  </w:divBdr>
                </w:div>
              </w:divsChild>
            </w:div>
            <w:div w:id="1727144373">
              <w:marLeft w:val="0"/>
              <w:marRight w:val="0"/>
              <w:marTop w:val="0"/>
              <w:marBottom w:val="0"/>
              <w:divBdr>
                <w:top w:val="none" w:sz="0" w:space="0" w:color="auto"/>
                <w:left w:val="none" w:sz="0" w:space="0" w:color="auto"/>
                <w:bottom w:val="none" w:sz="0" w:space="0" w:color="auto"/>
                <w:right w:val="none" w:sz="0" w:space="0" w:color="auto"/>
              </w:divBdr>
              <w:divsChild>
                <w:div w:id="654531923">
                  <w:marLeft w:val="0"/>
                  <w:marRight w:val="0"/>
                  <w:marTop w:val="0"/>
                  <w:marBottom w:val="0"/>
                  <w:divBdr>
                    <w:top w:val="none" w:sz="0" w:space="0" w:color="auto"/>
                    <w:left w:val="none" w:sz="0" w:space="0" w:color="auto"/>
                    <w:bottom w:val="none" w:sz="0" w:space="0" w:color="auto"/>
                    <w:right w:val="none" w:sz="0" w:space="0" w:color="auto"/>
                  </w:divBdr>
                </w:div>
              </w:divsChild>
            </w:div>
            <w:div w:id="1727990341">
              <w:marLeft w:val="0"/>
              <w:marRight w:val="0"/>
              <w:marTop w:val="0"/>
              <w:marBottom w:val="0"/>
              <w:divBdr>
                <w:top w:val="none" w:sz="0" w:space="0" w:color="auto"/>
                <w:left w:val="none" w:sz="0" w:space="0" w:color="auto"/>
                <w:bottom w:val="none" w:sz="0" w:space="0" w:color="auto"/>
                <w:right w:val="none" w:sz="0" w:space="0" w:color="auto"/>
              </w:divBdr>
              <w:divsChild>
                <w:div w:id="868448417">
                  <w:marLeft w:val="0"/>
                  <w:marRight w:val="0"/>
                  <w:marTop w:val="0"/>
                  <w:marBottom w:val="0"/>
                  <w:divBdr>
                    <w:top w:val="none" w:sz="0" w:space="0" w:color="auto"/>
                    <w:left w:val="none" w:sz="0" w:space="0" w:color="auto"/>
                    <w:bottom w:val="none" w:sz="0" w:space="0" w:color="auto"/>
                    <w:right w:val="none" w:sz="0" w:space="0" w:color="auto"/>
                  </w:divBdr>
                </w:div>
              </w:divsChild>
            </w:div>
            <w:div w:id="1730566707">
              <w:marLeft w:val="0"/>
              <w:marRight w:val="0"/>
              <w:marTop w:val="0"/>
              <w:marBottom w:val="0"/>
              <w:divBdr>
                <w:top w:val="none" w:sz="0" w:space="0" w:color="auto"/>
                <w:left w:val="none" w:sz="0" w:space="0" w:color="auto"/>
                <w:bottom w:val="none" w:sz="0" w:space="0" w:color="auto"/>
                <w:right w:val="none" w:sz="0" w:space="0" w:color="auto"/>
              </w:divBdr>
              <w:divsChild>
                <w:div w:id="1465931431">
                  <w:marLeft w:val="0"/>
                  <w:marRight w:val="0"/>
                  <w:marTop w:val="0"/>
                  <w:marBottom w:val="0"/>
                  <w:divBdr>
                    <w:top w:val="none" w:sz="0" w:space="0" w:color="auto"/>
                    <w:left w:val="none" w:sz="0" w:space="0" w:color="auto"/>
                    <w:bottom w:val="none" w:sz="0" w:space="0" w:color="auto"/>
                    <w:right w:val="none" w:sz="0" w:space="0" w:color="auto"/>
                  </w:divBdr>
                </w:div>
              </w:divsChild>
            </w:div>
            <w:div w:id="1730883476">
              <w:marLeft w:val="0"/>
              <w:marRight w:val="0"/>
              <w:marTop w:val="300"/>
              <w:marBottom w:val="300"/>
              <w:divBdr>
                <w:top w:val="none" w:sz="0" w:space="0" w:color="auto"/>
                <w:left w:val="none" w:sz="0" w:space="0" w:color="auto"/>
                <w:bottom w:val="none" w:sz="0" w:space="0" w:color="auto"/>
                <w:right w:val="none" w:sz="0" w:space="0" w:color="auto"/>
              </w:divBdr>
            </w:div>
            <w:div w:id="1731659232">
              <w:marLeft w:val="0"/>
              <w:marRight w:val="0"/>
              <w:marTop w:val="0"/>
              <w:marBottom w:val="0"/>
              <w:divBdr>
                <w:top w:val="none" w:sz="0" w:space="0" w:color="auto"/>
                <w:left w:val="none" w:sz="0" w:space="0" w:color="auto"/>
                <w:bottom w:val="none" w:sz="0" w:space="0" w:color="auto"/>
                <w:right w:val="none" w:sz="0" w:space="0" w:color="auto"/>
              </w:divBdr>
              <w:divsChild>
                <w:div w:id="2030325858">
                  <w:marLeft w:val="0"/>
                  <w:marRight w:val="0"/>
                  <w:marTop w:val="0"/>
                  <w:marBottom w:val="0"/>
                  <w:divBdr>
                    <w:top w:val="none" w:sz="0" w:space="0" w:color="auto"/>
                    <w:left w:val="none" w:sz="0" w:space="0" w:color="auto"/>
                    <w:bottom w:val="none" w:sz="0" w:space="0" w:color="auto"/>
                    <w:right w:val="none" w:sz="0" w:space="0" w:color="auto"/>
                  </w:divBdr>
                </w:div>
              </w:divsChild>
            </w:div>
            <w:div w:id="1732655406">
              <w:marLeft w:val="0"/>
              <w:marRight w:val="0"/>
              <w:marTop w:val="0"/>
              <w:marBottom w:val="0"/>
              <w:divBdr>
                <w:top w:val="none" w:sz="0" w:space="0" w:color="auto"/>
                <w:left w:val="none" w:sz="0" w:space="0" w:color="auto"/>
                <w:bottom w:val="none" w:sz="0" w:space="0" w:color="auto"/>
                <w:right w:val="none" w:sz="0" w:space="0" w:color="auto"/>
              </w:divBdr>
              <w:divsChild>
                <w:div w:id="5138142">
                  <w:marLeft w:val="0"/>
                  <w:marRight w:val="0"/>
                  <w:marTop w:val="0"/>
                  <w:marBottom w:val="0"/>
                  <w:divBdr>
                    <w:top w:val="none" w:sz="0" w:space="0" w:color="auto"/>
                    <w:left w:val="none" w:sz="0" w:space="0" w:color="auto"/>
                    <w:bottom w:val="none" w:sz="0" w:space="0" w:color="auto"/>
                    <w:right w:val="none" w:sz="0" w:space="0" w:color="auto"/>
                  </w:divBdr>
                </w:div>
              </w:divsChild>
            </w:div>
            <w:div w:id="1732849537">
              <w:marLeft w:val="0"/>
              <w:marRight w:val="0"/>
              <w:marTop w:val="0"/>
              <w:marBottom w:val="0"/>
              <w:divBdr>
                <w:top w:val="none" w:sz="0" w:space="0" w:color="auto"/>
                <w:left w:val="none" w:sz="0" w:space="0" w:color="auto"/>
                <w:bottom w:val="none" w:sz="0" w:space="0" w:color="auto"/>
                <w:right w:val="none" w:sz="0" w:space="0" w:color="auto"/>
              </w:divBdr>
              <w:divsChild>
                <w:div w:id="1877422753">
                  <w:marLeft w:val="0"/>
                  <w:marRight w:val="0"/>
                  <w:marTop w:val="0"/>
                  <w:marBottom w:val="0"/>
                  <w:divBdr>
                    <w:top w:val="none" w:sz="0" w:space="0" w:color="auto"/>
                    <w:left w:val="none" w:sz="0" w:space="0" w:color="auto"/>
                    <w:bottom w:val="none" w:sz="0" w:space="0" w:color="auto"/>
                    <w:right w:val="none" w:sz="0" w:space="0" w:color="auto"/>
                  </w:divBdr>
                </w:div>
              </w:divsChild>
            </w:div>
            <w:div w:id="1733771236">
              <w:marLeft w:val="0"/>
              <w:marRight w:val="0"/>
              <w:marTop w:val="0"/>
              <w:marBottom w:val="0"/>
              <w:divBdr>
                <w:top w:val="none" w:sz="0" w:space="0" w:color="auto"/>
                <w:left w:val="none" w:sz="0" w:space="0" w:color="auto"/>
                <w:bottom w:val="none" w:sz="0" w:space="0" w:color="auto"/>
                <w:right w:val="none" w:sz="0" w:space="0" w:color="auto"/>
              </w:divBdr>
              <w:divsChild>
                <w:div w:id="109056007">
                  <w:marLeft w:val="0"/>
                  <w:marRight w:val="0"/>
                  <w:marTop w:val="0"/>
                  <w:marBottom w:val="0"/>
                  <w:divBdr>
                    <w:top w:val="none" w:sz="0" w:space="0" w:color="auto"/>
                    <w:left w:val="none" w:sz="0" w:space="0" w:color="auto"/>
                    <w:bottom w:val="none" w:sz="0" w:space="0" w:color="auto"/>
                    <w:right w:val="none" w:sz="0" w:space="0" w:color="auto"/>
                  </w:divBdr>
                </w:div>
              </w:divsChild>
            </w:div>
            <w:div w:id="1734112805">
              <w:marLeft w:val="0"/>
              <w:marRight w:val="0"/>
              <w:marTop w:val="0"/>
              <w:marBottom w:val="0"/>
              <w:divBdr>
                <w:top w:val="none" w:sz="0" w:space="0" w:color="auto"/>
                <w:left w:val="none" w:sz="0" w:space="0" w:color="auto"/>
                <w:bottom w:val="none" w:sz="0" w:space="0" w:color="auto"/>
                <w:right w:val="none" w:sz="0" w:space="0" w:color="auto"/>
              </w:divBdr>
              <w:divsChild>
                <w:div w:id="711930336">
                  <w:marLeft w:val="0"/>
                  <w:marRight w:val="0"/>
                  <w:marTop w:val="0"/>
                  <w:marBottom w:val="0"/>
                  <w:divBdr>
                    <w:top w:val="none" w:sz="0" w:space="0" w:color="auto"/>
                    <w:left w:val="none" w:sz="0" w:space="0" w:color="auto"/>
                    <w:bottom w:val="none" w:sz="0" w:space="0" w:color="auto"/>
                    <w:right w:val="none" w:sz="0" w:space="0" w:color="auto"/>
                  </w:divBdr>
                </w:div>
              </w:divsChild>
            </w:div>
            <w:div w:id="1735659909">
              <w:marLeft w:val="0"/>
              <w:marRight w:val="0"/>
              <w:marTop w:val="0"/>
              <w:marBottom w:val="0"/>
              <w:divBdr>
                <w:top w:val="none" w:sz="0" w:space="0" w:color="auto"/>
                <w:left w:val="none" w:sz="0" w:space="0" w:color="auto"/>
                <w:bottom w:val="none" w:sz="0" w:space="0" w:color="auto"/>
                <w:right w:val="none" w:sz="0" w:space="0" w:color="auto"/>
              </w:divBdr>
              <w:divsChild>
                <w:div w:id="1205753431">
                  <w:marLeft w:val="0"/>
                  <w:marRight w:val="0"/>
                  <w:marTop w:val="0"/>
                  <w:marBottom w:val="0"/>
                  <w:divBdr>
                    <w:top w:val="none" w:sz="0" w:space="0" w:color="auto"/>
                    <w:left w:val="none" w:sz="0" w:space="0" w:color="auto"/>
                    <w:bottom w:val="none" w:sz="0" w:space="0" w:color="auto"/>
                    <w:right w:val="none" w:sz="0" w:space="0" w:color="auto"/>
                  </w:divBdr>
                </w:div>
              </w:divsChild>
            </w:div>
            <w:div w:id="1736397334">
              <w:marLeft w:val="0"/>
              <w:marRight w:val="0"/>
              <w:marTop w:val="0"/>
              <w:marBottom w:val="0"/>
              <w:divBdr>
                <w:top w:val="none" w:sz="0" w:space="0" w:color="auto"/>
                <w:left w:val="none" w:sz="0" w:space="0" w:color="auto"/>
                <w:bottom w:val="none" w:sz="0" w:space="0" w:color="auto"/>
                <w:right w:val="none" w:sz="0" w:space="0" w:color="auto"/>
              </w:divBdr>
              <w:divsChild>
                <w:div w:id="1790902875">
                  <w:marLeft w:val="0"/>
                  <w:marRight w:val="0"/>
                  <w:marTop w:val="0"/>
                  <w:marBottom w:val="0"/>
                  <w:divBdr>
                    <w:top w:val="none" w:sz="0" w:space="0" w:color="auto"/>
                    <w:left w:val="none" w:sz="0" w:space="0" w:color="auto"/>
                    <w:bottom w:val="none" w:sz="0" w:space="0" w:color="auto"/>
                    <w:right w:val="none" w:sz="0" w:space="0" w:color="auto"/>
                  </w:divBdr>
                </w:div>
              </w:divsChild>
            </w:div>
            <w:div w:id="1736933103">
              <w:marLeft w:val="0"/>
              <w:marRight w:val="0"/>
              <w:marTop w:val="0"/>
              <w:marBottom w:val="0"/>
              <w:divBdr>
                <w:top w:val="none" w:sz="0" w:space="0" w:color="auto"/>
                <w:left w:val="none" w:sz="0" w:space="0" w:color="auto"/>
                <w:bottom w:val="none" w:sz="0" w:space="0" w:color="auto"/>
                <w:right w:val="none" w:sz="0" w:space="0" w:color="auto"/>
              </w:divBdr>
              <w:divsChild>
                <w:div w:id="233585334">
                  <w:marLeft w:val="0"/>
                  <w:marRight w:val="0"/>
                  <w:marTop w:val="0"/>
                  <w:marBottom w:val="0"/>
                  <w:divBdr>
                    <w:top w:val="none" w:sz="0" w:space="0" w:color="auto"/>
                    <w:left w:val="none" w:sz="0" w:space="0" w:color="auto"/>
                    <w:bottom w:val="none" w:sz="0" w:space="0" w:color="auto"/>
                    <w:right w:val="none" w:sz="0" w:space="0" w:color="auto"/>
                  </w:divBdr>
                </w:div>
              </w:divsChild>
            </w:div>
            <w:div w:id="1737241824">
              <w:marLeft w:val="0"/>
              <w:marRight w:val="0"/>
              <w:marTop w:val="0"/>
              <w:marBottom w:val="0"/>
              <w:divBdr>
                <w:top w:val="none" w:sz="0" w:space="0" w:color="auto"/>
                <w:left w:val="none" w:sz="0" w:space="0" w:color="auto"/>
                <w:bottom w:val="none" w:sz="0" w:space="0" w:color="auto"/>
                <w:right w:val="none" w:sz="0" w:space="0" w:color="auto"/>
              </w:divBdr>
              <w:divsChild>
                <w:div w:id="1328899722">
                  <w:marLeft w:val="0"/>
                  <w:marRight w:val="0"/>
                  <w:marTop w:val="0"/>
                  <w:marBottom w:val="0"/>
                  <w:divBdr>
                    <w:top w:val="none" w:sz="0" w:space="0" w:color="auto"/>
                    <w:left w:val="none" w:sz="0" w:space="0" w:color="auto"/>
                    <w:bottom w:val="none" w:sz="0" w:space="0" w:color="auto"/>
                    <w:right w:val="none" w:sz="0" w:space="0" w:color="auto"/>
                  </w:divBdr>
                </w:div>
              </w:divsChild>
            </w:div>
            <w:div w:id="1738550239">
              <w:marLeft w:val="0"/>
              <w:marRight w:val="0"/>
              <w:marTop w:val="0"/>
              <w:marBottom w:val="0"/>
              <w:divBdr>
                <w:top w:val="none" w:sz="0" w:space="0" w:color="auto"/>
                <w:left w:val="none" w:sz="0" w:space="0" w:color="auto"/>
                <w:bottom w:val="none" w:sz="0" w:space="0" w:color="auto"/>
                <w:right w:val="none" w:sz="0" w:space="0" w:color="auto"/>
              </w:divBdr>
              <w:divsChild>
                <w:div w:id="1680624014">
                  <w:marLeft w:val="0"/>
                  <w:marRight w:val="0"/>
                  <w:marTop w:val="0"/>
                  <w:marBottom w:val="0"/>
                  <w:divBdr>
                    <w:top w:val="none" w:sz="0" w:space="0" w:color="auto"/>
                    <w:left w:val="none" w:sz="0" w:space="0" w:color="auto"/>
                    <w:bottom w:val="none" w:sz="0" w:space="0" w:color="auto"/>
                    <w:right w:val="none" w:sz="0" w:space="0" w:color="auto"/>
                  </w:divBdr>
                </w:div>
              </w:divsChild>
            </w:div>
            <w:div w:id="1739861749">
              <w:marLeft w:val="0"/>
              <w:marRight w:val="0"/>
              <w:marTop w:val="0"/>
              <w:marBottom w:val="0"/>
              <w:divBdr>
                <w:top w:val="none" w:sz="0" w:space="0" w:color="auto"/>
                <w:left w:val="none" w:sz="0" w:space="0" w:color="auto"/>
                <w:bottom w:val="none" w:sz="0" w:space="0" w:color="auto"/>
                <w:right w:val="none" w:sz="0" w:space="0" w:color="auto"/>
              </w:divBdr>
              <w:divsChild>
                <w:div w:id="921179764">
                  <w:marLeft w:val="0"/>
                  <w:marRight w:val="0"/>
                  <w:marTop w:val="0"/>
                  <w:marBottom w:val="0"/>
                  <w:divBdr>
                    <w:top w:val="none" w:sz="0" w:space="0" w:color="auto"/>
                    <w:left w:val="none" w:sz="0" w:space="0" w:color="auto"/>
                    <w:bottom w:val="none" w:sz="0" w:space="0" w:color="auto"/>
                    <w:right w:val="none" w:sz="0" w:space="0" w:color="auto"/>
                  </w:divBdr>
                </w:div>
              </w:divsChild>
            </w:div>
            <w:div w:id="1743529769">
              <w:marLeft w:val="0"/>
              <w:marRight w:val="0"/>
              <w:marTop w:val="0"/>
              <w:marBottom w:val="0"/>
              <w:divBdr>
                <w:top w:val="none" w:sz="0" w:space="0" w:color="auto"/>
                <w:left w:val="none" w:sz="0" w:space="0" w:color="auto"/>
                <w:bottom w:val="none" w:sz="0" w:space="0" w:color="auto"/>
                <w:right w:val="none" w:sz="0" w:space="0" w:color="auto"/>
              </w:divBdr>
              <w:divsChild>
                <w:div w:id="1401367494">
                  <w:marLeft w:val="0"/>
                  <w:marRight w:val="0"/>
                  <w:marTop w:val="0"/>
                  <w:marBottom w:val="0"/>
                  <w:divBdr>
                    <w:top w:val="none" w:sz="0" w:space="0" w:color="auto"/>
                    <w:left w:val="none" w:sz="0" w:space="0" w:color="auto"/>
                    <w:bottom w:val="none" w:sz="0" w:space="0" w:color="auto"/>
                    <w:right w:val="none" w:sz="0" w:space="0" w:color="auto"/>
                  </w:divBdr>
                </w:div>
              </w:divsChild>
            </w:div>
            <w:div w:id="1743722139">
              <w:marLeft w:val="0"/>
              <w:marRight w:val="0"/>
              <w:marTop w:val="300"/>
              <w:marBottom w:val="300"/>
              <w:divBdr>
                <w:top w:val="none" w:sz="0" w:space="0" w:color="auto"/>
                <w:left w:val="none" w:sz="0" w:space="0" w:color="auto"/>
                <w:bottom w:val="none" w:sz="0" w:space="0" w:color="auto"/>
                <w:right w:val="none" w:sz="0" w:space="0" w:color="auto"/>
              </w:divBdr>
            </w:div>
            <w:div w:id="1744184383">
              <w:marLeft w:val="0"/>
              <w:marRight w:val="0"/>
              <w:marTop w:val="0"/>
              <w:marBottom w:val="0"/>
              <w:divBdr>
                <w:top w:val="none" w:sz="0" w:space="0" w:color="auto"/>
                <w:left w:val="none" w:sz="0" w:space="0" w:color="auto"/>
                <w:bottom w:val="none" w:sz="0" w:space="0" w:color="auto"/>
                <w:right w:val="none" w:sz="0" w:space="0" w:color="auto"/>
              </w:divBdr>
              <w:divsChild>
                <w:div w:id="91249556">
                  <w:marLeft w:val="0"/>
                  <w:marRight w:val="0"/>
                  <w:marTop w:val="0"/>
                  <w:marBottom w:val="0"/>
                  <w:divBdr>
                    <w:top w:val="none" w:sz="0" w:space="0" w:color="auto"/>
                    <w:left w:val="none" w:sz="0" w:space="0" w:color="auto"/>
                    <w:bottom w:val="none" w:sz="0" w:space="0" w:color="auto"/>
                    <w:right w:val="none" w:sz="0" w:space="0" w:color="auto"/>
                  </w:divBdr>
                </w:div>
              </w:divsChild>
            </w:div>
            <w:div w:id="1744372992">
              <w:marLeft w:val="0"/>
              <w:marRight w:val="0"/>
              <w:marTop w:val="0"/>
              <w:marBottom w:val="0"/>
              <w:divBdr>
                <w:top w:val="none" w:sz="0" w:space="0" w:color="auto"/>
                <w:left w:val="none" w:sz="0" w:space="0" w:color="auto"/>
                <w:bottom w:val="none" w:sz="0" w:space="0" w:color="auto"/>
                <w:right w:val="none" w:sz="0" w:space="0" w:color="auto"/>
              </w:divBdr>
              <w:divsChild>
                <w:div w:id="609702593">
                  <w:marLeft w:val="0"/>
                  <w:marRight w:val="0"/>
                  <w:marTop w:val="0"/>
                  <w:marBottom w:val="0"/>
                  <w:divBdr>
                    <w:top w:val="none" w:sz="0" w:space="0" w:color="auto"/>
                    <w:left w:val="none" w:sz="0" w:space="0" w:color="auto"/>
                    <w:bottom w:val="none" w:sz="0" w:space="0" w:color="auto"/>
                    <w:right w:val="none" w:sz="0" w:space="0" w:color="auto"/>
                  </w:divBdr>
                </w:div>
              </w:divsChild>
            </w:div>
            <w:div w:id="1744834212">
              <w:marLeft w:val="0"/>
              <w:marRight w:val="0"/>
              <w:marTop w:val="0"/>
              <w:marBottom w:val="0"/>
              <w:divBdr>
                <w:top w:val="none" w:sz="0" w:space="0" w:color="auto"/>
                <w:left w:val="none" w:sz="0" w:space="0" w:color="auto"/>
                <w:bottom w:val="none" w:sz="0" w:space="0" w:color="auto"/>
                <w:right w:val="none" w:sz="0" w:space="0" w:color="auto"/>
              </w:divBdr>
              <w:divsChild>
                <w:div w:id="2007706246">
                  <w:marLeft w:val="0"/>
                  <w:marRight w:val="0"/>
                  <w:marTop w:val="0"/>
                  <w:marBottom w:val="0"/>
                  <w:divBdr>
                    <w:top w:val="none" w:sz="0" w:space="0" w:color="auto"/>
                    <w:left w:val="none" w:sz="0" w:space="0" w:color="auto"/>
                    <w:bottom w:val="none" w:sz="0" w:space="0" w:color="auto"/>
                    <w:right w:val="none" w:sz="0" w:space="0" w:color="auto"/>
                  </w:divBdr>
                </w:div>
              </w:divsChild>
            </w:div>
            <w:div w:id="1746104393">
              <w:marLeft w:val="0"/>
              <w:marRight w:val="0"/>
              <w:marTop w:val="0"/>
              <w:marBottom w:val="0"/>
              <w:divBdr>
                <w:top w:val="none" w:sz="0" w:space="0" w:color="auto"/>
                <w:left w:val="none" w:sz="0" w:space="0" w:color="auto"/>
                <w:bottom w:val="none" w:sz="0" w:space="0" w:color="auto"/>
                <w:right w:val="none" w:sz="0" w:space="0" w:color="auto"/>
              </w:divBdr>
              <w:divsChild>
                <w:div w:id="1596132943">
                  <w:marLeft w:val="0"/>
                  <w:marRight w:val="0"/>
                  <w:marTop w:val="0"/>
                  <w:marBottom w:val="0"/>
                  <w:divBdr>
                    <w:top w:val="none" w:sz="0" w:space="0" w:color="auto"/>
                    <w:left w:val="none" w:sz="0" w:space="0" w:color="auto"/>
                    <w:bottom w:val="none" w:sz="0" w:space="0" w:color="auto"/>
                    <w:right w:val="none" w:sz="0" w:space="0" w:color="auto"/>
                  </w:divBdr>
                </w:div>
              </w:divsChild>
            </w:div>
            <w:div w:id="1749575558">
              <w:marLeft w:val="0"/>
              <w:marRight w:val="0"/>
              <w:marTop w:val="0"/>
              <w:marBottom w:val="0"/>
              <w:divBdr>
                <w:top w:val="none" w:sz="0" w:space="0" w:color="auto"/>
                <w:left w:val="none" w:sz="0" w:space="0" w:color="auto"/>
                <w:bottom w:val="none" w:sz="0" w:space="0" w:color="auto"/>
                <w:right w:val="none" w:sz="0" w:space="0" w:color="auto"/>
              </w:divBdr>
              <w:divsChild>
                <w:div w:id="1909530756">
                  <w:marLeft w:val="0"/>
                  <w:marRight w:val="0"/>
                  <w:marTop w:val="0"/>
                  <w:marBottom w:val="0"/>
                  <w:divBdr>
                    <w:top w:val="none" w:sz="0" w:space="0" w:color="auto"/>
                    <w:left w:val="none" w:sz="0" w:space="0" w:color="auto"/>
                    <w:bottom w:val="none" w:sz="0" w:space="0" w:color="auto"/>
                    <w:right w:val="none" w:sz="0" w:space="0" w:color="auto"/>
                  </w:divBdr>
                </w:div>
              </w:divsChild>
            </w:div>
            <w:div w:id="1749769769">
              <w:marLeft w:val="0"/>
              <w:marRight w:val="0"/>
              <w:marTop w:val="0"/>
              <w:marBottom w:val="0"/>
              <w:divBdr>
                <w:top w:val="none" w:sz="0" w:space="0" w:color="auto"/>
                <w:left w:val="none" w:sz="0" w:space="0" w:color="auto"/>
                <w:bottom w:val="none" w:sz="0" w:space="0" w:color="auto"/>
                <w:right w:val="none" w:sz="0" w:space="0" w:color="auto"/>
              </w:divBdr>
              <w:divsChild>
                <w:div w:id="76875812">
                  <w:marLeft w:val="0"/>
                  <w:marRight w:val="0"/>
                  <w:marTop w:val="0"/>
                  <w:marBottom w:val="0"/>
                  <w:divBdr>
                    <w:top w:val="none" w:sz="0" w:space="0" w:color="auto"/>
                    <w:left w:val="none" w:sz="0" w:space="0" w:color="auto"/>
                    <w:bottom w:val="none" w:sz="0" w:space="0" w:color="auto"/>
                    <w:right w:val="none" w:sz="0" w:space="0" w:color="auto"/>
                  </w:divBdr>
                </w:div>
              </w:divsChild>
            </w:div>
            <w:div w:id="1749840714">
              <w:marLeft w:val="0"/>
              <w:marRight w:val="0"/>
              <w:marTop w:val="0"/>
              <w:marBottom w:val="0"/>
              <w:divBdr>
                <w:top w:val="none" w:sz="0" w:space="0" w:color="auto"/>
                <w:left w:val="none" w:sz="0" w:space="0" w:color="auto"/>
                <w:bottom w:val="none" w:sz="0" w:space="0" w:color="auto"/>
                <w:right w:val="none" w:sz="0" w:space="0" w:color="auto"/>
              </w:divBdr>
              <w:divsChild>
                <w:div w:id="877931486">
                  <w:marLeft w:val="0"/>
                  <w:marRight w:val="0"/>
                  <w:marTop w:val="0"/>
                  <w:marBottom w:val="0"/>
                  <w:divBdr>
                    <w:top w:val="none" w:sz="0" w:space="0" w:color="auto"/>
                    <w:left w:val="none" w:sz="0" w:space="0" w:color="auto"/>
                    <w:bottom w:val="none" w:sz="0" w:space="0" w:color="auto"/>
                    <w:right w:val="none" w:sz="0" w:space="0" w:color="auto"/>
                  </w:divBdr>
                </w:div>
              </w:divsChild>
            </w:div>
            <w:div w:id="1751271979">
              <w:marLeft w:val="0"/>
              <w:marRight w:val="0"/>
              <w:marTop w:val="0"/>
              <w:marBottom w:val="0"/>
              <w:divBdr>
                <w:top w:val="none" w:sz="0" w:space="0" w:color="auto"/>
                <w:left w:val="none" w:sz="0" w:space="0" w:color="auto"/>
                <w:bottom w:val="none" w:sz="0" w:space="0" w:color="auto"/>
                <w:right w:val="none" w:sz="0" w:space="0" w:color="auto"/>
              </w:divBdr>
              <w:divsChild>
                <w:div w:id="797457959">
                  <w:marLeft w:val="0"/>
                  <w:marRight w:val="0"/>
                  <w:marTop w:val="0"/>
                  <w:marBottom w:val="0"/>
                  <w:divBdr>
                    <w:top w:val="none" w:sz="0" w:space="0" w:color="auto"/>
                    <w:left w:val="none" w:sz="0" w:space="0" w:color="auto"/>
                    <w:bottom w:val="none" w:sz="0" w:space="0" w:color="auto"/>
                    <w:right w:val="none" w:sz="0" w:space="0" w:color="auto"/>
                  </w:divBdr>
                </w:div>
              </w:divsChild>
            </w:div>
            <w:div w:id="1751659335">
              <w:marLeft w:val="0"/>
              <w:marRight w:val="0"/>
              <w:marTop w:val="0"/>
              <w:marBottom w:val="0"/>
              <w:divBdr>
                <w:top w:val="none" w:sz="0" w:space="0" w:color="auto"/>
                <w:left w:val="none" w:sz="0" w:space="0" w:color="auto"/>
                <w:bottom w:val="none" w:sz="0" w:space="0" w:color="auto"/>
                <w:right w:val="none" w:sz="0" w:space="0" w:color="auto"/>
              </w:divBdr>
              <w:divsChild>
                <w:div w:id="1083455685">
                  <w:marLeft w:val="0"/>
                  <w:marRight w:val="0"/>
                  <w:marTop w:val="0"/>
                  <w:marBottom w:val="0"/>
                  <w:divBdr>
                    <w:top w:val="none" w:sz="0" w:space="0" w:color="auto"/>
                    <w:left w:val="none" w:sz="0" w:space="0" w:color="auto"/>
                    <w:bottom w:val="none" w:sz="0" w:space="0" w:color="auto"/>
                    <w:right w:val="none" w:sz="0" w:space="0" w:color="auto"/>
                  </w:divBdr>
                </w:div>
              </w:divsChild>
            </w:div>
            <w:div w:id="1753311476">
              <w:marLeft w:val="0"/>
              <w:marRight w:val="0"/>
              <w:marTop w:val="0"/>
              <w:marBottom w:val="0"/>
              <w:divBdr>
                <w:top w:val="none" w:sz="0" w:space="0" w:color="auto"/>
                <w:left w:val="none" w:sz="0" w:space="0" w:color="auto"/>
                <w:bottom w:val="none" w:sz="0" w:space="0" w:color="auto"/>
                <w:right w:val="none" w:sz="0" w:space="0" w:color="auto"/>
              </w:divBdr>
              <w:divsChild>
                <w:div w:id="73598792">
                  <w:marLeft w:val="0"/>
                  <w:marRight w:val="0"/>
                  <w:marTop w:val="0"/>
                  <w:marBottom w:val="0"/>
                  <w:divBdr>
                    <w:top w:val="none" w:sz="0" w:space="0" w:color="auto"/>
                    <w:left w:val="none" w:sz="0" w:space="0" w:color="auto"/>
                    <w:bottom w:val="none" w:sz="0" w:space="0" w:color="auto"/>
                    <w:right w:val="none" w:sz="0" w:space="0" w:color="auto"/>
                  </w:divBdr>
                </w:div>
              </w:divsChild>
            </w:div>
            <w:div w:id="1753382864">
              <w:marLeft w:val="0"/>
              <w:marRight w:val="0"/>
              <w:marTop w:val="0"/>
              <w:marBottom w:val="0"/>
              <w:divBdr>
                <w:top w:val="none" w:sz="0" w:space="0" w:color="auto"/>
                <w:left w:val="none" w:sz="0" w:space="0" w:color="auto"/>
                <w:bottom w:val="none" w:sz="0" w:space="0" w:color="auto"/>
                <w:right w:val="none" w:sz="0" w:space="0" w:color="auto"/>
              </w:divBdr>
              <w:divsChild>
                <w:div w:id="1518352454">
                  <w:marLeft w:val="0"/>
                  <w:marRight w:val="0"/>
                  <w:marTop w:val="0"/>
                  <w:marBottom w:val="0"/>
                  <w:divBdr>
                    <w:top w:val="none" w:sz="0" w:space="0" w:color="auto"/>
                    <w:left w:val="none" w:sz="0" w:space="0" w:color="auto"/>
                    <w:bottom w:val="none" w:sz="0" w:space="0" w:color="auto"/>
                    <w:right w:val="none" w:sz="0" w:space="0" w:color="auto"/>
                  </w:divBdr>
                </w:div>
              </w:divsChild>
            </w:div>
            <w:div w:id="1754737151">
              <w:marLeft w:val="0"/>
              <w:marRight w:val="0"/>
              <w:marTop w:val="0"/>
              <w:marBottom w:val="0"/>
              <w:divBdr>
                <w:top w:val="none" w:sz="0" w:space="0" w:color="auto"/>
                <w:left w:val="none" w:sz="0" w:space="0" w:color="auto"/>
                <w:bottom w:val="none" w:sz="0" w:space="0" w:color="auto"/>
                <w:right w:val="none" w:sz="0" w:space="0" w:color="auto"/>
              </w:divBdr>
              <w:divsChild>
                <w:div w:id="495654085">
                  <w:marLeft w:val="0"/>
                  <w:marRight w:val="0"/>
                  <w:marTop w:val="0"/>
                  <w:marBottom w:val="0"/>
                  <w:divBdr>
                    <w:top w:val="none" w:sz="0" w:space="0" w:color="auto"/>
                    <w:left w:val="none" w:sz="0" w:space="0" w:color="auto"/>
                    <w:bottom w:val="none" w:sz="0" w:space="0" w:color="auto"/>
                    <w:right w:val="none" w:sz="0" w:space="0" w:color="auto"/>
                  </w:divBdr>
                </w:div>
              </w:divsChild>
            </w:div>
            <w:div w:id="1754740828">
              <w:marLeft w:val="0"/>
              <w:marRight w:val="0"/>
              <w:marTop w:val="300"/>
              <w:marBottom w:val="300"/>
              <w:divBdr>
                <w:top w:val="none" w:sz="0" w:space="0" w:color="auto"/>
                <w:left w:val="none" w:sz="0" w:space="0" w:color="auto"/>
                <w:bottom w:val="none" w:sz="0" w:space="0" w:color="auto"/>
                <w:right w:val="none" w:sz="0" w:space="0" w:color="auto"/>
              </w:divBdr>
            </w:div>
            <w:div w:id="1759055645">
              <w:marLeft w:val="0"/>
              <w:marRight w:val="0"/>
              <w:marTop w:val="0"/>
              <w:marBottom w:val="0"/>
              <w:divBdr>
                <w:top w:val="none" w:sz="0" w:space="0" w:color="auto"/>
                <w:left w:val="none" w:sz="0" w:space="0" w:color="auto"/>
                <w:bottom w:val="none" w:sz="0" w:space="0" w:color="auto"/>
                <w:right w:val="none" w:sz="0" w:space="0" w:color="auto"/>
              </w:divBdr>
              <w:divsChild>
                <w:div w:id="490366539">
                  <w:marLeft w:val="0"/>
                  <w:marRight w:val="0"/>
                  <w:marTop w:val="0"/>
                  <w:marBottom w:val="0"/>
                  <w:divBdr>
                    <w:top w:val="none" w:sz="0" w:space="0" w:color="auto"/>
                    <w:left w:val="none" w:sz="0" w:space="0" w:color="auto"/>
                    <w:bottom w:val="none" w:sz="0" w:space="0" w:color="auto"/>
                    <w:right w:val="none" w:sz="0" w:space="0" w:color="auto"/>
                  </w:divBdr>
                </w:div>
              </w:divsChild>
            </w:div>
            <w:div w:id="1759131080">
              <w:marLeft w:val="0"/>
              <w:marRight w:val="0"/>
              <w:marTop w:val="0"/>
              <w:marBottom w:val="0"/>
              <w:divBdr>
                <w:top w:val="none" w:sz="0" w:space="0" w:color="auto"/>
                <w:left w:val="none" w:sz="0" w:space="0" w:color="auto"/>
                <w:bottom w:val="none" w:sz="0" w:space="0" w:color="auto"/>
                <w:right w:val="none" w:sz="0" w:space="0" w:color="auto"/>
              </w:divBdr>
              <w:divsChild>
                <w:div w:id="346949101">
                  <w:marLeft w:val="0"/>
                  <w:marRight w:val="0"/>
                  <w:marTop w:val="0"/>
                  <w:marBottom w:val="0"/>
                  <w:divBdr>
                    <w:top w:val="none" w:sz="0" w:space="0" w:color="auto"/>
                    <w:left w:val="none" w:sz="0" w:space="0" w:color="auto"/>
                    <w:bottom w:val="none" w:sz="0" w:space="0" w:color="auto"/>
                    <w:right w:val="none" w:sz="0" w:space="0" w:color="auto"/>
                  </w:divBdr>
                </w:div>
              </w:divsChild>
            </w:div>
            <w:div w:id="1759324911">
              <w:marLeft w:val="0"/>
              <w:marRight w:val="0"/>
              <w:marTop w:val="0"/>
              <w:marBottom w:val="0"/>
              <w:divBdr>
                <w:top w:val="none" w:sz="0" w:space="0" w:color="auto"/>
                <w:left w:val="none" w:sz="0" w:space="0" w:color="auto"/>
                <w:bottom w:val="none" w:sz="0" w:space="0" w:color="auto"/>
                <w:right w:val="none" w:sz="0" w:space="0" w:color="auto"/>
              </w:divBdr>
              <w:divsChild>
                <w:div w:id="1540361787">
                  <w:marLeft w:val="0"/>
                  <w:marRight w:val="0"/>
                  <w:marTop w:val="0"/>
                  <w:marBottom w:val="0"/>
                  <w:divBdr>
                    <w:top w:val="none" w:sz="0" w:space="0" w:color="auto"/>
                    <w:left w:val="none" w:sz="0" w:space="0" w:color="auto"/>
                    <w:bottom w:val="none" w:sz="0" w:space="0" w:color="auto"/>
                    <w:right w:val="none" w:sz="0" w:space="0" w:color="auto"/>
                  </w:divBdr>
                </w:div>
              </w:divsChild>
            </w:div>
            <w:div w:id="1760249570">
              <w:marLeft w:val="0"/>
              <w:marRight w:val="0"/>
              <w:marTop w:val="0"/>
              <w:marBottom w:val="0"/>
              <w:divBdr>
                <w:top w:val="none" w:sz="0" w:space="0" w:color="auto"/>
                <w:left w:val="none" w:sz="0" w:space="0" w:color="auto"/>
                <w:bottom w:val="none" w:sz="0" w:space="0" w:color="auto"/>
                <w:right w:val="none" w:sz="0" w:space="0" w:color="auto"/>
              </w:divBdr>
              <w:divsChild>
                <w:div w:id="2001305268">
                  <w:marLeft w:val="0"/>
                  <w:marRight w:val="0"/>
                  <w:marTop w:val="0"/>
                  <w:marBottom w:val="0"/>
                  <w:divBdr>
                    <w:top w:val="none" w:sz="0" w:space="0" w:color="auto"/>
                    <w:left w:val="none" w:sz="0" w:space="0" w:color="auto"/>
                    <w:bottom w:val="none" w:sz="0" w:space="0" w:color="auto"/>
                    <w:right w:val="none" w:sz="0" w:space="0" w:color="auto"/>
                  </w:divBdr>
                </w:div>
              </w:divsChild>
            </w:div>
            <w:div w:id="1760250706">
              <w:marLeft w:val="0"/>
              <w:marRight w:val="0"/>
              <w:marTop w:val="0"/>
              <w:marBottom w:val="0"/>
              <w:divBdr>
                <w:top w:val="none" w:sz="0" w:space="0" w:color="auto"/>
                <w:left w:val="none" w:sz="0" w:space="0" w:color="auto"/>
                <w:bottom w:val="none" w:sz="0" w:space="0" w:color="auto"/>
                <w:right w:val="none" w:sz="0" w:space="0" w:color="auto"/>
              </w:divBdr>
              <w:divsChild>
                <w:div w:id="1585992362">
                  <w:marLeft w:val="0"/>
                  <w:marRight w:val="0"/>
                  <w:marTop w:val="0"/>
                  <w:marBottom w:val="0"/>
                  <w:divBdr>
                    <w:top w:val="none" w:sz="0" w:space="0" w:color="auto"/>
                    <w:left w:val="none" w:sz="0" w:space="0" w:color="auto"/>
                    <w:bottom w:val="none" w:sz="0" w:space="0" w:color="auto"/>
                    <w:right w:val="none" w:sz="0" w:space="0" w:color="auto"/>
                  </w:divBdr>
                </w:div>
              </w:divsChild>
            </w:div>
            <w:div w:id="1760445631">
              <w:marLeft w:val="0"/>
              <w:marRight w:val="0"/>
              <w:marTop w:val="0"/>
              <w:marBottom w:val="0"/>
              <w:divBdr>
                <w:top w:val="none" w:sz="0" w:space="0" w:color="auto"/>
                <w:left w:val="none" w:sz="0" w:space="0" w:color="auto"/>
                <w:bottom w:val="none" w:sz="0" w:space="0" w:color="auto"/>
                <w:right w:val="none" w:sz="0" w:space="0" w:color="auto"/>
              </w:divBdr>
              <w:divsChild>
                <w:div w:id="81729834">
                  <w:marLeft w:val="0"/>
                  <w:marRight w:val="0"/>
                  <w:marTop w:val="0"/>
                  <w:marBottom w:val="0"/>
                  <w:divBdr>
                    <w:top w:val="none" w:sz="0" w:space="0" w:color="auto"/>
                    <w:left w:val="none" w:sz="0" w:space="0" w:color="auto"/>
                    <w:bottom w:val="none" w:sz="0" w:space="0" w:color="auto"/>
                    <w:right w:val="none" w:sz="0" w:space="0" w:color="auto"/>
                  </w:divBdr>
                </w:div>
              </w:divsChild>
            </w:div>
            <w:div w:id="1762726216">
              <w:marLeft w:val="0"/>
              <w:marRight w:val="0"/>
              <w:marTop w:val="0"/>
              <w:marBottom w:val="0"/>
              <w:divBdr>
                <w:top w:val="none" w:sz="0" w:space="0" w:color="auto"/>
                <w:left w:val="none" w:sz="0" w:space="0" w:color="auto"/>
                <w:bottom w:val="none" w:sz="0" w:space="0" w:color="auto"/>
                <w:right w:val="none" w:sz="0" w:space="0" w:color="auto"/>
              </w:divBdr>
              <w:divsChild>
                <w:div w:id="1073696860">
                  <w:marLeft w:val="0"/>
                  <w:marRight w:val="0"/>
                  <w:marTop w:val="0"/>
                  <w:marBottom w:val="0"/>
                  <w:divBdr>
                    <w:top w:val="none" w:sz="0" w:space="0" w:color="auto"/>
                    <w:left w:val="none" w:sz="0" w:space="0" w:color="auto"/>
                    <w:bottom w:val="none" w:sz="0" w:space="0" w:color="auto"/>
                    <w:right w:val="none" w:sz="0" w:space="0" w:color="auto"/>
                  </w:divBdr>
                </w:div>
              </w:divsChild>
            </w:div>
            <w:div w:id="1764913991">
              <w:marLeft w:val="0"/>
              <w:marRight w:val="0"/>
              <w:marTop w:val="0"/>
              <w:marBottom w:val="0"/>
              <w:divBdr>
                <w:top w:val="none" w:sz="0" w:space="0" w:color="auto"/>
                <w:left w:val="none" w:sz="0" w:space="0" w:color="auto"/>
                <w:bottom w:val="none" w:sz="0" w:space="0" w:color="auto"/>
                <w:right w:val="none" w:sz="0" w:space="0" w:color="auto"/>
              </w:divBdr>
              <w:divsChild>
                <w:div w:id="1177229440">
                  <w:marLeft w:val="0"/>
                  <w:marRight w:val="0"/>
                  <w:marTop w:val="0"/>
                  <w:marBottom w:val="0"/>
                  <w:divBdr>
                    <w:top w:val="none" w:sz="0" w:space="0" w:color="auto"/>
                    <w:left w:val="none" w:sz="0" w:space="0" w:color="auto"/>
                    <w:bottom w:val="none" w:sz="0" w:space="0" w:color="auto"/>
                    <w:right w:val="none" w:sz="0" w:space="0" w:color="auto"/>
                  </w:divBdr>
                </w:div>
              </w:divsChild>
            </w:div>
            <w:div w:id="1765148689">
              <w:marLeft w:val="0"/>
              <w:marRight w:val="0"/>
              <w:marTop w:val="0"/>
              <w:marBottom w:val="0"/>
              <w:divBdr>
                <w:top w:val="none" w:sz="0" w:space="0" w:color="auto"/>
                <w:left w:val="none" w:sz="0" w:space="0" w:color="auto"/>
                <w:bottom w:val="none" w:sz="0" w:space="0" w:color="auto"/>
                <w:right w:val="none" w:sz="0" w:space="0" w:color="auto"/>
              </w:divBdr>
              <w:divsChild>
                <w:div w:id="1119184869">
                  <w:marLeft w:val="0"/>
                  <w:marRight w:val="0"/>
                  <w:marTop w:val="0"/>
                  <w:marBottom w:val="0"/>
                  <w:divBdr>
                    <w:top w:val="none" w:sz="0" w:space="0" w:color="auto"/>
                    <w:left w:val="none" w:sz="0" w:space="0" w:color="auto"/>
                    <w:bottom w:val="none" w:sz="0" w:space="0" w:color="auto"/>
                    <w:right w:val="none" w:sz="0" w:space="0" w:color="auto"/>
                  </w:divBdr>
                </w:div>
              </w:divsChild>
            </w:div>
            <w:div w:id="1765149345">
              <w:marLeft w:val="0"/>
              <w:marRight w:val="0"/>
              <w:marTop w:val="300"/>
              <w:marBottom w:val="300"/>
              <w:divBdr>
                <w:top w:val="none" w:sz="0" w:space="0" w:color="auto"/>
                <w:left w:val="none" w:sz="0" w:space="0" w:color="auto"/>
                <w:bottom w:val="none" w:sz="0" w:space="0" w:color="auto"/>
                <w:right w:val="none" w:sz="0" w:space="0" w:color="auto"/>
              </w:divBdr>
            </w:div>
            <w:div w:id="1765372299">
              <w:marLeft w:val="0"/>
              <w:marRight w:val="0"/>
              <w:marTop w:val="0"/>
              <w:marBottom w:val="0"/>
              <w:divBdr>
                <w:top w:val="none" w:sz="0" w:space="0" w:color="auto"/>
                <w:left w:val="none" w:sz="0" w:space="0" w:color="auto"/>
                <w:bottom w:val="none" w:sz="0" w:space="0" w:color="auto"/>
                <w:right w:val="none" w:sz="0" w:space="0" w:color="auto"/>
              </w:divBdr>
              <w:divsChild>
                <w:div w:id="1882009349">
                  <w:marLeft w:val="0"/>
                  <w:marRight w:val="0"/>
                  <w:marTop w:val="0"/>
                  <w:marBottom w:val="0"/>
                  <w:divBdr>
                    <w:top w:val="none" w:sz="0" w:space="0" w:color="auto"/>
                    <w:left w:val="none" w:sz="0" w:space="0" w:color="auto"/>
                    <w:bottom w:val="none" w:sz="0" w:space="0" w:color="auto"/>
                    <w:right w:val="none" w:sz="0" w:space="0" w:color="auto"/>
                  </w:divBdr>
                </w:div>
              </w:divsChild>
            </w:div>
            <w:div w:id="1765373762">
              <w:marLeft w:val="0"/>
              <w:marRight w:val="0"/>
              <w:marTop w:val="0"/>
              <w:marBottom w:val="0"/>
              <w:divBdr>
                <w:top w:val="none" w:sz="0" w:space="0" w:color="auto"/>
                <w:left w:val="none" w:sz="0" w:space="0" w:color="auto"/>
                <w:bottom w:val="none" w:sz="0" w:space="0" w:color="auto"/>
                <w:right w:val="none" w:sz="0" w:space="0" w:color="auto"/>
              </w:divBdr>
              <w:divsChild>
                <w:div w:id="620040683">
                  <w:marLeft w:val="0"/>
                  <w:marRight w:val="0"/>
                  <w:marTop w:val="0"/>
                  <w:marBottom w:val="0"/>
                  <w:divBdr>
                    <w:top w:val="none" w:sz="0" w:space="0" w:color="auto"/>
                    <w:left w:val="none" w:sz="0" w:space="0" w:color="auto"/>
                    <w:bottom w:val="none" w:sz="0" w:space="0" w:color="auto"/>
                    <w:right w:val="none" w:sz="0" w:space="0" w:color="auto"/>
                  </w:divBdr>
                </w:div>
              </w:divsChild>
            </w:div>
            <w:div w:id="1765563970">
              <w:marLeft w:val="0"/>
              <w:marRight w:val="0"/>
              <w:marTop w:val="300"/>
              <w:marBottom w:val="300"/>
              <w:divBdr>
                <w:top w:val="none" w:sz="0" w:space="0" w:color="auto"/>
                <w:left w:val="none" w:sz="0" w:space="0" w:color="auto"/>
                <w:bottom w:val="none" w:sz="0" w:space="0" w:color="auto"/>
                <w:right w:val="none" w:sz="0" w:space="0" w:color="auto"/>
              </w:divBdr>
            </w:div>
            <w:div w:id="1765951532">
              <w:marLeft w:val="0"/>
              <w:marRight w:val="0"/>
              <w:marTop w:val="0"/>
              <w:marBottom w:val="0"/>
              <w:divBdr>
                <w:top w:val="none" w:sz="0" w:space="0" w:color="auto"/>
                <w:left w:val="none" w:sz="0" w:space="0" w:color="auto"/>
                <w:bottom w:val="none" w:sz="0" w:space="0" w:color="auto"/>
                <w:right w:val="none" w:sz="0" w:space="0" w:color="auto"/>
              </w:divBdr>
              <w:divsChild>
                <w:div w:id="1254900246">
                  <w:marLeft w:val="0"/>
                  <w:marRight w:val="0"/>
                  <w:marTop w:val="0"/>
                  <w:marBottom w:val="0"/>
                  <w:divBdr>
                    <w:top w:val="none" w:sz="0" w:space="0" w:color="auto"/>
                    <w:left w:val="none" w:sz="0" w:space="0" w:color="auto"/>
                    <w:bottom w:val="none" w:sz="0" w:space="0" w:color="auto"/>
                    <w:right w:val="none" w:sz="0" w:space="0" w:color="auto"/>
                  </w:divBdr>
                </w:div>
              </w:divsChild>
            </w:div>
            <w:div w:id="1766074403">
              <w:marLeft w:val="0"/>
              <w:marRight w:val="0"/>
              <w:marTop w:val="0"/>
              <w:marBottom w:val="0"/>
              <w:divBdr>
                <w:top w:val="none" w:sz="0" w:space="0" w:color="auto"/>
                <w:left w:val="none" w:sz="0" w:space="0" w:color="auto"/>
                <w:bottom w:val="none" w:sz="0" w:space="0" w:color="auto"/>
                <w:right w:val="none" w:sz="0" w:space="0" w:color="auto"/>
              </w:divBdr>
              <w:divsChild>
                <w:div w:id="828983761">
                  <w:marLeft w:val="0"/>
                  <w:marRight w:val="0"/>
                  <w:marTop w:val="0"/>
                  <w:marBottom w:val="0"/>
                  <w:divBdr>
                    <w:top w:val="none" w:sz="0" w:space="0" w:color="auto"/>
                    <w:left w:val="none" w:sz="0" w:space="0" w:color="auto"/>
                    <w:bottom w:val="none" w:sz="0" w:space="0" w:color="auto"/>
                    <w:right w:val="none" w:sz="0" w:space="0" w:color="auto"/>
                  </w:divBdr>
                </w:div>
              </w:divsChild>
            </w:div>
            <w:div w:id="1769346675">
              <w:marLeft w:val="0"/>
              <w:marRight w:val="0"/>
              <w:marTop w:val="0"/>
              <w:marBottom w:val="0"/>
              <w:divBdr>
                <w:top w:val="none" w:sz="0" w:space="0" w:color="auto"/>
                <w:left w:val="none" w:sz="0" w:space="0" w:color="auto"/>
                <w:bottom w:val="none" w:sz="0" w:space="0" w:color="auto"/>
                <w:right w:val="none" w:sz="0" w:space="0" w:color="auto"/>
              </w:divBdr>
              <w:divsChild>
                <w:div w:id="1293562009">
                  <w:marLeft w:val="0"/>
                  <w:marRight w:val="0"/>
                  <w:marTop w:val="0"/>
                  <w:marBottom w:val="0"/>
                  <w:divBdr>
                    <w:top w:val="none" w:sz="0" w:space="0" w:color="auto"/>
                    <w:left w:val="none" w:sz="0" w:space="0" w:color="auto"/>
                    <w:bottom w:val="none" w:sz="0" w:space="0" w:color="auto"/>
                    <w:right w:val="none" w:sz="0" w:space="0" w:color="auto"/>
                  </w:divBdr>
                </w:div>
              </w:divsChild>
            </w:div>
            <w:div w:id="1770661467">
              <w:marLeft w:val="0"/>
              <w:marRight w:val="0"/>
              <w:marTop w:val="0"/>
              <w:marBottom w:val="0"/>
              <w:divBdr>
                <w:top w:val="none" w:sz="0" w:space="0" w:color="auto"/>
                <w:left w:val="none" w:sz="0" w:space="0" w:color="auto"/>
                <w:bottom w:val="none" w:sz="0" w:space="0" w:color="auto"/>
                <w:right w:val="none" w:sz="0" w:space="0" w:color="auto"/>
              </w:divBdr>
              <w:divsChild>
                <w:div w:id="68426540">
                  <w:marLeft w:val="0"/>
                  <w:marRight w:val="0"/>
                  <w:marTop w:val="0"/>
                  <w:marBottom w:val="0"/>
                  <w:divBdr>
                    <w:top w:val="none" w:sz="0" w:space="0" w:color="auto"/>
                    <w:left w:val="none" w:sz="0" w:space="0" w:color="auto"/>
                    <w:bottom w:val="none" w:sz="0" w:space="0" w:color="auto"/>
                    <w:right w:val="none" w:sz="0" w:space="0" w:color="auto"/>
                  </w:divBdr>
                </w:div>
              </w:divsChild>
            </w:div>
            <w:div w:id="1771587570">
              <w:marLeft w:val="0"/>
              <w:marRight w:val="0"/>
              <w:marTop w:val="0"/>
              <w:marBottom w:val="0"/>
              <w:divBdr>
                <w:top w:val="none" w:sz="0" w:space="0" w:color="auto"/>
                <w:left w:val="none" w:sz="0" w:space="0" w:color="auto"/>
                <w:bottom w:val="none" w:sz="0" w:space="0" w:color="auto"/>
                <w:right w:val="none" w:sz="0" w:space="0" w:color="auto"/>
              </w:divBdr>
              <w:divsChild>
                <w:div w:id="1467580381">
                  <w:marLeft w:val="0"/>
                  <w:marRight w:val="0"/>
                  <w:marTop w:val="0"/>
                  <w:marBottom w:val="0"/>
                  <w:divBdr>
                    <w:top w:val="none" w:sz="0" w:space="0" w:color="auto"/>
                    <w:left w:val="none" w:sz="0" w:space="0" w:color="auto"/>
                    <w:bottom w:val="none" w:sz="0" w:space="0" w:color="auto"/>
                    <w:right w:val="none" w:sz="0" w:space="0" w:color="auto"/>
                  </w:divBdr>
                </w:div>
              </w:divsChild>
            </w:div>
            <w:div w:id="1772387312">
              <w:marLeft w:val="0"/>
              <w:marRight w:val="0"/>
              <w:marTop w:val="300"/>
              <w:marBottom w:val="300"/>
              <w:divBdr>
                <w:top w:val="none" w:sz="0" w:space="0" w:color="auto"/>
                <w:left w:val="none" w:sz="0" w:space="0" w:color="auto"/>
                <w:bottom w:val="none" w:sz="0" w:space="0" w:color="auto"/>
                <w:right w:val="none" w:sz="0" w:space="0" w:color="auto"/>
              </w:divBdr>
            </w:div>
            <w:div w:id="1773545309">
              <w:marLeft w:val="0"/>
              <w:marRight w:val="0"/>
              <w:marTop w:val="0"/>
              <w:marBottom w:val="0"/>
              <w:divBdr>
                <w:top w:val="none" w:sz="0" w:space="0" w:color="auto"/>
                <w:left w:val="none" w:sz="0" w:space="0" w:color="auto"/>
                <w:bottom w:val="none" w:sz="0" w:space="0" w:color="auto"/>
                <w:right w:val="none" w:sz="0" w:space="0" w:color="auto"/>
              </w:divBdr>
              <w:divsChild>
                <w:div w:id="882985348">
                  <w:marLeft w:val="0"/>
                  <w:marRight w:val="0"/>
                  <w:marTop w:val="0"/>
                  <w:marBottom w:val="0"/>
                  <w:divBdr>
                    <w:top w:val="none" w:sz="0" w:space="0" w:color="auto"/>
                    <w:left w:val="none" w:sz="0" w:space="0" w:color="auto"/>
                    <w:bottom w:val="none" w:sz="0" w:space="0" w:color="auto"/>
                    <w:right w:val="none" w:sz="0" w:space="0" w:color="auto"/>
                  </w:divBdr>
                </w:div>
              </w:divsChild>
            </w:div>
            <w:div w:id="1774478238">
              <w:marLeft w:val="0"/>
              <w:marRight w:val="0"/>
              <w:marTop w:val="0"/>
              <w:marBottom w:val="0"/>
              <w:divBdr>
                <w:top w:val="none" w:sz="0" w:space="0" w:color="auto"/>
                <w:left w:val="none" w:sz="0" w:space="0" w:color="auto"/>
                <w:bottom w:val="none" w:sz="0" w:space="0" w:color="auto"/>
                <w:right w:val="none" w:sz="0" w:space="0" w:color="auto"/>
              </w:divBdr>
              <w:divsChild>
                <w:div w:id="1104151705">
                  <w:marLeft w:val="0"/>
                  <w:marRight w:val="0"/>
                  <w:marTop w:val="0"/>
                  <w:marBottom w:val="0"/>
                  <w:divBdr>
                    <w:top w:val="none" w:sz="0" w:space="0" w:color="auto"/>
                    <w:left w:val="none" w:sz="0" w:space="0" w:color="auto"/>
                    <w:bottom w:val="none" w:sz="0" w:space="0" w:color="auto"/>
                    <w:right w:val="none" w:sz="0" w:space="0" w:color="auto"/>
                  </w:divBdr>
                </w:div>
              </w:divsChild>
            </w:div>
            <w:div w:id="1775511227">
              <w:marLeft w:val="0"/>
              <w:marRight w:val="0"/>
              <w:marTop w:val="0"/>
              <w:marBottom w:val="0"/>
              <w:divBdr>
                <w:top w:val="none" w:sz="0" w:space="0" w:color="auto"/>
                <w:left w:val="none" w:sz="0" w:space="0" w:color="auto"/>
                <w:bottom w:val="none" w:sz="0" w:space="0" w:color="auto"/>
                <w:right w:val="none" w:sz="0" w:space="0" w:color="auto"/>
              </w:divBdr>
              <w:divsChild>
                <w:div w:id="127865309">
                  <w:marLeft w:val="0"/>
                  <w:marRight w:val="0"/>
                  <w:marTop w:val="0"/>
                  <w:marBottom w:val="0"/>
                  <w:divBdr>
                    <w:top w:val="none" w:sz="0" w:space="0" w:color="auto"/>
                    <w:left w:val="none" w:sz="0" w:space="0" w:color="auto"/>
                    <w:bottom w:val="none" w:sz="0" w:space="0" w:color="auto"/>
                    <w:right w:val="none" w:sz="0" w:space="0" w:color="auto"/>
                  </w:divBdr>
                </w:div>
              </w:divsChild>
            </w:div>
            <w:div w:id="1775516898">
              <w:marLeft w:val="0"/>
              <w:marRight w:val="0"/>
              <w:marTop w:val="0"/>
              <w:marBottom w:val="0"/>
              <w:divBdr>
                <w:top w:val="none" w:sz="0" w:space="0" w:color="auto"/>
                <w:left w:val="none" w:sz="0" w:space="0" w:color="auto"/>
                <w:bottom w:val="none" w:sz="0" w:space="0" w:color="auto"/>
                <w:right w:val="none" w:sz="0" w:space="0" w:color="auto"/>
              </w:divBdr>
              <w:divsChild>
                <w:div w:id="1910529000">
                  <w:marLeft w:val="0"/>
                  <w:marRight w:val="0"/>
                  <w:marTop w:val="0"/>
                  <w:marBottom w:val="0"/>
                  <w:divBdr>
                    <w:top w:val="none" w:sz="0" w:space="0" w:color="auto"/>
                    <w:left w:val="none" w:sz="0" w:space="0" w:color="auto"/>
                    <w:bottom w:val="none" w:sz="0" w:space="0" w:color="auto"/>
                    <w:right w:val="none" w:sz="0" w:space="0" w:color="auto"/>
                  </w:divBdr>
                </w:div>
              </w:divsChild>
            </w:div>
            <w:div w:id="1775857542">
              <w:marLeft w:val="0"/>
              <w:marRight w:val="0"/>
              <w:marTop w:val="300"/>
              <w:marBottom w:val="300"/>
              <w:divBdr>
                <w:top w:val="none" w:sz="0" w:space="0" w:color="auto"/>
                <w:left w:val="none" w:sz="0" w:space="0" w:color="auto"/>
                <w:bottom w:val="none" w:sz="0" w:space="0" w:color="auto"/>
                <w:right w:val="none" w:sz="0" w:space="0" w:color="auto"/>
              </w:divBdr>
            </w:div>
            <w:div w:id="1776362086">
              <w:marLeft w:val="0"/>
              <w:marRight w:val="0"/>
              <w:marTop w:val="0"/>
              <w:marBottom w:val="0"/>
              <w:divBdr>
                <w:top w:val="none" w:sz="0" w:space="0" w:color="auto"/>
                <w:left w:val="none" w:sz="0" w:space="0" w:color="auto"/>
                <w:bottom w:val="none" w:sz="0" w:space="0" w:color="auto"/>
                <w:right w:val="none" w:sz="0" w:space="0" w:color="auto"/>
              </w:divBdr>
              <w:divsChild>
                <w:div w:id="547692569">
                  <w:marLeft w:val="0"/>
                  <w:marRight w:val="0"/>
                  <w:marTop w:val="0"/>
                  <w:marBottom w:val="0"/>
                  <w:divBdr>
                    <w:top w:val="none" w:sz="0" w:space="0" w:color="auto"/>
                    <w:left w:val="none" w:sz="0" w:space="0" w:color="auto"/>
                    <w:bottom w:val="none" w:sz="0" w:space="0" w:color="auto"/>
                    <w:right w:val="none" w:sz="0" w:space="0" w:color="auto"/>
                  </w:divBdr>
                </w:div>
              </w:divsChild>
            </w:div>
            <w:div w:id="1776369041">
              <w:marLeft w:val="0"/>
              <w:marRight w:val="0"/>
              <w:marTop w:val="0"/>
              <w:marBottom w:val="0"/>
              <w:divBdr>
                <w:top w:val="none" w:sz="0" w:space="0" w:color="auto"/>
                <w:left w:val="none" w:sz="0" w:space="0" w:color="auto"/>
                <w:bottom w:val="none" w:sz="0" w:space="0" w:color="auto"/>
                <w:right w:val="none" w:sz="0" w:space="0" w:color="auto"/>
              </w:divBdr>
              <w:divsChild>
                <w:div w:id="850098661">
                  <w:marLeft w:val="0"/>
                  <w:marRight w:val="0"/>
                  <w:marTop w:val="0"/>
                  <w:marBottom w:val="0"/>
                  <w:divBdr>
                    <w:top w:val="none" w:sz="0" w:space="0" w:color="auto"/>
                    <w:left w:val="none" w:sz="0" w:space="0" w:color="auto"/>
                    <w:bottom w:val="none" w:sz="0" w:space="0" w:color="auto"/>
                    <w:right w:val="none" w:sz="0" w:space="0" w:color="auto"/>
                  </w:divBdr>
                </w:div>
              </w:divsChild>
            </w:div>
            <w:div w:id="1778327601">
              <w:marLeft w:val="0"/>
              <w:marRight w:val="0"/>
              <w:marTop w:val="0"/>
              <w:marBottom w:val="0"/>
              <w:divBdr>
                <w:top w:val="none" w:sz="0" w:space="0" w:color="auto"/>
                <w:left w:val="none" w:sz="0" w:space="0" w:color="auto"/>
                <w:bottom w:val="none" w:sz="0" w:space="0" w:color="auto"/>
                <w:right w:val="none" w:sz="0" w:space="0" w:color="auto"/>
              </w:divBdr>
              <w:divsChild>
                <w:div w:id="1541281906">
                  <w:marLeft w:val="0"/>
                  <w:marRight w:val="0"/>
                  <w:marTop w:val="0"/>
                  <w:marBottom w:val="0"/>
                  <w:divBdr>
                    <w:top w:val="none" w:sz="0" w:space="0" w:color="auto"/>
                    <w:left w:val="none" w:sz="0" w:space="0" w:color="auto"/>
                    <w:bottom w:val="none" w:sz="0" w:space="0" w:color="auto"/>
                    <w:right w:val="none" w:sz="0" w:space="0" w:color="auto"/>
                  </w:divBdr>
                </w:div>
              </w:divsChild>
            </w:div>
            <w:div w:id="1778675714">
              <w:marLeft w:val="0"/>
              <w:marRight w:val="0"/>
              <w:marTop w:val="0"/>
              <w:marBottom w:val="0"/>
              <w:divBdr>
                <w:top w:val="none" w:sz="0" w:space="0" w:color="auto"/>
                <w:left w:val="none" w:sz="0" w:space="0" w:color="auto"/>
                <w:bottom w:val="none" w:sz="0" w:space="0" w:color="auto"/>
                <w:right w:val="none" w:sz="0" w:space="0" w:color="auto"/>
              </w:divBdr>
              <w:divsChild>
                <w:div w:id="739525589">
                  <w:marLeft w:val="0"/>
                  <w:marRight w:val="0"/>
                  <w:marTop w:val="0"/>
                  <w:marBottom w:val="0"/>
                  <w:divBdr>
                    <w:top w:val="none" w:sz="0" w:space="0" w:color="auto"/>
                    <w:left w:val="none" w:sz="0" w:space="0" w:color="auto"/>
                    <w:bottom w:val="none" w:sz="0" w:space="0" w:color="auto"/>
                    <w:right w:val="none" w:sz="0" w:space="0" w:color="auto"/>
                  </w:divBdr>
                </w:div>
              </w:divsChild>
            </w:div>
            <w:div w:id="1778787371">
              <w:marLeft w:val="0"/>
              <w:marRight w:val="0"/>
              <w:marTop w:val="0"/>
              <w:marBottom w:val="0"/>
              <w:divBdr>
                <w:top w:val="none" w:sz="0" w:space="0" w:color="auto"/>
                <w:left w:val="none" w:sz="0" w:space="0" w:color="auto"/>
                <w:bottom w:val="none" w:sz="0" w:space="0" w:color="auto"/>
                <w:right w:val="none" w:sz="0" w:space="0" w:color="auto"/>
              </w:divBdr>
              <w:divsChild>
                <w:div w:id="1299263260">
                  <w:marLeft w:val="0"/>
                  <w:marRight w:val="0"/>
                  <w:marTop w:val="0"/>
                  <w:marBottom w:val="0"/>
                  <w:divBdr>
                    <w:top w:val="none" w:sz="0" w:space="0" w:color="auto"/>
                    <w:left w:val="none" w:sz="0" w:space="0" w:color="auto"/>
                    <w:bottom w:val="none" w:sz="0" w:space="0" w:color="auto"/>
                    <w:right w:val="none" w:sz="0" w:space="0" w:color="auto"/>
                  </w:divBdr>
                </w:div>
              </w:divsChild>
            </w:div>
            <w:div w:id="1779179755">
              <w:marLeft w:val="0"/>
              <w:marRight w:val="0"/>
              <w:marTop w:val="0"/>
              <w:marBottom w:val="0"/>
              <w:divBdr>
                <w:top w:val="none" w:sz="0" w:space="0" w:color="auto"/>
                <w:left w:val="none" w:sz="0" w:space="0" w:color="auto"/>
                <w:bottom w:val="none" w:sz="0" w:space="0" w:color="auto"/>
                <w:right w:val="none" w:sz="0" w:space="0" w:color="auto"/>
              </w:divBdr>
              <w:divsChild>
                <w:div w:id="1408108340">
                  <w:marLeft w:val="0"/>
                  <w:marRight w:val="0"/>
                  <w:marTop w:val="0"/>
                  <w:marBottom w:val="0"/>
                  <w:divBdr>
                    <w:top w:val="none" w:sz="0" w:space="0" w:color="auto"/>
                    <w:left w:val="none" w:sz="0" w:space="0" w:color="auto"/>
                    <w:bottom w:val="none" w:sz="0" w:space="0" w:color="auto"/>
                    <w:right w:val="none" w:sz="0" w:space="0" w:color="auto"/>
                  </w:divBdr>
                </w:div>
              </w:divsChild>
            </w:div>
            <w:div w:id="1780418618">
              <w:marLeft w:val="0"/>
              <w:marRight w:val="0"/>
              <w:marTop w:val="0"/>
              <w:marBottom w:val="0"/>
              <w:divBdr>
                <w:top w:val="none" w:sz="0" w:space="0" w:color="auto"/>
                <w:left w:val="none" w:sz="0" w:space="0" w:color="auto"/>
                <w:bottom w:val="none" w:sz="0" w:space="0" w:color="auto"/>
                <w:right w:val="none" w:sz="0" w:space="0" w:color="auto"/>
              </w:divBdr>
              <w:divsChild>
                <w:div w:id="246041728">
                  <w:marLeft w:val="0"/>
                  <w:marRight w:val="0"/>
                  <w:marTop w:val="0"/>
                  <w:marBottom w:val="0"/>
                  <w:divBdr>
                    <w:top w:val="none" w:sz="0" w:space="0" w:color="auto"/>
                    <w:left w:val="none" w:sz="0" w:space="0" w:color="auto"/>
                    <w:bottom w:val="none" w:sz="0" w:space="0" w:color="auto"/>
                    <w:right w:val="none" w:sz="0" w:space="0" w:color="auto"/>
                  </w:divBdr>
                </w:div>
              </w:divsChild>
            </w:div>
            <w:div w:id="1781022704">
              <w:marLeft w:val="0"/>
              <w:marRight w:val="0"/>
              <w:marTop w:val="0"/>
              <w:marBottom w:val="0"/>
              <w:divBdr>
                <w:top w:val="none" w:sz="0" w:space="0" w:color="auto"/>
                <w:left w:val="none" w:sz="0" w:space="0" w:color="auto"/>
                <w:bottom w:val="none" w:sz="0" w:space="0" w:color="auto"/>
                <w:right w:val="none" w:sz="0" w:space="0" w:color="auto"/>
              </w:divBdr>
              <w:divsChild>
                <w:div w:id="1612977313">
                  <w:marLeft w:val="0"/>
                  <w:marRight w:val="0"/>
                  <w:marTop w:val="0"/>
                  <w:marBottom w:val="0"/>
                  <w:divBdr>
                    <w:top w:val="none" w:sz="0" w:space="0" w:color="auto"/>
                    <w:left w:val="none" w:sz="0" w:space="0" w:color="auto"/>
                    <w:bottom w:val="none" w:sz="0" w:space="0" w:color="auto"/>
                    <w:right w:val="none" w:sz="0" w:space="0" w:color="auto"/>
                  </w:divBdr>
                </w:div>
              </w:divsChild>
            </w:div>
            <w:div w:id="1782143636">
              <w:marLeft w:val="0"/>
              <w:marRight w:val="0"/>
              <w:marTop w:val="300"/>
              <w:marBottom w:val="300"/>
              <w:divBdr>
                <w:top w:val="none" w:sz="0" w:space="0" w:color="auto"/>
                <w:left w:val="none" w:sz="0" w:space="0" w:color="auto"/>
                <w:bottom w:val="none" w:sz="0" w:space="0" w:color="auto"/>
                <w:right w:val="none" w:sz="0" w:space="0" w:color="auto"/>
              </w:divBdr>
            </w:div>
            <w:div w:id="1782872729">
              <w:marLeft w:val="0"/>
              <w:marRight w:val="0"/>
              <w:marTop w:val="300"/>
              <w:marBottom w:val="300"/>
              <w:divBdr>
                <w:top w:val="none" w:sz="0" w:space="0" w:color="auto"/>
                <w:left w:val="none" w:sz="0" w:space="0" w:color="auto"/>
                <w:bottom w:val="none" w:sz="0" w:space="0" w:color="auto"/>
                <w:right w:val="none" w:sz="0" w:space="0" w:color="auto"/>
              </w:divBdr>
            </w:div>
            <w:div w:id="1783110107">
              <w:marLeft w:val="0"/>
              <w:marRight w:val="0"/>
              <w:marTop w:val="0"/>
              <w:marBottom w:val="0"/>
              <w:divBdr>
                <w:top w:val="none" w:sz="0" w:space="0" w:color="auto"/>
                <w:left w:val="none" w:sz="0" w:space="0" w:color="auto"/>
                <w:bottom w:val="none" w:sz="0" w:space="0" w:color="auto"/>
                <w:right w:val="none" w:sz="0" w:space="0" w:color="auto"/>
              </w:divBdr>
              <w:divsChild>
                <w:div w:id="975531368">
                  <w:marLeft w:val="0"/>
                  <w:marRight w:val="0"/>
                  <w:marTop w:val="0"/>
                  <w:marBottom w:val="0"/>
                  <w:divBdr>
                    <w:top w:val="none" w:sz="0" w:space="0" w:color="auto"/>
                    <w:left w:val="none" w:sz="0" w:space="0" w:color="auto"/>
                    <w:bottom w:val="none" w:sz="0" w:space="0" w:color="auto"/>
                    <w:right w:val="none" w:sz="0" w:space="0" w:color="auto"/>
                  </w:divBdr>
                </w:div>
              </w:divsChild>
            </w:div>
            <w:div w:id="1784960803">
              <w:marLeft w:val="0"/>
              <w:marRight w:val="0"/>
              <w:marTop w:val="300"/>
              <w:marBottom w:val="300"/>
              <w:divBdr>
                <w:top w:val="none" w:sz="0" w:space="0" w:color="auto"/>
                <w:left w:val="none" w:sz="0" w:space="0" w:color="auto"/>
                <w:bottom w:val="none" w:sz="0" w:space="0" w:color="auto"/>
                <w:right w:val="none" w:sz="0" w:space="0" w:color="auto"/>
              </w:divBdr>
            </w:div>
            <w:div w:id="1785152526">
              <w:marLeft w:val="0"/>
              <w:marRight w:val="0"/>
              <w:marTop w:val="0"/>
              <w:marBottom w:val="0"/>
              <w:divBdr>
                <w:top w:val="none" w:sz="0" w:space="0" w:color="auto"/>
                <w:left w:val="none" w:sz="0" w:space="0" w:color="auto"/>
                <w:bottom w:val="none" w:sz="0" w:space="0" w:color="auto"/>
                <w:right w:val="none" w:sz="0" w:space="0" w:color="auto"/>
              </w:divBdr>
              <w:divsChild>
                <w:div w:id="1481925805">
                  <w:marLeft w:val="0"/>
                  <w:marRight w:val="0"/>
                  <w:marTop w:val="0"/>
                  <w:marBottom w:val="0"/>
                  <w:divBdr>
                    <w:top w:val="none" w:sz="0" w:space="0" w:color="auto"/>
                    <w:left w:val="none" w:sz="0" w:space="0" w:color="auto"/>
                    <w:bottom w:val="none" w:sz="0" w:space="0" w:color="auto"/>
                    <w:right w:val="none" w:sz="0" w:space="0" w:color="auto"/>
                  </w:divBdr>
                </w:div>
              </w:divsChild>
            </w:div>
            <w:div w:id="1787430446">
              <w:marLeft w:val="0"/>
              <w:marRight w:val="0"/>
              <w:marTop w:val="0"/>
              <w:marBottom w:val="0"/>
              <w:divBdr>
                <w:top w:val="none" w:sz="0" w:space="0" w:color="auto"/>
                <w:left w:val="none" w:sz="0" w:space="0" w:color="auto"/>
                <w:bottom w:val="none" w:sz="0" w:space="0" w:color="auto"/>
                <w:right w:val="none" w:sz="0" w:space="0" w:color="auto"/>
              </w:divBdr>
              <w:divsChild>
                <w:div w:id="188684446">
                  <w:marLeft w:val="0"/>
                  <w:marRight w:val="0"/>
                  <w:marTop w:val="0"/>
                  <w:marBottom w:val="0"/>
                  <w:divBdr>
                    <w:top w:val="none" w:sz="0" w:space="0" w:color="auto"/>
                    <w:left w:val="none" w:sz="0" w:space="0" w:color="auto"/>
                    <w:bottom w:val="none" w:sz="0" w:space="0" w:color="auto"/>
                    <w:right w:val="none" w:sz="0" w:space="0" w:color="auto"/>
                  </w:divBdr>
                </w:div>
              </w:divsChild>
            </w:div>
            <w:div w:id="1788087445">
              <w:marLeft w:val="0"/>
              <w:marRight w:val="0"/>
              <w:marTop w:val="0"/>
              <w:marBottom w:val="0"/>
              <w:divBdr>
                <w:top w:val="none" w:sz="0" w:space="0" w:color="auto"/>
                <w:left w:val="none" w:sz="0" w:space="0" w:color="auto"/>
                <w:bottom w:val="none" w:sz="0" w:space="0" w:color="auto"/>
                <w:right w:val="none" w:sz="0" w:space="0" w:color="auto"/>
              </w:divBdr>
              <w:divsChild>
                <w:div w:id="1827472083">
                  <w:marLeft w:val="0"/>
                  <w:marRight w:val="0"/>
                  <w:marTop w:val="0"/>
                  <w:marBottom w:val="0"/>
                  <w:divBdr>
                    <w:top w:val="none" w:sz="0" w:space="0" w:color="auto"/>
                    <w:left w:val="none" w:sz="0" w:space="0" w:color="auto"/>
                    <w:bottom w:val="none" w:sz="0" w:space="0" w:color="auto"/>
                    <w:right w:val="none" w:sz="0" w:space="0" w:color="auto"/>
                  </w:divBdr>
                </w:div>
              </w:divsChild>
            </w:div>
            <w:div w:id="1790707197">
              <w:marLeft w:val="0"/>
              <w:marRight w:val="0"/>
              <w:marTop w:val="0"/>
              <w:marBottom w:val="0"/>
              <w:divBdr>
                <w:top w:val="none" w:sz="0" w:space="0" w:color="auto"/>
                <w:left w:val="none" w:sz="0" w:space="0" w:color="auto"/>
                <w:bottom w:val="none" w:sz="0" w:space="0" w:color="auto"/>
                <w:right w:val="none" w:sz="0" w:space="0" w:color="auto"/>
              </w:divBdr>
              <w:divsChild>
                <w:div w:id="1811089204">
                  <w:marLeft w:val="0"/>
                  <w:marRight w:val="0"/>
                  <w:marTop w:val="0"/>
                  <w:marBottom w:val="0"/>
                  <w:divBdr>
                    <w:top w:val="none" w:sz="0" w:space="0" w:color="auto"/>
                    <w:left w:val="none" w:sz="0" w:space="0" w:color="auto"/>
                    <w:bottom w:val="none" w:sz="0" w:space="0" w:color="auto"/>
                    <w:right w:val="none" w:sz="0" w:space="0" w:color="auto"/>
                  </w:divBdr>
                </w:div>
              </w:divsChild>
            </w:div>
            <w:div w:id="1791632994">
              <w:marLeft w:val="0"/>
              <w:marRight w:val="0"/>
              <w:marTop w:val="0"/>
              <w:marBottom w:val="0"/>
              <w:divBdr>
                <w:top w:val="none" w:sz="0" w:space="0" w:color="auto"/>
                <w:left w:val="none" w:sz="0" w:space="0" w:color="auto"/>
                <w:bottom w:val="none" w:sz="0" w:space="0" w:color="auto"/>
                <w:right w:val="none" w:sz="0" w:space="0" w:color="auto"/>
              </w:divBdr>
              <w:divsChild>
                <w:div w:id="1125540547">
                  <w:marLeft w:val="0"/>
                  <w:marRight w:val="0"/>
                  <w:marTop w:val="0"/>
                  <w:marBottom w:val="0"/>
                  <w:divBdr>
                    <w:top w:val="none" w:sz="0" w:space="0" w:color="auto"/>
                    <w:left w:val="none" w:sz="0" w:space="0" w:color="auto"/>
                    <w:bottom w:val="none" w:sz="0" w:space="0" w:color="auto"/>
                    <w:right w:val="none" w:sz="0" w:space="0" w:color="auto"/>
                  </w:divBdr>
                </w:div>
              </w:divsChild>
            </w:div>
            <w:div w:id="1791971055">
              <w:marLeft w:val="0"/>
              <w:marRight w:val="0"/>
              <w:marTop w:val="0"/>
              <w:marBottom w:val="0"/>
              <w:divBdr>
                <w:top w:val="none" w:sz="0" w:space="0" w:color="auto"/>
                <w:left w:val="none" w:sz="0" w:space="0" w:color="auto"/>
                <w:bottom w:val="none" w:sz="0" w:space="0" w:color="auto"/>
                <w:right w:val="none" w:sz="0" w:space="0" w:color="auto"/>
              </w:divBdr>
              <w:divsChild>
                <w:div w:id="720591257">
                  <w:marLeft w:val="0"/>
                  <w:marRight w:val="0"/>
                  <w:marTop w:val="0"/>
                  <w:marBottom w:val="0"/>
                  <w:divBdr>
                    <w:top w:val="none" w:sz="0" w:space="0" w:color="auto"/>
                    <w:left w:val="none" w:sz="0" w:space="0" w:color="auto"/>
                    <w:bottom w:val="none" w:sz="0" w:space="0" w:color="auto"/>
                    <w:right w:val="none" w:sz="0" w:space="0" w:color="auto"/>
                  </w:divBdr>
                </w:div>
              </w:divsChild>
            </w:div>
            <w:div w:id="1792087015">
              <w:marLeft w:val="0"/>
              <w:marRight w:val="0"/>
              <w:marTop w:val="0"/>
              <w:marBottom w:val="0"/>
              <w:divBdr>
                <w:top w:val="none" w:sz="0" w:space="0" w:color="auto"/>
                <w:left w:val="none" w:sz="0" w:space="0" w:color="auto"/>
                <w:bottom w:val="none" w:sz="0" w:space="0" w:color="auto"/>
                <w:right w:val="none" w:sz="0" w:space="0" w:color="auto"/>
              </w:divBdr>
              <w:divsChild>
                <w:div w:id="1862813617">
                  <w:marLeft w:val="0"/>
                  <w:marRight w:val="0"/>
                  <w:marTop w:val="0"/>
                  <w:marBottom w:val="0"/>
                  <w:divBdr>
                    <w:top w:val="none" w:sz="0" w:space="0" w:color="auto"/>
                    <w:left w:val="none" w:sz="0" w:space="0" w:color="auto"/>
                    <w:bottom w:val="none" w:sz="0" w:space="0" w:color="auto"/>
                    <w:right w:val="none" w:sz="0" w:space="0" w:color="auto"/>
                  </w:divBdr>
                </w:div>
              </w:divsChild>
            </w:div>
            <w:div w:id="1793359109">
              <w:marLeft w:val="0"/>
              <w:marRight w:val="0"/>
              <w:marTop w:val="0"/>
              <w:marBottom w:val="0"/>
              <w:divBdr>
                <w:top w:val="none" w:sz="0" w:space="0" w:color="auto"/>
                <w:left w:val="none" w:sz="0" w:space="0" w:color="auto"/>
                <w:bottom w:val="none" w:sz="0" w:space="0" w:color="auto"/>
                <w:right w:val="none" w:sz="0" w:space="0" w:color="auto"/>
              </w:divBdr>
              <w:divsChild>
                <w:div w:id="1159543084">
                  <w:marLeft w:val="0"/>
                  <w:marRight w:val="0"/>
                  <w:marTop w:val="0"/>
                  <w:marBottom w:val="0"/>
                  <w:divBdr>
                    <w:top w:val="none" w:sz="0" w:space="0" w:color="auto"/>
                    <w:left w:val="none" w:sz="0" w:space="0" w:color="auto"/>
                    <w:bottom w:val="none" w:sz="0" w:space="0" w:color="auto"/>
                    <w:right w:val="none" w:sz="0" w:space="0" w:color="auto"/>
                  </w:divBdr>
                </w:div>
              </w:divsChild>
            </w:div>
            <w:div w:id="1794404240">
              <w:marLeft w:val="0"/>
              <w:marRight w:val="0"/>
              <w:marTop w:val="0"/>
              <w:marBottom w:val="0"/>
              <w:divBdr>
                <w:top w:val="none" w:sz="0" w:space="0" w:color="auto"/>
                <w:left w:val="none" w:sz="0" w:space="0" w:color="auto"/>
                <w:bottom w:val="none" w:sz="0" w:space="0" w:color="auto"/>
                <w:right w:val="none" w:sz="0" w:space="0" w:color="auto"/>
              </w:divBdr>
              <w:divsChild>
                <w:div w:id="1914388667">
                  <w:marLeft w:val="0"/>
                  <w:marRight w:val="0"/>
                  <w:marTop w:val="0"/>
                  <w:marBottom w:val="0"/>
                  <w:divBdr>
                    <w:top w:val="none" w:sz="0" w:space="0" w:color="auto"/>
                    <w:left w:val="none" w:sz="0" w:space="0" w:color="auto"/>
                    <w:bottom w:val="none" w:sz="0" w:space="0" w:color="auto"/>
                    <w:right w:val="none" w:sz="0" w:space="0" w:color="auto"/>
                  </w:divBdr>
                </w:div>
              </w:divsChild>
            </w:div>
            <w:div w:id="1794641093">
              <w:marLeft w:val="0"/>
              <w:marRight w:val="0"/>
              <w:marTop w:val="300"/>
              <w:marBottom w:val="300"/>
              <w:divBdr>
                <w:top w:val="none" w:sz="0" w:space="0" w:color="auto"/>
                <w:left w:val="none" w:sz="0" w:space="0" w:color="auto"/>
                <w:bottom w:val="none" w:sz="0" w:space="0" w:color="auto"/>
                <w:right w:val="none" w:sz="0" w:space="0" w:color="auto"/>
              </w:divBdr>
            </w:div>
            <w:div w:id="1796212637">
              <w:marLeft w:val="0"/>
              <w:marRight w:val="0"/>
              <w:marTop w:val="300"/>
              <w:marBottom w:val="300"/>
              <w:divBdr>
                <w:top w:val="none" w:sz="0" w:space="0" w:color="auto"/>
                <w:left w:val="none" w:sz="0" w:space="0" w:color="auto"/>
                <w:bottom w:val="none" w:sz="0" w:space="0" w:color="auto"/>
                <w:right w:val="none" w:sz="0" w:space="0" w:color="auto"/>
              </w:divBdr>
            </w:div>
            <w:div w:id="1797866151">
              <w:marLeft w:val="0"/>
              <w:marRight w:val="0"/>
              <w:marTop w:val="0"/>
              <w:marBottom w:val="0"/>
              <w:divBdr>
                <w:top w:val="none" w:sz="0" w:space="0" w:color="auto"/>
                <w:left w:val="none" w:sz="0" w:space="0" w:color="auto"/>
                <w:bottom w:val="none" w:sz="0" w:space="0" w:color="auto"/>
                <w:right w:val="none" w:sz="0" w:space="0" w:color="auto"/>
              </w:divBdr>
              <w:divsChild>
                <w:div w:id="1687902100">
                  <w:marLeft w:val="0"/>
                  <w:marRight w:val="0"/>
                  <w:marTop w:val="0"/>
                  <w:marBottom w:val="0"/>
                  <w:divBdr>
                    <w:top w:val="none" w:sz="0" w:space="0" w:color="auto"/>
                    <w:left w:val="none" w:sz="0" w:space="0" w:color="auto"/>
                    <w:bottom w:val="none" w:sz="0" w:space="0" w:color="auto"/>
                    <w:right w:val="none" w:sz="0" w:space="0" w:color="auto"/>
                  </w:divBdr>
                </w:div>
              </w:divsChild>
            </w:div>
            <w:div w:id="1798141767">
              <w:marLeft w:val="0"/>
              <w:marRight w:val="0"/>
              <w:marTop w:val="0"/>
              <w:marBottom w:val="0"/>
              <w:divBdr>
                <w:top w:val="none" w:sz="0" w:space="0" w:color="auto"/>
                <w:left w:val="none" w:sz="0" w:space="0" w:color="auto"/>
                <w:bottom w:val="none" w:sz="0" w:space="0" w:color="auto"/>
                <w:right w:val="none" w:sz="0" w:space="0" w:color="auto"/>
              </w:divBdr>
              <w:divsChild>
                <w:div w:id="516968089">
                  <w:marLeft w:val="0"/>
                  <w:marRight w:val="0"/>
                  <w:marTop w:val="0"/>
                  <w:marBottom w:val="0"/>
                  <w:divBdr>
                    <w:top w:val="none" w:sz="0" w:space="0" w:color="auto"/>
                    <w:left w:val="none" w:sz="0" w:space="0" w:color="auto"/>
                    <w:bottom w:val="none" w:sz="0" w:space="0" w:color="auto"/>
                    <w:right w:val="none" w:sz="0" w:space="0" w:color="auto"/>
                  </w:divBdr>
                </w:div>
              </w:divsChild>
            </w:div>
            <w:div w:id="1799178454">
              <w:marLeft w:val="0"/>
              <w:marRight w:val="0"/>
              <w:marTop w:val="0"/>
              <w:marBottom w:val="0"/>
              <w:divBdr>
                <w:top w:val="none" w:sz="0" w:space="0" w:color="auto"/>
                <w:left w:val="none" w:sz="0" w:space="0" w:color="auto"/>
                <w:bottom w:val="none" w:sz="0" w:space="0" w:color="auto"/>
                <w:right w:val="none" w:sz="0" w:space="0" w:color="auto"/>
              </w:divBdr>
              <w:divsChild>
                <w:div w:id="1835295657">
                  <w:marLeft w:val="0"/>
                  <w:marRight w:val="0"/>
                  <w:marTop w:val="0"/>
                  <w:marBottom w:val="0"/>
                  <w:divBdr>
                    <w:top w:val="none" w:sz="0" w:space="0" w:color="auto"/>
                    <w:left w:val="none" w:sz="0" w:space="0" w:color="auto"/>
                    <w:bottom w:val="none" w:sz="0" w:space="0" w:color="auto"/>
                    <w:right w:val="none" w:sz="0" w:space="0" w:color="auto"/>
                  </w:divBdr>
                </w:div>
              </w:divsChild>
            </w:div>
            <w:div w:id="1799377344">
              <w:marLeft w:val="0"/>
              <w:marRight w:val="0"/>
              <w:marTop w:val="300"/>
              <w:marBottom w:val="300"/>
              <w:divBdr>
                <w:top w:val="none" w:sz="0" w:space="0" w:color="auto"/>
                <w:left w:val="none" w:sz="0" w:space="0" w:color="auto"/>
                <w:bottom w:val="none" w:sz="0" w:space="0" w:color="auto"/>
                <w:right w:val="none" w:sz="0" w:space="0" w:color="auto"/>
              </w:divBdr>
            </w:div>
            <w:div w:id="1805150682">
              <w:marLeft w:val="0"/>
              <w:marRight w:val="0"/>
              <w:marTop w:val="0"/>
              <w:marBottom w:val="0"/>
              <w:divBdr>
                <w:top w:val="none" w:sz="0" w:space="0" w:color="auto"/>
                <w:left w:val="none" w:sz="0" w:space="0" w:color="auto"/>
                <w:bottom w:val="none" w:sz="0" w:space="0" w:color="auto"/>
                <w:right w:val="none" w:sz="0" w:space="0" w:color="auto"/>
              </w:divBdr>
              <w:divsChild>
                <w:div w:id="286933756">
                  <w:marLeft w:val="0"/>
                  <w:marRight w:val="0"/>
                  <w:marTop w:val="0"/>
                  <w:marBottom w:val="0"/>
                  <w:divBdr>
                    <w:top w:val="none" w:sz="0" w:space="0" w:color="auto"/>
                    <w:left w:val="none" w:sz="0" w:space="0" w:color="auto"/>
                    <w:bottom w:val="none" w:sz="0" w:space="0" w:color="auto"/>
                    <w:right w:val="none" w:sz="0" w:space="0" w:color="auto"/>
                  </w:divBdr>
                </w:div>
              </w:divsChild>
            </w:div>
            <w:div w:id="1805925854">
              <w:marLeft w:val="0"/>
              <w:marRight w:val="0"/>
              <w:marTop w:val="0"/>
              <w:marBottom w:val="0"/>
              <w:divBdr>
                <w:top w:val="none" w:sz="0" w:space="0" w:color="auto"/>
                <w:left w:val="none" w:sz="0" w:space="0" w:color="auto"/>
                <w:bottom w:val="none" w:sz="0" w:space="0" w:color="auto"/>
                <w:right w:val="none" w:sz="0" w:space="0" w:color="auto"/>
              </w:divBdr>
              <w:divsChild>
                <w:div w:id="514613915">
                  <w:marLeft w:val="0"/>
                  <w:marRight w:val="0"/>
                  <w:marTop w:val="0"/>
                  <w:marBottom w:val="0"/>
                  <w:divBdr>
                    <w:top w:val="none" w:sz="0" w:space="0" w:color="auto"/>
                    <w:left w:val="none" w:sz="0" w:space="0" w:color="auto"/>
                    <w:bottom w:val="none" w:sz="0" w:space="0" w:color="auto"/>
                    <w:right w:val="none" w:sz="0" w:space="0" w:color="auto"/>
                  </w:divBdr>
                </w:div>
              </w:divsChild>
            </w:div>
            <w:div w:id="1806200205">
              <w:marLeft w:val="0"/>
              <w:marRight w:val="0"/>
              <w:marTop w:val="300"/>
              <w:marBottom w:val="300"/>
              <w:divBdr>
                <w:top w:val="none" w:sz="0" w:space="0" w:color="auto"/>
                <w:left w:val="none" w:sz="0" w:space="0" w:color="auto"/>
                <w:bottom w:val="none" w:sz="0" w:space="0" w:color="auto"/>
                <w:right w:val="none" w:sz="0" w:space="0" w:color="auto"/>
              </w:divBdr>
            </w:div>
            <w:div w:id="1807431179">
              <w:marLeft w:val="0"/>
              <w:marRight w:val="0"/>
              <w:marTop w:val="0"/>
              <w:marBottom w:val="0"/>
              <w:divBdr>
                <w:top w:val="none" w:sz="0" w:space="0" w:color="auto"/>
                <w:left w:val="none" w:sz="0" w:space="0" w:color="auto"/>
                <w:bottom w:val="none" w:sz="0" w:space="0" w:color="auto"/>
                <w:right w:val="none" w:sz="0" w:space="0" w:color="auto"/>
              </w:divBdr>
              <w:divsChild>
                <w:div w:id="963846419">
                  <w:marLeft w:val="0"/>
                  <w:marRight w:val="0"/>
                  <w:marTop w:val="0"/>
                  <w:marBottom w:val="0"/>
                  <w:divBdr>
                    <w:top w:val="none" w:sz="0" w:space="0" w:color="auto"/>
                    <w:left w:val="none" w:sz="0" w:space="0" w:color="auto"/>
                    <w:bottom w:val="none" w:sz="0" w:space="0" w:color="auto"/>
                    <w:right w:val="none" w:sz="0" w:space="0" w:color="auto"/>
                  </w:divBdr>
                </w:div>
              </w:divsChild>
            </w:div>
            <w:div w:id="1807433249">
              <w:marLeft w:val="0"/>
              <w:marRight w:val="0"/>
              <w:marTop w:val="0"/>
              <w:marBottom w:val="0"/>
              <w:divBdr>
                <w:top w:val="none" w:sz="0" w:space="0" w:color="auto"/>
                <w:left w:val="none" w:sz="0" w:space="0" w:color="auto"/>
                <w:bottom w:val="none" w:sz="0" w:space="0" w:color="auto"/>
                <w:right w:val="none" w:sz="0" w:space="0" w:color="auto"/>
              </w:divBdr>
              <w:divsChild>
                <w:div w:id="640966298">
                  <w:marLeft w:val="0"/>
                  <w:marRight w:val="0"/>
                  <w:marTop w:val="0"/>
                  <w:marBottom w:val="0"/>
                  <w:divBdr>
                    <w:top w:val="none" w:sz="0" w:space="0" w:color="auto"/>
                    <w:left w:val="none" w:sz="0" w:space="0" w:color="auto"/>
                    <w:bottom w:val="none" w:sz="0" w:space="0" w:color="auto"/>
                    <w:right w:val="none" w:sz="0" w:space="0" w:color="auto"/>
                  </w:divBdr>
                </w:div>
              </w:divsChild>
            </w:div>
            <w:div w:id="1812210454">
              <w:marLeft w:val="0"/>
              <w:marRight w:val="0"/>
              <w:marTop w:val="0"/>
              <w:marBottom w:val="0"/>
              <w:divBdr>
                <w:top w:val="none" w:sz="0" w:space="0" w:color="auto"/>
                <w:left w:val="none" w:sz="0" w:space="0" w:color="auto"/>
                <w:bottom w:val="none" w:sz="0" w:space="0" w:color="auto"/>
                <w:right w:val="none" w:sz="0" w:space="0" w:color="auto"/>
              </w:divBdr>
              <w:divsChild>
                <w:div w:id="1062488829">
                  <w:marLeft w:val="0"/>
                  <w:marRight w:val="0"/>
                  <w:marTop w:val="0"/>
                  <w:marBottom w:val="0"/>
                  <w:divBdr>
                    <w:top w:val="none" w:sz="0" w:space="0" w:color="auto"/>
                    <w:left w:val="none" w:sz="0" w:space="0" w:color="auto"/>
                    <w:bottom w:val="none" w:sz="0" w:space="0" w:color="auto"/>
                    <w:right w:val="none" w:sz="0" w:space="0" w:color="auto"/>
                  </w:divBdr>
                </w:div>
              </w:divsChild>
            </w:div>
            <w:div w:id="1813131358">
              <w:marLeft w:val="0"/>
              <w:marRight w:val="0"/>
              <w:marTop w:val="300"/>
              <w:marBottom w:val="300"/>
              <w:divBdr>
                <w:top w:val="none" w:sz="0" w:space="0" w:color="auto"/>
                <w:left w:val="none" w:sz="0" w:space="0" w:color="auto"/>
                <w:bottom w:val="none" w:sz="0" w:space="0" w:color="auto"/>
                <w:right w:val="none" w:sz="0" w:space="0" w:color="auto"/>
              </w:divBdr>
            </w:div>
            <w:div w:id="1814369417">
              <w:marLeft w:val="0"/>
              <w:marRight w:val="0"/>
              <w:marTop w:val="0"/>
              <w:marBottom w:val="0"/>
              <w:divBdr>
                <w:top w:val="none" w:sz="0" w:space="0" w:color="auto"/>
                <w:left w:val="none" w:sz="0" w:space="0" w:color="auto"/>
                <w:bottom w:val="none" w:sz="0" w:space="0" w:color="auto"/>
                <w:right w:val="none" w:sz="0" w:space="0" w:color="auto"/>
              </w:divBdr>
              <w:divsChild>
                <w:div w:id="608313135">
                  <w:marLeft w:val="0"/>
                  <w:marRight w:val="0"/>
                  <w:marTop w:val="0"/>
                  <w:marBottom w:val="0"/>
                  <w:divBdr>
                    <w:top w:val="none" w:sz="0" w:space="0" w:color="auto"/>
                    <w:left w:val="none" w:sz="0" w:space="0" w:color="auto"/>
                    <w:bottom w:val="none" w:sz="0" w:space="0" w:color="auto"/>
                    <w:right w:val="none" w:sz="0" w:space="0" w:color="auto"/>
                  </w:divBdr>
                </w:div>
              </w:divsChild>
            </w:div>
            <w:div w:id="1814373197">
              <w:marLeft w:val="0"/>
              <w:marRight w:val="0"/>
              <w:marTop w:val="0"/>
              <w:marBottom w:val="0"/>
              <w:divBdr>
                <w:top w:val="none" w:sz="0" w:space="0" w:color="auto"/>
                <w:left w:val="none" w:sz="0" w:space="0" w:color="auto"/>
                <w:bottom w:val="none" w:sz="0" w:space="0" w:color="auto"/>
                <w:right w:val="none" w:sz="0" w:space="0" w:color="auto"/>
              </w:divBdr>
              <w:divsChild>
                <w:div w:id="1943568102">
                  <w:marLeft w:val="0"/>
                  <w:marRight w:val="0"/>
                  <w:marTop w:val="0"/>
                  <w:marBottom w:val="0"/>
                  <w:divBdr>
                    <w:top w:val="none" w:sz="0" w:space="0" w:color="auto"/>
                    <w:left w:val="none" w:sz="0" w:space="0" w:color="auto"/>
                    <w:bottom w:val="none" w:sz="0" w:space="0" w:color="auto"/>
                    <w:right w:val="none" w:sz="0" w:space="0" w:color="auto"/>
                  </w:divBdr>
                </w:div>
              </w:divsChild>
            </w:div>
            <w:div w:id="1816020482">
              <w:marLeft w:val="0"/>
              <w:marRight w:val="0"/>
              <w:marTop w:val="0"/>
              <w:marBottom w:val="0"/>
              <w:divBdr>
                <w:top w:val="none" w:sz="0" w:space="0" w:color="auto"/>
                <w:left w:val="none" w:sz="0" w:space="0" w:color="auto"/>
                <w:bottom w:val="none" w:sz="0" w:space="0" w:color="auto"/>
                <w:right w:val="none" w:sz="0" w:space="0" w:color="auto"/>
              </w:divBdr>
              <w:divsChild>
                <w:div w:id="1857159254">
                  <w:marLeft w:val="0"/>
                  <w:marRight w:val="0"/>
                  <w:marTop w:val="0"/>
                  <w:marBottom w:val="0"/>
                  <w:divBdr>
                    <w:top w:val="none" w:sz="0" w:space="0" w:color="auto"/>
                    <w:left w:val="none" w:sz="0" w:space="0" w:color="auto"/>
                    <w:bottom w:val="none" w:sz="0" w:space="0" w:color="auto"/>
                    <w:right w:val="none" w:sz="0" w:space="0" w:color="auto"/>
                  </w:divBdr>
                </w:div>
              </w:divsChild>
            </w:div>
            <w:div w:id="1817838566">
              <w:marLeft w:val="0"/>
              <w:marRight w:val="0"/>
              <w:marTop w:val="0"/>
              <w:marBottom w:val="0"/>
              <w:divBdr>
                <w:top w:val="none" w:sz="0" w:space="0" w:color="auto"/>
                <w:left w:val="none" w:sz="0" w:space="0" w:color="auto"/>
                <w:bottom w:val="none" w:sz="0" w:space="0" w:color="auto"/>
                <w:right w:val="none" w:sz="0" w:space="0" w:color="auto"/>
              </w:divBdr>
              <w:divsChild>
                <w:div w:id="186869640">
                  <w:marLeft w:val="0"/>
                  <w:marRight w:val="0"/>
                  <w:marTop w:val="0"/>
                  <w:marBottom w:val="0"/>
                  <w:divBdr>
                    <w:top w:val="none" w:sz="0" w:space="0" w:color="auto"/>
                    <w:left w:val="none" w:sz="0" w:space="0" w:color="auto"/>
                    <w:bottom w:val="none" w:sz="0" w:space="0" w:color="auto"/>
                    <w:right w:val="none" w:sz="0" w:space="0" w:color="auto"/>
                  </w:divBdr>
                </w:div>
              </w:divsChild>
            </w:div>
            <w:div w:id="1818374330">
              <w:marLeft w:val="0"/>
              <w:marRight w:val="0"/>
              <w:marTop w:val="300"/>
              <w:marBottom w:val="300"/>
              <w:divBdr>
                <w:top w:val="none" w:sz="0" w:space="0" w:color="auto"/>
                <w:left w:val="none" w:sz="0" w:space="0" w:color="auto"/>
                <w:bottom w:val="none" w:sz="0" w:space="0" w:color="auto"/>
                <w:right w:val="none" w:sz="0" w:space="0" w:color="auto"/>
              </w:divBdr>
            </w:div>
            <w:div w:id="1818640993">
              <w:marLeft w:val="0"/>
              <w:marRight w:val="0"/>
              <w:marTop w:val="300"/>
              <w:marBottom w:val="300"/>
              <w:divBdr>
                <w:top w:val="none" w:sz="0" w:space="0" w:color="auto"/>
                <w:left w:val="none" w:sz="0" w:space="0" w:color="auto"/>
                <w:bottom w:val="none" w:sz="0" w:space="0" w:color="auto"/>
                <w:right w:val="none" w:sz="0" w:space="0" w:color="auto"/>
              </w:divBdr>
            </w:div>
            <w:div w:id="1821993651">
              <w:marLeft w:val="0"/>
              <w:marRight w:val="0"/>
              <w:marTop w:val="0"/>
              <w:marBottom w:val="0"/>
              <w:divBdr>
                <w:top w:val="none" w:sz="0" w:space="0" w:color="auto"/>
                <w:left w:val="none" w:sz="0" w:space="0" w:color="auto"/>
                <w:bottom w:val="none" w:sz="0" w:space="0" w:color="auto"/>
                <w:right w:val="none" w:sz="0" w:space="0" w:color="auto"/>
              </w:divBdr>
              <w:divsChild>
                <w:div w:id="1807694381">
                  <w:marLeft w:val="0"/>
                  <w:marRight w:val="0"/>
                  <w:marTop w:val="0"/>
                  <w:marBottom w:val="0"/>
                  <w:divBdr>
                    <w:top w:val="none" w:sz="0" w:space="0" w:color="auto"/>
                    <w:left w:val="none" w:sz="0" w:space="0" w:color="auto"/>
                    <w:bottom w:val="none" w:sz="0" w:space="0" w:color="auto"/>
                    <w:right w:val="none" w:sz="0" w:space="0" w:color="auto"/>
                  </w:divBdr>
                </w:div>
              </w:divsChild>
            </w:div>
            <w:div w:id="1823540641">
              <w:marLeft w:val="0"/>
              <w:marRight w:val="0"/>
              <w:marTop w:val="0"/>
              <w:marBottom w:val="0"/>
              <w:divBdr>
                <w:top w:val="none" w:sz="0" w:space="0" w:color="auto"/>
                <w:left w:val="none" w:sz="0" w:space="0" w:color="auto"/>
                <w:bottom w:val="none" w:sz="0" w:space="0" w:color="auto"/>
                <w:right w:val="none" w:sz="0" w:space="0" w:color="auto"/>
              </w:divBdr>
              <w:divsChild>
                <w:div w:id="1423723101">
                  <w:marLeft w:val="0"/>
                  <w:marRight w:val="0"/>
                  <w:marTop w:val="0"/>
                  <w:marBottom w:val="0"/>
                  <w:divBdr>
                    <w:top w:val="none" w:sz="0" w:space="0" w:color="auto"/>
                    <w:left w:val="none" w:sz="0" w:space="0" w:color="auto"/>
                    <w:bottom w:val="none" w:sz="0" w:space="0" w:color="auto"/>
                    <w:right w:val="none" w:sz="0" w:space="0" w:color="auto"/>
                  </w:divBdr>
                </w:div>
              </w:divsChild>
            </w:div>
            <w:div w:id="1823890395">
              <w:marLeft w:val="0"/>
              <w:marRight w:val="0"/>
              <w:marTop w:val="0"/>
              <w:marBottom w:val="0"/>
              <w:divBdr>
                <w:top w:val="none" w:sz="0" w:space="0" w:color="auto"/>
                <w:left w:val="none" w:sz="0" w:space="0" w:color="auto"/>
                <w:bottom w:val="none" w:sz="0" w:space="0" w:color="auto"/>
                <w:right w:val="none" w:sz="0" w:space="0" w:color="auto"/>
              </w:divBdr>
              <w:divsChild>
                <w:div w:id="864052924">
                  <w:marLeft w:val="0"/>
                  <w:marRight w:val="0"/>
                  <w:marTop w:val="0"/>
                  <w:marBottom w:val="0"/>
                  <w:divBdr>
                    <w:top w:val="none" w:sz="0" w:space="0" w:color="auto"/>
                    <w:left w:val="none" w:sz="0" w:space="0" w:color="auto"/>
                    <w:bottom w:val="none" w:sz="0" w:space="0" w:color="auto"/>
                    <w:right w:val="none" w:sz="0" w:space="0" w:color="auto"/>
                  </w:divBdr>
                </w:div>
              </w:divsChild>
            </w:div>
            <w:div w:id="1823964233">
              <w:marLeft w:val="0"/>
              <w:marRight w:val="0"/>
              <w:marTop w:val="0"/>
              <w:marBottom w:val="0"/>
              <w:divBdr>
                <w:top w:val="none" w:sz="0" w:space="0" w:color="auto"/>
                <w:left w:val="none" w:sz="0" w:space="0" w:color="auto"/>
                <w:bottom w:val="none" w:sz="0" w:space="0" w:color="auto"/>
                <w:right w:val="none" w:sz="0" w:space="0" w:color="auto"/>
              </w:divBdr>
              <w:divsChild>
                <w:div w:id="1792623316">
                  <w:marLeft w:val="0"/>
                  <w:marRight w:val="0"/>
                  <w:marTop w:val="0"/>
                  <w:marBottom w:val="0"/>
                  <w:divBdr>
                    <w:top w:val="none" w:sz="0" w:space="0" w:color="auto"/>
                    <w:left w:val="none" w:sz="0" w:space="0" w:color="auto"/>
                    <w:bottom w:val="none" w:sz="0" w:space="0" w:color="auto"/>
                    <w:right w:val="none" w:sz="0" w:space="0" w:color="auto"/>
                  </w:divBdr>
                </w:div>
              </w:divsChild>
            </w:div>
            <w:div w:id="1824005582">
              <w:marLeft w:val="0"/>
              <w:marRight w:val="0"/>
              <w:marTop w:val="300"/>
              <w:marBottom w:val="300"/>
              <w:divBdr>
                <w:top w:val="none" w:sz="0" w:space="0" w:color="auto"/>
                <w:left w:val="none" w:sz="0" w:space="0" w:color="auto"/>
                <w:bottom w:val="none" w:sz="0" w:space="0" w:color="auto"/>
                <w:right w:val="none" w:sz="0" w:space="0" w:color="auto"/>
              </w:divBdr>
            </w:div>
            <w:div w:id="1825118943">
              <w:marLeft w:val="0"/>
              <w:marRight w:val="0"/>
              <w:marTop w:val="0"/>
              <w:marBottom w:val="0"/>
              <w:divBdr>
                <w:top w:val="none" w:sz="0" w:space="0" w:color="auto"/>
                <w:left w:val="none" w:sz="0" w:space="0" w:color="auto"/>
                <w:bottom w:val="none" w:sz="0" w:space="0" w:color="auto"/>
                <w:right w:val="none" w:sz="0" w:space="0" w:color="auto"/>
              </w:divBdr>
              <w:divsChild>
                <w:div w:id="1982806760">
                  <w:marLeft w:val="0"/>
                  <w:marRight w:val="0"/>
                  <w:marTop w:val="0"/>
                  <w:marBottom w:val="0"/>
                  <w:divBdr>
                    <w:top w:val="none" w:sz="0" w:space="0" w:color="auto"/>
                    <w:left w:val="none" w:sz="0" w:space="0" w:color="auto"/>
                    <w:bottom w:val="none" w:sz="0" w:space="0" w:color="auto"/>
                    <w:right w:val="none" w:sz="0" w:space="0" w:color="auto"/>
                  </w:divBdr>
                </w:div>
              </w:divsChild>
            </w:div>
            <w:div w:id="1825199800">
              <w:marLeft w:val="0"/>
              <w:marRight w:val="0"/>
              <w:marTop w:val="300"/>
              <w:marBottom w:val="300"/>
              <w:divBdr>
                <w:top w:val="none" w:sz="0" w:space="0" w:color="auto"/>
                <w:left w:val="none" w:sz="0" w:space="0" w:color="auto"/>
                <w:bottom w:val="none" w:sz="0" w:space="0" w:color="auto"/>
                <w:right w:val="none" w:sz="0" w:space="0" w:color="auto"/>
              </w:divBdr>
            </w:div>
            <w:div w:id="1826431438">
              <w:marLeft w:val="0"/>
              <w:marRight w:val="0"/>
              <w:marTop w:val="300"/>
              <w:marBottom w:val="300"/>
              <w:divBdr>
                <w:top w:val="none" w:sz="0" w:space="0" w:color="auto"/>
                <w:left w:val="none" w:sz="0" w:space="0" w:color="auto"/>
                <w:bottom w:val="none" w:sz="0" w:space="0" w:color="auto"/>
                <w:right w:val="none" w:sz="0" w:space="0" w:color="auto"/>
              </w:divBdr>
            </w:div>
            <w:div w:id="1826580982">
              <w:marLeft w:val="0"/>
              <w:marRight w:val="0"/>
              <w:marTop w:val="0"/>
              <w:marBottom w:val="0"/>
              <w:divBdr>
                <w:top w:val="none" w:sz="0" w:space="0" w:color="auto"/>
                <w:left w:val="none" w:sz="0" w:space="0" w:color="auto"/>
                <w:bottom w:val="none" w:sz="0" w:space="0" w:color="auto"/>
                <w:right w:val="none" w:sz="0" w:space="0" w:color="auto"/>
              </w:divBdr>
              <w:divsChild>
                <w:div w:id="1380787946">
                  <w:marLeft w:val="0"/>
                  <w:marRight w:val="0"/>
                  <w:marTop w:val="0"/>
                  <w:marBottom w:val="0"/>
                  <w:divBdr>
                    <w:top w:val="none" w:sz="0" w:space="0" w:color="auto"/>
                    <w:left w:val="none" w:sz="0" w:space="0" w:color="auto"/>
                    <w:bottom w:val="none" w:sz="0" w:space="0" w:color="auto"/>
                    <w:right w:val="none" w:sz="0" w:space="0" w:color="auto"/>
                  </w:divBdr>
                </w:div>
              </w:divsChild>
            </w:div>
            <w:div w:id="1830293006">
              <w:marLeft w:val="0"/>
              <w:marRight w:val="0"/>
              <w:marTop w:val="0"/>
              <w:marBottom w:val="0"/>
              <w:divBdr>
                <w:top w:val="none" w:sz="0" w:space="0" w:color="auto"/>
                <w:left w:val="none" w:sz="0" w:space="0" w:color="auto"/>
                <w:bottom w:val="none" w:sz="0" w:space="0" w:color="auto"/>
                <w:right w:val="none" w:sz="0" w:space="0" w:color="auto"/>
              </w:divBdr>
              <w:divsChild>
                <w:div w:id="1810632901">
                  <w:marLeft w:val="0"/>
                  <w:marRight w:val="0"/>
                  <w:marTop w:val="0"/>
                  <w:marBottom w:val="0"/>
                  <w:divBdr>
                    <w:top w:val="none" w:sz="0" w:space="0" w:color="auto"/>
                    <w:left w:val="none" w:sz="0" w:space="0" w:color="auto"/>
                    <w:bottom w:val="none" w:sz="0" w:space="0" w:color="auto"/>
                    <w:right w:val="none" w:sz="0" w:space="0" w:color="auto"/>
                  </w:divBdr>
                </w:div>
              </w:divsChild>
            </w:div>
            <w:div w:id="1830320648">
              <w:marLeft w:val="0"/>
              <w:marRight w:val="0"/>
              <w:marTop w:val="0"/>
              <w:marBottom w:val="0"/>
              <w:divBdr>
                <w:top w:val="none" w:sz="0" w:space="0" w:color="auto"/>
                <w:left w:val="none" w:sz="0" w:space="0" w:color="auto"/>
                <w:bottom w:val="none" w:sz="0" w:space="0" w:color="auto"/>
                <w:right w:val="none" w:sz="0" w:space="0" w:color="auto"/>
              </w:divBdr>
              <w:divsChild>
                <w:div w:id="1880359061">
                  <w:marLeft w:val="0"/>
                  <w:marRight w:val="0"/>
                  <w:marTop w:val="0"/>
                  <w:marBottom w:val="0"/>
                  <w:divBdr>
                    <w:top w:val="none" w:sz="0" w:space="0" w:color="auto"/>
                    <w:left w:val="none" w:sz="0" w:space="0" w:color="auto"/>
                    <w:bottom w:val="none" w:sz="0" w:space="0" w:color="auto"/>
                    <w:right w:val="none" w:sz="0" w:space="0" w:color="auto"/>
                  </w:divBdr>
                </w:div>
              </w:divsChild>
            </w:div>
            <w:div w:id="1832596933">
              <w:marLeft w:val="0"/>
              <w:marRight w:val="0"/>
              <w:marTop w:val="0"/>
              <w:marBottom w:val="0"/>
              <w:divBdr>
                <w:top w:val="none" w:sz="0" w:space="0" w:color="auto"/>
                <w:left w:val="none" w:sz="0" w:space="0" w:color="auto"/>
                <w:bottom w:val="none" w:sz="0" w:space="0" w:color="auto"/>
                <w:right w:val="none" w:sz="0" w:space="0" w:color="auto"/>
              </w:divBdr>
              <w:divsChild>
                <w:div w:id="1370908358">
                  <w:marLeft w:val="0"/>
                  <w:marRight w:val="0"/>
                  <w:marTop w:val="0"/>
                  <w:marBottom w:val="0"/>
                  <w:divBdr>
                    <w:top w:val="none" w:sz="0" w:space="0" w:color="auto"/>
                    <w:left w:val="none" w:sz="0" w:space="0" w:color="auto"/>
                    <w:bottom w:val="none" w:sz="0" w:space="0" w:color="auto"/>
                    <w:right w:val="none" w:sz="0" w:space="0" w:color="auto"/>
                  </w:divBdr>
                </w:div>
              </w:divsChild>
            </w:div>
            <w:div w:id="1833328154">
              <w:marLeft w:val="0"/>
              <w:marRight w:val="0"/>
              <w:marTop w:val="0"/>
              <w:marBottom w:val="0"/>
              <w:divBdr>
                <w:top w:val="none" w:sz="0" w:space="0" w:color="auto"/>
                <w:left w:val="none" w:sz="0" w:space="0" w:color="auto"/>
                <w:bottom w:val="none" w:sz="0" w:space="0" w:color="auto"/>
                <w:right w:val="none" w:sz="0" w:space="0" w:color="auto"/>
              </w:divBdr>
              <w:divsChild>
                <w:div w:id="911887461">
                  <w:marLeft w:val="0"/>
                  <w:marRight w:val="0"/>
                  <w:marTop w:val="0"/>
                  <w:marBottom w:val="0"/>
                  <w:divBdr>
                    <w:top w:val="none" w:sz="0" w:space="0" w:color="auto"/>
                    <w:left w:val="none" w:sz="0" w:space="0" w:color="auto"/>
                    <w:bottom w:val="none" w:sz="0" w:space="0" w:color="auto"/>
                    <w:right w:val="none" w:sz="0" w:space="0" w:color="auto"/>
                  </w:divBdr>
                </w:div>
              </w:divsChild>
            </w:div>
            <w:div w:id="1833332433">
              <w:marLeft w:val="0"/>
              <w:marRight w:val="0"/>
              <w:marTop w:val="0"/>
              <w:marBottom w:val="0"/>
              <w:divBdr>
                <w:top w:val="none" w:sz="0" w:space="0" w:color="auto"/>
                <w:left w:val="none" w:sz="0" w:space="0" w:color="auto"/>
                <w:bottom w:val="none" w:sz="0" w:space="0" w:color="auto"/>
                <w:right w:val="none" w:sz="0" w:space="0" w:color="auto"/>
              </w:divBdr>
              <w:divsChild>
                <w:div w:id="914895758">
                  <w:marLeft w:val="0"/>
                  <w:marRight w:val="0"/>
                  <w:marTop w:val="0"/>
                  <w:marBottom w:val="0"/>
                  <w:divBdr>
                    <w:top w:val="none" w:sz="0" w:space="0" w:color="auto"/>
                    <w:left w:val="none" w:sz="0" w:space="0" w:color="auto"/>
                    <w:bottom w:val="none" w:sz="0" w:space="0" w:color="auto"/>
                    <w:right w:val="none" w:sz="0" w:space="0" w:color="auto"/>
                  </w:divBdr>
                </w:div>
              </w:divsChild>
            </w:div>
            <w:div w:id="1833334419">
              <w:marLeft w:val="0"/>
              <w:marRight w:val="0"/>
              <w:marTop w:val="0"/>
              <w:marBottom w:val="0"/>
              <w:divBdr>
                <w:top w:val="none" w:sz="0" w:space="0" w:color="auto"/>
                <w:left w:val="none" w:sz="0" w:space="0" w:color="auto"/>
                <w:bottom w:val="none" w:sz="0" w:space="0" w:color="auto"/>
                <w:right w:val="none" w:sz="0" w:space="0" w:color="auto"/>
              </w:divBdr>
              <w:divsChild>
                <w:div w:id="414323506">
                  <w:marLeft w:val="0"/>
                  <w:marRight w:val="0"/>
                  <w:marTop w:val="0"/>
                  <w:marBottom w:val="0"/>
                  <w:divBdr>
                    <w:top w:val="none" w:sz="0" w:space="0" w:color="auto"/>
                    <w:left w:val="none" w:sz="0" w:space="0" w:color="auto"/>
                    <w:bottom w:val="none" w:sz="0" w:space="0" w:color="auto"/>
                    <w:right w:val="none" w:sz="0" w:space="0" w:color="auto"/>
                  </w:divBdr>
                </w:div>
              </w:divsChild>
            </w:div>
            <w:div w:id="1836413003">
              <w:marLeft w:val="0"/>
              <w:marRight w:val="0"/>
              <w:marTop w:val="0"/>
              <w:marBottom w:val="0"/>
              <w:divBdr>
                <w:top w:val="none" w:sz="0" w:space="0" w:color="auto"/>
                <w:left w:val="none" w:sz="0" w:space="0" w:color="auto"/>
                <w:bottom w:val="none" w:sz="0" w:space="0" w:color="auto"/>
                <w:right w:val="none" w:sz="0" w:space="0" w:color="auto"/>
              </w:divBdr>
              <w:divsChild>
                <w:div w:id="699552780">
                  <w:marLeft w:val="0"/>
                  <w:marRight w:val="0"/>
                  <w:marTop w:val="0"/>
                  <w:marBottom w:val="0"/>
                  <w:divBdr>
                    <w:top w:val="none" w:sz="0" w:space="0" w:color="auto"/>
                    <w:left w:val="none" w:sz="0" w:space="0" w:color="auto"/>
                    <w:bottom w:val="none" w:sz="0" w:space="0" w:color="auto"/>
                    <w:right w:val="none" w:sz="0" w:space="0" w:color="auto"/>
                  </w:divBdr>
                </w:div>
              </w:divsChild>
            </w:div>
            <w:div w:id="1837572873">
              <w:marLeft w:val="0"/>
              <w:marRight w:val="0"/>
              <w:marTop w:val="0"/>
              <w:marBottom w:val="0"/>
              <w:divBdr>
                <w:top w:val="none" w:sz="0" w:space="0" w:color="auto"/>
                <w:left w:val="none" w:sz="0" w:space="0" w:color="auto"/>
                <w:bottom w:val="none" w:sz="0" w:space="0" w:color="auto"/>
                <w:right w:val="none" w:sz="0" w:space="0" w:color="auto"/>
              </w:divBdr>
              <w:divsChild>
                <w:div w:id="1601530220">
                  <w:marLeft w:val="0"/>
                  <w:marRight w:val="0"/>
                  <w:marTop w:val="0"/>
                  <w:marBottom w:val="0"/>
                  <w:divBdr>
                    <w:top w:val="none" w:sz="0" w:space="0" w:color="auto"/>
                    <w:left w:val="none" w:sz="0" w:space="0" w:color="auto"/>
                    <w:bottom w:val="none" w:sz="0" w:space="0" w:color="auto"/>
                    <w:right w:val="none" w:sz="0" w:space="0" w:color="auto"/>
                  </w:divBdr>
                </w:div>
              </w:divsChild>
            </w:div>
            <w:div w:id="1842314630">
              <w:marLeft w:val="0"/>
              <w:marRight w:val="0"/>
              <w:marTop w:val="0"/>
              <w:marBottom w:val="0"/>
              <w:divBdr>
                <w:top w:val="none" w:sz="0" w:space="0" w:color="auto"/>
                <w:left w:val="none" w:sz="0" w:space="0" w:color="auto"/>
                <w:bottom w:val="none" w:sz="0" w:space="0" w:color="auto"/>
                <w:right w:val="none" w:sz="0" w:space="0" w:color="auto"/>
              </w:divBdr>
              <w:divsChild>
                <w:div w:id="1458722925">
                  <w:marLeft w:val="0"/>
                  <w:marRight w:val="0"/>
                  <w:marTop w:val="0"/>
                  <w:marBottom w:val="0"/>
                  <w:divBdr>
                    <w:top w:val="none" w:sz="0" w:space="0" w:color="auto"/>
                    <w:left w:val="none" w:sz="0" w:space="0" w:color="auto"/>
                    <w:bottom w:val="none" w:sz="0" w:space="0" w:color="auto"/>
                    <w:right w:val="none" w:sz="0" w:space="0" w:color="auto"/>
                  </w:divBdr>
                </w:div>
              </w:divsChild>
            </w:div>
            <w:div w:id="1842623399">
              <w:marLeft w:val="0"/>
              <w:marRight w:val="0"/>
              <w:marTop w:val="300"/>
              <w:marBottom w:val="300"/>
              <w:divBdr>
                <w:top w:val="none" w:sz="0" w:space="0" w:color="auto"/>
                <w:left w:val="none" w:sz="0" w:space="0" w:color="auto"/>
                <w:bottom w:val="none" w:sz="0" w:space="0" w:color="auto"/>
                <w:right w:val="none" w:sz="0" w:space="0" w:color="auto"/>
              </w:divBdr>
            </w:div>
            <w:div w:id="1844198166">
              <w:marLeft w:val="0"/>
              <w:marRight w:val="0"/>
              <w:marTop w:val="0"/>
              <w:marBottom w:val="0"/>
              <w:divBdr>
                <w:top w:val="none" w:sz="0" w:space="0" w:color="auto"/>
                <w:left w:val="none" w:sz="0" w:space="0" w:color="auto"/>
                <w:bottom w:val="none" w:sz="0" w:space="0" w:color="auto"/>
                <w:right w:val="none" w:sz="0" w:space="0" w:color="auto"/>
              </w:divBdr>
              <w:divsChild>
                <w:div w:id="1306930395">
                  <w:marLeft w:val="0"/>
                  <w:marRight w:val="0"/>
                  <w:marTop w:val="0"/>
                  <w:marBottom w:val="0"/>
                  <w:divBdr>
                    <w:top w:val="none" w:sz="0" w:space="0" w:color="auto"/>
                    <w:left w:val="none" w:sz="0" w:space="0" w:color="auto"/>
                    <w:bottom w:val="none" w:sz="0" w:space="0" w:color="auto"/>
                    <w:right w:val="none" w:sz="0" w:space="0" w:color="auto"/>
                  </w:divBdr>
                </w:div>
              </w:divsChild>
            </w:div>
            <w:div w:id="1846246569">
              <w:marLeft w:val="0"/>
              <w:marRight w:val="0"/>
              <w:marTop w:val="0"/>
              <w:marBottom w:val="0"/>
              <w:divBdr>
                <w:top w:val="none" w:sz="0" w:space="0" w:color="auto"/>
                <w:left w:val="none" w:sz="0" w:space="0" w:color="auto"/>
                <w:bottom w:val="none" w:sz="0" w:space="0" w:color="auto"/>
                <w:right w:val="none" w:sz="0" w:space="0" w:color="auto"/>
              </w:divBdr>
              <w:divsChild>
                <w:div w:id="89282846">
                  <w:marLeft w:val="0"/>
                  <w:marRight w:val="0"/>
                  <w:marTop w:val="0"/>
                  <w:marBottom w:val="0"/>
                  <w:divBdr>
                    <w:top w:val="none" w:sz="0" w:space="0" w:color="auto"/>
                    <w:left w:val="none" w:sz="0" w:space="0" w:color="auto"/>
                    <w:bottom w:val="none" w:sz="0" w:space="0" w:color="auto"/>
                    <w:right w:val="none" w:sz="0" w:space="0" w:color="auto"/>
                  </w:divBdr>
                </w:div>
              </w:divsChild>
            </w:div>
            <w:div w:id="1847209441">
              <w:marLeft w:val="0"/>
              <w:marRight w:val="0"/>
              <w:marTop w:val="0"/>
              <w:marBottom w:val="0"/>
              <w:divBdr>
                <w:top w:val="none" w:sz="0" w:space="0" w:color="auto"/>
                <w:left w:val="none" w:sz="0" w:space="0" w:color="auto"/>
                <w:bottom w:val="none" w:sz="0" w:space="0" w:color="auto"/>
                <w:right w:val="none" w:sz="0" w:space="0" w:color="auto"/>
              </w:divBdr>
              <w:divsChild>
                <w:div w:id="649361596">
                  <w:marLeft w:val="0"/>
                  <w:marRight w:val="0"/>
                  <w:marTop w:val="0"/>
                  <w:marBottom w:val="0"/>
                  <w:divBdr>
                    <w:top w:val="none" w:sz="0" w:space="0" w:color="auto"/>
                    <w:left w:val="none" w:sz="0" w:space="0" w:color="auto"/>
                    <w:bottom w:val="none" w:sz="0" w:space="0" w:color="auto"/>
                    <w:right w:val="none" w:sz="0" w:space="0" w:color="auto"/>
                  </w:divBdr>
                </w:div>
              </w:divsChild>
            </w:div>
            <w:div w:id="1847478811">
              <w:marLeft w:val="0"/>
              <w:marRight w:val="0"/>
              <w:marTop w:val="0"/>
              <w:marBottom w:val="0"/>
              <w:divBdr>
                <w:top w:val="none" w:sz="0" w:space="0" w:color="auto"/>
                <w:left w:val="none" w:sz="0" w:space="0" w:color="auto"/>
                <w:bottom w:val="none" w:sz="0" w:space="0" w:color="auto"/>
                <w:right w:val="none" w:sz="0" w:space="0" w:color="auto"/>
              </w:divBdr>
              <w:divsChild>
                <w:div w:id="27800966">
                  <w:marLeft w:val="0"/>
                  <w:marRight w:val="0"/>
                  <w:marTop w:val="0"/>
                  <w:marBottom w:val="0"/>
                  <w:divBdr>
                    <w:top w:val="none" w:sz="0" w:space="0" w:color="auto"/>
                    <w:left w:val="none" w:sz="0" w:space="0" w:color="auto"/>
                    <w:bottom w:val="none" w:sz="0" w:space="0" w:color="auto"/>
                    <w:right w:val="none" w:sz="0" w:space="0" w:color="auto"/>
                  </w:divBdr>
                </w:div>
              </w:divsChild>
            </w:div>
            <w:div w:id="1848012817">
              <w:marLeft w:val="0"/>
              <w:marRight w:val="0"/>
              <w:marTop w:val="0"/>
              <w:marBottom w:val="0"/>
              <w:divBdr>
                <w:top w:val="none" w:sz="0" w:space="0" w:color="auto"/>
                <w:left w:val="none" w:sz="0" w:space="0" w:color="auto"/>
                <w:bottom w:val="none" w:sz="0" w:space="0" w:color="auto"/>
                <w:right w:val="none" w:sz="0" w:space="0" w:color="auto"/>
              </w:divBdr>
              <w:divsChild>
                <w:div w:id="335812993">
                  <w:marLeft w:val="0"/>
                  <w:marRight w:val="0"/>
                  <w:marTop w:val="0"/>
                  <w:marBottom w:val="0"/>
                  <w:divBdr>
                    <w:top w:val="none" w:sz="0" w:space="0" w:color="auto"/>
                    <w:left w:val="none" w:sz="0" w:space="0" w:color="auto"/>
                    <w:bottom w:val="none" w:sz="0" w:space="0" w:color="auto"/>
                    <w:right w:val="none" w:sz="0" w:space="0" w:color="auto"/>
                  </w:divBdr>
                </w:div>
              </w:divsChild>
            </w:div>
            <w:div w:id="1848596460">
              <w:marLeft w:val="0"/>
              <w:marRight w:val="0"/>
              <w:marTop w:val="0"/>
              <w:marBottom w:val="0"/>
              <w:divBdr>
                <w:top w:val="none" w:sz="0" w:space="0" w:color="auto"/>
                <w:left w:val="none" w:sz="0" w:space="0" w:color="auto"/>
                <w:bottom w:val="none" w:sz="0" w:space="0" w:color="auto"/>
                <w:right w:val="none" w:sz="0" w:space="0" w:color="auto"/>
              </w:divBdr>
              <w:divsChild>
                <w:div w:id="1140073200">
                  <w:marLeft w:val="0"/>
                  <w:marRight w:val="0"/>
                  <w:marTop w:val="0"/>
                  <w:marBottom w:val="0"/>
                  <w:divBdr>
                    <w:top w:val="none" w:sz="0" w:space="0" w:color="auto"/>
                    <w:left w:val="none" w:sz="0" w:space="0" w:color="auto"/>
                    <w:bottom w:val="none" w:sz="0" w:space="0" w:color="auto"/>
                    <w:right w:val="none" w:sz="0" w:space="0" w:color="auto"/>
                  </w:divBdr>
                </w:div>
              </w:divsChild>
            </w:div>
            <w:div w:id="1848789934">
              <w:marLeft w:val="0"/>
              <w:marRight w:val="0"/>
              <w:marTop w:val="0"/>
              <w:marBottom w:val="0"/>
              <w:divBdr>
                <w:top w:val="none" w:sz="0" w:space="0" w:color="auto"/>
                <w:left w:val="none" w:sz="0" w:space="0" w:color="auto"/>
                <w:bottom w:val="none" w:sz="0" w:space="0" w:color="auto"/>
                <w:right w:val="none" w:sz="0" w:space="0" w:color="auto"/>
              </w:divBdr>
              <w:divsChild>
                <w:div w:id="2039430321">
                  <w:marLeft w:val="0"/>
                  <w:marRight w:val="0"/>
                  <w:marTop w:val="0"/>
                  <w:marBottom w:val="0"/>
                  <w:divBdr>
                    <w:top w:val="none" w:sz="0" w:space="0" w:color="auto"/>
                    <w:left w:val="none" w:sz="0" w:space="0" w:color="auto"/>
                    <w:bottom w:val="none" w:sz="0" w:space="0" w:color="auto"/>
                    <w:right w:val="none" w:sz="0" w:space="0" w:color="auto"/>
                  </w:divBdr>
                </w:div>
              </w:divsChild>
            </w:div>
            <w:div w:id="1849175350">
              <w:marLeft w:val="0"/>
              <w:marRight w:val="0"/>
              <w:marTop w:val="0"/>
              <w:marBottom w:val="0"/>
              <w:divBdr>
                <w:top w:val="none" w:sz="0" w:space="0" w:color="auto"/>
                <w:left w:val="none" w:sz="0" w:space="0" w:color="auto"/>
                <w:bottom w:val="none" w:sz="0" w:space="0" w:color="auto"/>
                <w:right w:val="none" w:sz="0" w:space="0" w:color="auto"/>
              </w:divBdr>
              <w:divsChild>
                <w:div w:id="145779899">
                  <w:marLeft w:val="0"/>
                  <w:marRight w:val="0"/>
                  <w:marTop w:val="0"/>
                  <w:marBottom w:val="0"/>
                  <w:divBdr>
                    <w:top w:val="none" w:sz="0" w:space="0" w:color="auto"/>
                    <w:left w:val="none" w:sz="0" w:space="0" w:color="auto"/>
                    <w:bottom w:val="none" w:sz="0" w:space="0" w:color="auto"/>
                    <w:right w:val="none" w:sz="0" w:space="0" w:color="auto"/>
                  </w:divBdr>
                </w:div>
              </w:divsChild>
            </w:div>
            <w:div w:id="1850676480">
              <w:marLeft w:val="0"/>
              <w:marRight w:val="0"/>
              <w:marTop w:val="0"/>
              <w:marBottom w:val="0"/>
              <w:divBdr>
                <w:top w:val="none" w:sz="0" w:space="0" w:color="auto"/>
                <w:left w:val="none" w:sz="0" w:space="0" w:color="auto"/>
                <w:bottom w:val="none" w:sz="0" w:space="0" w:color="auto"/>
                <w:right w:val="none" w:sz="0" w:space="0" w:color="auto"/>
              </w:divBdr>
              <w:divsChild>
                <w:div w:id="557015533">
                  <w:marLeft w:val="0"/>
                  <w:marRight w:val="0"/>
                  <w:marTop w:val="0"/>
                  <w:marBottom w:val="0"/>
                  <w:divBdr>
                    <w:top w:val="none" w:sz="0" w:space="0" w:color="auto"/>
                    <w:left w:val="none" w:sz="0" w:space="0" w:color="auto"/>
                    <w:bottom w:val="none" w:sz="0" w:space="0" w:color="auto"/>
                    <w:right w:val="none" w:sz="0" w:space="0" w:color="auto"/>
                  </w:divBdr>
                </w:div>
              </w:divsChild>
            </w:div>
            <w:div w:id="1851020642">
              <w:marLeft w:val="0"/>
              <w:marRight w:val="0"/>
              <w:marTop w:val="0"/>
              <w:marBottom w:val="0"/>
              <w:divBdr>
                <w:top w:val="none" w:sz="0" w:space="0" w:color="auto"/>
                <w:left w:val="none" w:sz="0" w:space="0" w:color="auto"/>
                <w:bottom w:val="none" w:sz="0" w:space="0" w:color="auto"/>
                <w:right w:val="none" w:sz="0" w:space="0" w:color="auto"/>
              </w:divBdr>
              <w:divsChild>
                <w:div w:id="1344160475">
                  <w:marLeft w:val="0"/>
                  <w:marRight w:val="0"/>
                  <w:marTop w:val="0"/>
                  <w:marBottom w:val="0"/>
                  <w:divBdr>
                    <w:top w:val="none" w:sz="0" w:space="0" w:color="auto"/>
                    <w:left w:val="none" w:sz="0" w:space="0" w:color="auto"/>
                    <w:bottom w:val="none" w:sz="0" w:space="0" w:color="auto"/>
                    <w:right w:val="none" w:sz="0" w:space="0" w:color="auto"/>
                  </w:divBdr>
                </w:div>
              </w:divsChild>
            </w:div>
            <w:div w:id="1854223440">
              <w:marLeft w:val="0"/>
              <w:marRight w:val="0"/>
              <w:marTop w:val="0"/>
              <w:marBottom w:val="0"/>
              <w:divBdr>
                <w:top w:val="none" w:sz="0" w:space="0" w:color="auto"/>
                <w:left w:val="none" w:sz="0" w:space="0" w:color="auto"/>
                <w:bottom w:val="none" w:sz="0" w:space="0" w:color="auto"/>
                <w:right w:val="none" w:sz="0" w:space="0" w:color="auto"/>
              </w:divBdr>
              <w:divsChild>
                <w:div w:id="600916135">
                  <w:marLeft w:val="0"/>
                  <w:marRight w:val="0"/>
                  <w:marTop w:val="0"/>
                  <w:marBottom w:val="0"/>
                  <w:divBdr>
                    <w:top w:val="none" w:sz="0" w:space="0" w:color="auto"/>
                    <w:left w:val="none" w:sz="0" w:space="0" w:color="auto"/>
                    <w:bottom w:val="none" w:sz="0" w:space="0" w:color="auto"/>
                    <w:right w:val="none" w:sz="0" w:space="0" w:color="auto"/>
                  </w:divBdr>
                </w:div>
              </w:divsChild>
            </w:div>
            <w:div w:id="1854227388">
              <w:marLeft w:val="0"/>
              <w:marRight w:val="0"/>
              <w:marTop w:val="0"/>
              <w:marBottom w:val="0"/>
              <w:divBdr>
                <w:top w:val="none" w:sz="0" w:space="0" w:color="auto"/>
                <w:left w:val="none" w:sz="0" w:space="0" w:color="auto"/>
                <w:bottom w:val="none" w:sz="0" w:space="0" w:color="auto"/>
                <w:right w:val="none" w:sz="0" w:space="0" w:color="auto"/>
              </w:divBdr>
              <w:divsChild>
                <w:div w:id="337385990">
                  <w:marLeft w:val="0"/>
                  <w:marRight w:val="0"/>
                  <w:marTop w:val="0"/>
                  <w:marBottom w:val="0"/>
                  <w:divBdr>
                    <w:top w:val="none" w:sz="0" w:space="0" w:color="auto"/>
                    <w:left w:val="none" w:sz="0" w:space="0" w:color="auto"/>
                    <w:bottom w:val="none" w:sz="0" w:space="0" w:color="auto"/>
                    <w:right w:val="none" w:sz="0" w:space="0" w:color="auto"/>
                  </w:divBdr>
                </w:div>
              </w:divsChild>
            </w:div>
            <w:div w:id="1857184322">
              <w:marLeft w:val="0"/>
              <w:marRight w:val="0"/>
              <w:marTop w:val="0"/>
              <w:marBottom w:val="0"/>
              <w:divBdr>
                <w:top w:val="none" w:sz="0" w:space="0" w:color="auto"/>
                <w:left w:val="none" w:sz="0" w:space="0" w:color="auto"/>
                <w:bottom w:val="none" w:sz="0" w:space="0" w:color="auto"/>
                <w:right w:val="none" w:sz="0" w:space="0" w:color="auto"/>
              </w:divBdr>
              <w:divsChild>
                <w:div w:id="1157964422">
                  <w:marLeft w:val="0"/>
                  <w:marRight w:val="0"/>
                  <w:marTop w:val="0"/>
                  <w:marBottom w:val="0"/>
                  <w:divBdr>
                    <w:top w:val="none" w:sz="0" w:space="0" w:color="auto"/>
                    <w:left w:val="none" w:sz="0" w:space="0" w:color="auto"/>
                    <w:bottom w:val="none" w:sz="0" w:space="0" w:color="auto"/>
                    <w:right w:val="none" w:sz="0" w:space="0" w:color="auto"/>
                  </w:divBdr>
                </w:div>
              </w:divsChild>
            </w:div>
            <w:div w:id="1857691090">
              <w:marLeft w:val="0"/>
              <w:marRight w:val="0"/>
              <w:marTop w:val="0"/>
              <w:marBottom w:val="0"/>
              <w:divBdr>
                <w:top w:val="none" w:sz="0" w:space="0" w:color="auto"/>
                <w:left w:val="none" w:sz="0" w:space="0" w:color="auto"/>
                <w:bottom w:val="none" w:sz="0" w:space="0" w:color="auto"/>
                <w:right w:val="none" w:sz="0" w:space="0" w:color="auto"/>
              </w:divBdr>
              <w:divsChild>
                <w:div w:id="195507920">
                  <w:marLeft w:val="0"/>
                  <w:marRight w:val="0"/>
                  <w:marTop w:val="0"/>
                  <w:marBottom w:val="0"/>
                  <w:divBdr>
                    <w:top w:val="none" w:sz="0" w:space="0" w:color="auto"/>
                    <w:left w:val="none" w:sz="0" w:space="0" w:color="auto"/>
                    <w:bottom w:val="none" w:sz="0" w:space="0" w:color="auto"/>
                    <w:right w:val="none" w:sz="0" w:space="0" w:color="auto"/>
                  </w:divBdr>
                </w:div>
              </w:divsChild>
            </w:div>
            <w:div w:id="1858156664">
              <w:marLeft w:val="0"/>
              <w:marRight w:val="0"/>
              <w:marTop w:val="0"/>
              <w:marBottom w:val="0"/>
              <w:divBdr>
                <w:top w:val="none" w:sz="0" w:space="0" w:color="auto"/>
                <w:left w:val="none" w:sz="0" w:space="0" w:color="auto"/>
                <w:bottom w:val="none" w:sz="0" w:space="0" w:color="auto"/>
                <w:right w:val="none" w:sz="0" w:space="0" w:color="auto"/>
              </w:divBdr>
              <w:divsChild>
                <w:div w:id="664167507">
                  <w:marLeft w:val="0"/>
                  <w:marRight w:val="0"/>
                  <w:marTop w:val="0"/>
                  <w:marBottom w:val="0"/>
                  <w:divBdr>
                    <w:top w:val="none" w:sz="0" w:space="0" w:color="auto"/>
                    <w:left w:val="none" w:sz="0" w:space="0" w:color="auto"/>
                    <w:bottom w:val="none" w:sz="0" w:space="0" w:color="auto"/>
                    <w:right w:val="none" w:sz="0" w:space="0" w:color="auto"/>
                  </w:divBdr>
                </w:div>
              </w:divsChild>
            </w:div>
            <w:div w:id="1860971320">
              <w:marLeft w:val="0"/>
              <w:marRight w:val="0"/>
              <w:marTop w:val="0"/>
              <w:marBottom w:val="0"/>
              <w:divBdr>
                <w:top w:val="none" w:sz="0" w:space="0" w:color="auto"/>
                <w:left w:val="none" w:sz="0" w:space="0" w:color="auto"/>
                <w:bottom w:val="none" w:sz="0" w:space="0" w:color="auto"/>
                <w:right w:val="none" w:sz="0" w:space="0" w:color="auto"/>
              </w:divBdr>
              <w:divsChild>
                <w:div w:id="1133017763">
                  <w:marLeft w:val="0"/>
                  <w:marRight w:val="0"/>
                  <w:marTop w:val="0"/>
                  <w:marBottom w:val="0"/>
                  <w:divBdr>
                    <w:top w:val="none" w:sz="0" w:space="0" w:color="auto"/>
                    <w:left w:val="none" w:sz="0" w:space="0" w:color="auto"/>
                    <w:bottom w:val="none" w:sz="0" w:space="0" w:color="auto"/>
                    <w:right w:val="none" w:sz="0" w:space="0" w:color="auto"/>
                  </w:divBdr>
                </w:div>
              </w:divsChild>
            </w:div>
            <w:div w:id="1863663839">
              <w:marLeft w:val="0"/>
              <w:marRight w:val="0"/>
              <w:marTop w:val="300"/>
              <w:marBottom w:val="300"/>
              <w:divBdr>
                <w:top w:val="none" w:sz="0" w:space="0" w:color="auto"/>
                <w:left w:val="none" w:sz="0" w:space="0" w:color="auto"/>
                <w:bottom w:val="none" w:sz="0" w:space="0" w:color="auto"/>
                <w:right w:val="none" w:sz="0" w:space="0" w:color="auto"/>
              </w:divBdr>
            </w:div>
            <w:div w:id="1865050484">
              <w:marLeft w:val="0"/>
              <w:marRight w:val="0"/>
              <w:marTop w:val="0"/>
              <w:marBottom w:val="0"/>
              <w:divBdr>
                <w:top w:val="none" w:sz="0" w:space="0" w:color="auto"/>
                <w:left w:val="none" w:sz="0" w:space="0" w:color="auto"/>
                <w:bottom w:val="none" w:sz="0" w:space="0" w:color="auto"/>
                <w:right w:val="none" w:sz="0" w:space="0" w:color="auto"/>
              </w:divBdr>
              <w:divsChild>
                <w:div w:id="119345790">
                  <w:marLeft w:val="0"/>
                  <w:marRight w:val="0"/>
                  <w:marTop w:val="0"/>
                  <w:marBottom w:val="0"/>
                  <w:divBdr>
                    <w:top w:val="none" w:sz="0" w:space="0" w:color="auto"/>
                    <w:left w:val="none" w:sz="0" w:space="0" w:color="auto"/>
                    <w:bottom w:val="none" w:sz="0" w:space="0" w:color="auto"/>
                    <w:right w:val="none" w:sz="0" w:space="0" w:color="auto"/>
                  </w:divBdr>
                </w:div>
              </w:divsChild>
            </w:div>
            <w:div w:id="1867939582">
              <w:marLeft w:val="0"/>
              <w:marRight w:val="0"/>
              <w:marTop w:val="0"/>
              <w:marBottom w:val="0"/>
              <w:divBdr>
                <w:top w:val="none" w:sz="0" w:space="0" w:color="auto"/>
                <w:left w:val="none" w:sz="0" w:space="0" w:color="auto"/>
                <w:bottom w:val="none" w:sz="0" w:space="0" w:color="auto"/>
                <w:right w:val="none" w:sz="0" w:space="0" w:color="auto"/>
              </w:divBdr>
              <w:divsChild>
                <w:div w:id="334503377">
                  <w:marLeft w:val="0"/>
                  <w:marRight w:val="0"/>
                  <w:marTop w:val="0"/>
                  <w:marBottom w:val="0"/>
                  <w:divBdr>
                    <w:top w:val="none" w:sz="0" w:space="0" w:color="auto"/>
                    <w:left w:val="none" w:sz="0" w:space="0" w:color="auto"/>
                    <w:bottom w:val="none" w:sz="0" w:space="0" w:color="auto"/>
                    <w:right w:val="none" w:sz="0" w:space="0" w:color="auto"/>
                  </w:divBdr>
                </w:div>
              </w:divsChild>
            </w:div>
            <w:div w:id="1868175865">
              <w:marLeft w:val="0"/>
              <w:marRight w:val="0"/>
              <w:marTop w:val="300"/>
              <w:marBottom w:val="300"/>
              <w:divBdr>
                <w:top w:val="none" w:sz="0" w:space="0" w:color="auto"/>
                <w:left w:val="none" w:sz="0" w:space="0" w:color="auto"/>
                <w:bottom w:val="none" w:sz="0" w:space="0" w:color="auto"/>
                <w:right w:val="none" w:sz="0" w:space="0" w:color="auto"/>
              </w:divBdr>
            </w:div>
            <w:div w:id="1868332732">
              <w:marLeft w:val="0"/>
              <w:marRight w:val="0"/>
              <w:marTop w:val="0"/>
              <w:marBottom w:val="0"/>
              <w:divBdr>
                <w:top w:val="none" w:sz="0" w:space="0" w:color="auto"/>
                <w:left w:val="none" w:sz="0" w:space="0" w:color="auto"/>
                <w:bottom w:val="none" w:sz="0" w:space="0" w:color="auto"/>
                <w:right w:val="none" w:sz="0" w:space="0" w:color="auto"/>
              </w:divBdr>
              <w:divsChild>
                <w:div w:id="1953004525">
                  <w:marLeft w:val="0"/>
                  <w:marRight w:val="0"/>
                  <w:marTop w:val="0"/>
                  <w:marBottom w:val="0"/>
                  <w:divBdr>
                    <w:top w:val="none" w:sz="0" w:space="0" w:color="auto"/>
                    <w:left w:val="none" w:sz="0" w:space="0" w:color="auto"/>
                    <w:bottom w:val="none" w:sz="0" w:space="0" w:color="auto"/>
                    <w:right w:val="none" w:sz="0" w:space="0" w:color="auto"/>
                  </w:divBdr>
                </w:div>
              </w:divsChild>
            </w:div>
            <w:div w:id="1868718940">
              <w:marLeft w:val="0"/>
              <w:marRight w:val="0"/>
              <w:marTop w:val="0"/>
              <w:marBottom w:val="0"/>
              <w:divBdr>
                <w:top w:val="none" w:sz="0" w:space="0" w:color="auto"/>
                <w:left w:val="none" w:sz="0" w:space="0" w:color="auto"/>
                <w:bottom w:val="none" w:sz="0" w:space="0" w:color="auto"/>
                <w:right w:val="none" w:sz="0" w:space="0" w:color="auto"/>
              </w:divBdr>
              <w:divsChild>
                <w:div w:id="2061705254">
                  <w:marLeft w:val="0"/>
                  <w:marRight w:val="0"/>
                  <w:marTop w:val="0"/>
                  <w:marBottom w:val="0"/>
                  <w:divBdr>
                    <w:top w:val="none" w:sz="0" w:space="0" w:color="auto"/>
                    <w:left w:val="none" w:sz="0" w:space="0" w:color="auto"/>
                    <w:bottom w:val="none" w:sz="0" w:space="0" w:color="auto"/>
                    <w:right w:val="none" w:sz="0" w:space="0" w:color="auto"/>
                  </w:divBdr>
                </w:div>
              </w:divsChild>
            </w:div>
            <w:div w:id="1869025870">
              <w:marLeft w:val="0"/>
              <w:marRight w:val="0"/>
              <w:marTop w:val="0"/>
              <w:marBottom w:val="0"/>
              <w:divBdr>
                <w:top w:val="none" w:sz="0" w:space="0" w:color="auto"/>
                <w:left w:val="none" w:sz="0" w:space="0" w:color="auto"/>
                <w:bottom w:val="none" w:sz="0" w:space="0" w:color="auto"/>
                <w:right w:val="none" w:sz="0" w:space="0" w:color="auto"/>
              </w:divBdr>
              <w:divsChild>
                <w:div w:id="909576956">
                  <w:marLeft w:val="0"/>
                  <w:marRight w:val="0"/>
                  <w:marTop w:val="0"/>
                  <w:marBottom w:val="0"/>
                  <w:divBdr>
                    <w:top w:val="none" w:sz="0" w:space="0" w:color="auto"/>
                    <w:left w:val="none" w:sz="0" w:space="0" w:color="auto"/>
                    <w:bottom w:val="none" w:sz="0" w:space="0" w:color="auto"/>
                    <w:right w:val="none" w:sz="0" w:space="0" w:color="auto"/>
                  </w:divBdr>
                </w:div>
              </w:divsChild>
            </w:div>
            <w:div w:id="1869295682">
              <w:marLeft w:val="0"/>
              <w:marRight w:val="0"/>
              <w:marTop w:val="0"/>
              <w:marBottom w:val="0"/>
              <w:divBdr>
                <w:top w:val="none" w:sz="0" w:space="0" w:color="auto"/>
                <w:left w:val="none" w:sz="0" w:space="0" w:color="auto"/>
                <w:bottom w:val="none" w:sz="0" w:space="0" w:color="auto"/>
                <w:right w:val="none" w:sz="0" w:space="0" w:color="auto"/>
              </w:divBdr>
              <w:divsChild>
                <w:div w:id="1357536148">
                  <w:marLeft w:val="0"/>
                  <w:marRight w:val="0"/>
                  <w:marTop w:val="0"/>
                  <w:marBottom w:val="0"/>
                  <w:divBdr>
                    <w:top w:val="none" w:sz="0" w:space="0" w:color="auto"/>
                    <w:left w:val="none" w:sz="0" w:space="0" w:color="auto"/>
                    <w:bottom w:val="none" w:sz="0" w:space="0" w:color="auto"/>
                    <w:right w:val="none" w:sz="0" w:space="0" w:color="auto"/>
                  </w:divBdr>
                </w:div>
              </w:divsChild>
            </w:div>
            <w:div w:id="1870100612">
              <w:marLeft w:val="0"/>
              <w:marRight w:val="0"/>
              <w:marTop w:val="0"/>
              <w:marBottom w:val="0"/>
              <w:divBdr>
                <w:top w:val="none" w:sz="0" w:space="0" w:color="auto"/>
                <w:left w:val="none" w:sz="0" w:space="0" w:color="auto"/>
                <w:bottom w:val="none" w:sz="0" w:space="0" w:color="auto"/>
                <w:right w:val="none" w:sz="0" w:space="0" w:color="auto"/>
              </w:divBdr>
              <w:divsChild>
                <w:div w:id="26414664">
                  <w:marLeft w:val="0"/>
                  <w:marRight w:val="0"/>
                  <w:marTop w:val="0"/>
                  <w:marBottom w:val="0"/>
                  <w:divBdr>
                    <w:top w:val="none" w:sz="0" w:space="0" w:color="auto"/>
                    <w:left w:val="none" w:sz="0" w:space="0" w:color="auto"/>
                    <w:bottom w:val="none" w:sz="0" w:space="0" w:color="auto"/>
                    <w:right w:val="none" w:sz="0" w:space="0" w:color="auto"/>
                  </w:divBdr>
                </w:div>
              </w:divsChild>
            </w:div>
            <w:div w:id="1871062417">
              <w:marLeft w:val="0"/>
              <w:marRight w:val="0"/>
              <w:marTop w:val="0"/>
              <w:marBottom w:val="0"/>
              <w:divBdr>
                <w:top w:val="none" w:sz="0" w:space="0" w:color="auto"/>
                <w:left w:val="none" w:sz="0" w:space="0" w:color="auto"/>
                <w:bottom w:val="none" w:sz="0" w:space="0" w:color="auto"/>
                <w:right w:val="none" w:sz="0" w:space="0" w:color="auto"/>
              </w:divBdr>
              <w:divsChild>
                <w:div w:id="227543417">
                  <w:marLeft w:val="0"/>
                  <w:marRight w:val="0"/>
                  <w:marTop w:val="0"/>
                  <w:marBottom w:val="0"/>
                  <w:divBdr>
                    <w:top w:val="none" w:sz="0" w:space="0" w:color="auto"/>
                    <w:left w:val="none" w:sz="0" w:space="0" w:color="auto"/>
                    <w:bottom w:val="none" w:sz="0" w:space="0" w:color="auto"/>
                    <w:right w:val="none" w:sz="0" w:space="0" w:color="auto"/>
                  </w:divBdr>
                </w:div>
              </w:divsChild>
            </w:div>
            <w:div w:id="1872374986">
              <w:marLeft w:val="0"/>
              <w:marRight w:val="0"/>
              <w:marTop w:val="0"/>
              <w:marBottom w:val="0"/>
              <w:divBdr>
                <w:top w:val="none" w:sz="0" w:space="0" w:color="auto"/>
                <w:left w:val="none" w:sz="0" w:space="0" w:color="auto"/>
                <w:bottom w:val="none" w:sz="0" w:space="0" w:color="auto"/>
                <w:right w:val="none" w:sz="0" w:space="0" w:color="auto"/>
              </w:divBdr>
              <w:divsChild>
                <w:div w:id="1122377896">
                  <w:marLeft w:val="0"/>
                  <w:marRight w:val="0"/>
                  <w:marTop w:val="0"/>
                  <w:marBottom w:val="0"/>
                  <w:divBdr>
                    <w:top w:val="none" w:sz="0" w:space="0" w:color="auto"/>
                    <w:left w:val="none" w:sz="0" w:space="0" w:color="auto"/>
                    <w:bottom w:val="none" w:sz="0" w:space="0" w:color="auto"/>
                    <w:right w:val="none" w:sz="0" w:space="0" w:color="auto"/>
                  </w:divBdr>
                </w:div>
              </w:divsChild>
            </w:div>
            <w:div w:id="1873222960">
              <w:marLeft w:val="0"/>
              <w:marRight w:val="0"/>
              <w:marTop w:val="0"/>
              <w:marBottom w:val="0"/>
              <w:divBdr>
                <w:top w:val="none" w:sz="0" w:space="0" w:color="auto"/>
                <w:left w:val="none" w:sz="0" w:space="0" w:color="auto"/>
                <w:bottom w:val="none" w:sz="0" w:space="0" w:color="auto"/>
                <w:right w:val="none" w:sz="0" w:space="0" w:color="auto"/>
              </w:divBdr>
              <w:divsChild>
                <w:div w:id="2003387119">
                  <w:marLeft w:val="0"/>
                  <w:marRight w:val="0"/>
                  <w:marTop w:val="0"/>
                  <w:marBottom w:val="0"/>
                  <w:divBdr>
                    <w:top w:val="none" w:sz="0" w:space="0" w:color="auto"/>
                    <w:left w:val="none" w:sz="0" w:space="0" w:color="auto"/>
                    <w:bottom w:val="none" w:sz="0" w:space="0" w:color="auto"/>
                    <w:right w:val="none" w:sz="0" w:space="0" w:color="auto"/>
                  </w:divBdr>
                </w:div>
              </w:divsChild>
            </w:div>
            <w:div w:id="1874613617">
              <w:marLeft w:val="0"/>
              <w:marRight w:val="0"/>
              <w:marTop w:val="0"/>
              <w:marBottom w:val="0"/>
              <w:divBdr>
                <w:top w:val="none" w:sz="0" w:space="0" w:color="auto"/>
                <w:left w:val="none" w:sz="0" w:space="0" w:color="auto"/>
                <w:bottom w:val="none" w:sz="0" w:space="0" w:color="auto"/>
                <w:right w:val="none" w:sz="0" w:space="0" w:color="auto"/>
              </w:divBdr>
              <w:divsChild>
                <w:div w:id="416444116">
                  <w:marLeft w:val="0"/>
                  <w:marRight w:val="0"/>
                  <w:marTop w:val="0"/>
                  <w:marBottom w:val="0"/>
                  <w:divBdr>
                    <w:top w:val="none" w:sz="0" w:space="0" w:color="auto"/>
                    <w:left w:val="none" w:sz="0" w:space="0" w:color="auto"/>
                    <w:bottom w:val="none" w:sz="0" w:space="0" w:color="auto"/>
                    <w:right w:val="none" w:sz="0" w:space="0" w:color="auto"/>
                  </w:divBdr>
                </w:div>
              </w:divsChild>
            </w:div>
            <w:div w:id="1876186609">
              <w:marLeft w:val="0"/>
              <w:marRight w:val="0"/>
              <w:marTop w:val="300"/>
              <w:marBottom w:val="300"/>
              <w:divBdr>
                <w:top w:val="none" w:sz="0" w:space="0" w:color="auto"/>
                <w:left w:val="none" w:sz="0" w:space="0" w:color="auto"/>
                <w:bottom w:val="none" w:sz="0" w:space="0" w:color="auto"/>
                <w:right w:val="none" w:sz="0" w:space="0" w:color="auto"/>
              </w:divBdr>
            </w:div>
            <w:div w:id="1876188850">
              <w:marLeft w:val="0"/>
              <w:marRight w:val="0"/>
              <w:marTop w:val="0"/>
              <w:marBottom w:val="0"/>
              <w:divBdr>
                <w:top w:val="none" w:sz="0" w:space="0" w:color="auto"/>
                <w:left w:val="none" w:sz="0" w:space="0" w:color="auto"/>
                <w:bottom w:val="none" w:sz="0" w:space="0" w:color="auto"/>
                <w:right w:val="none" w:sz="0" w:space="0" w:color="auto"/>
              </w:divBdr>
              <w:divsChild>
                <w:div w:id="281150617">
                  <w:marLeft w:val="0"/>
                  <w:marRight w:val="0"/>
                  <w:marTop w:val="0"/>
                  <w:marBottom w:val="0"/>
                  <w:divBdr>
                    <w:top w:val="none" w:sz="0" w:space="0" w:color="auto"/>
                    <w:left w:val="none" w:sz="0" w:space="0" w:color="auto"/>
                    <w:bottom w:val="none" w:sz="0" w:space="0" w:color="auto"/>
                    <w:right w:val="none" w:sz="0" w:space="0" w:color="auto"/>
                  </w:divBdr>
                </w:div>
              </w:divsChild>
            </w:div>
            <w:div w:id="1876499523">
              <w:marLeft w:val="0"/>
              <w:marRight w:val="0"/>
              <w:marTop w:val="0"/>
              <w:marBottom w:val="0"/>
              <w:divBdr>
                <w:top w:val="none" w:sz="0" w:space="0" w:color="auto"/>
                <w:left w:val="none" w:sz="0" w:space="0" w:color="auto"/>
                <w:bottom w:val="none" w:sz="0" w:space="0" w:color="auto"/>
                <w:right w:val="none" w:sz="0" w:space="0" w:color="auto"/>
              </w:divBdr>
              <w:divsChild>
                <w:div w:id="1074086706">
                  <w:marLeft w:val="0"/>
                  <w:marRight w:val="0"/>
                  <w:marTop w:val="0"/>
                  <w:marBottom w:val="0"/>
                  <w:divBdr>
                    <w:top w:val="none" w:sz="0" w:space="0" w:color="auto"/>
                    <w:left w:val="none" w:sz="0" w:space="0" w:color="auto"/>
                    <w:bottom w:val="none" w:sz="0" w:space="0" w:color="auto"/>
                    <w:right w:val="none" w:sz="0" w:space="0" w:color="auto"/>
                  </w:divBdr>
                </w:div>
              </w:divsChild>
            </w:div>
            <w:div w:id="1877347663">
              <w:marLeft w:val="0"/>
              <w:marRight w:val="0"/>
              <w:marTop w:val="0"/>
              <w:marBottom w:val="0"/>
              <w:divBdr>
                <w:top w:val="none" w:sz="0" w:space="0" w:color="auto"/>
                <w:left w:val="none" w:sz="0" w:space="0" w:color="auto"/>
                <w:bottom w:val="none" w:sz="0" w:space="0" w:color="auto"/>
                <w:right w:val="none" w:sz="0" w:space="0" w:color="auto"/>
              </w:divBdr>
              <w:divsChild>
                <w:div w:id="27536437">
                  <w:marLeft w:val="0"/>
                  <w:marRight w:val="0"/>
                  <w:marTop w:val="0"/>
                  <w:marBottom w:val="0"/>
                  <w:divBdr>
                    <w:top w:val="none" w:sz="0" w:space="0" w:color="auto"/>
                    <w:left w:val="none" w:sz="0" w:space="0" w:color="auto"/>
                    <w:bottom w:val="none" w:sz="0" w:space="0" w:color="auto"/>
                    <w:right w:val="none" w:sz="0" w:space="0" w:color="auto"/>
                  </w:divBdr>
                </w:div>
              </w:divsChild>
            </w:div>
            <w:div w:id="1877692619">
              <w:marLeft w:val="0"/>
              <w:marRight w:val="0"/>
              <w:marTop w:val="0"/>
              <w:marBottom w:val="0"/>
              <w:divBdr>
                <w:top w:val="none" w:sz="0" w:space="0" w:color="auto"/>
                <w:left w:val="none" w:sz="0" w:space="0" w:color="auto"/>
                <w:bottom w:val="none" w:sz="0" w:space="0" w:color="auto"/>
                <w:right w:val="none" w:sz="0" w:space="0" w:color="auto"/>
              </w:divBdr>
              <w:divsChild>
                <w:div w:id="1818106217">
                  <w:marLeft w:val="0"/>
                  <w:marRight w:val="0"/>
                  <w:marTop w:val="0"/>
                  <w:marBottom w:val="0"/>
                  <w:divBdr>
                    <w:top w:val="none" w:sz="0" w:space="0" w:color="auto"/>
                    <w:left w:val="none" w:sz="0" w:space="0" w:color="auto"/>
                    <w:bottom w:val="none" w:sz="0" w:space="0" w:color="auto"/>
                    <w:right w:val="none" w:sz="0" w:space="0" w:color="auto"/>
                  </w:divBdr>
                </w:div>
              </w:divsChild>
            </w:div>
            <w:div w:id="1880119174">
              <w:marLeft w:val="0"/>
              <w:marRight w:val="0"/>
              <w:marTop w:val="0"/>
              <w:marBottom w:val="0"/>
              <w:divBdr>
                <w:top w:val="none" w:sz="0" w:space="0" w:color="auto"/>
                <w:left w:val="none" w:sz="0" w:space="0" w:color="auto"/>
                <w:bottom w:val="none" w:sz="0" w:space="0" w:color="auto"/>
                <w:right w:val="none" w:sz="0" w:space="0" w:color="auto"/>
              </w:divBdr>
              <w:divsChild>
                <w:div w:id="793594428">
                  <w:marLeft w:val="0"/>
                  <w:marRight w:val="0"/>
                  <w:marTop w:val="0"/>
                  <w:marBottom w:val="0"/>
                  <w:divBdr>
                    <w:top w:val="none" w:sz="0" w:space="0" w:color="auto"/>
                    <w:left w:val="none" w:sz="0" w:space="0" w:color="auto"/>
                    <w:bottom w:val="none" w:sz="0" w:space="0" w:color="auto"/>
                    <w:right w:val="none" w:sz="0" w:space="0" w:color="auto"/>
                  </w:divBdr>
                </w:div>
              </w:divsChild>
            </w:div>
            <w:div w:id="1880318725">
              <w:marLeft w:val="0"/>
              <w:marRight w:val="0"/>
              <w:marTop w:val="0"/>
              <w:marBottom w:val="0"/>
              <w:divBdr>
                <w:top w:val="none" w:sz="0" w:space="0" w:color="auto"/>
                <w:left w:val="none" w:sz="0" w:space="0" w:color="auto"/>
                <w:bottom w:val="none" w:sz="0" w:space="0" w:color="auto"/>
                <w:right w:val="none" w:sz="0" w:space="0" w:color="auto"/>
              </w:divBdr>
              <w:divsChild>
                <w:div w:id="149251959">
                  <w:marLeft w:val="0"/>
                  <w:marRight w:val="0"/>
                  <w:marTop w:val="0"/>
                  <w:marBottom w:val="0"/>
                  <w:divBdr>
                    <w:top w:val="none" w:sz="0" w:space="0" w:color="auto"/>
                    <w:left w:val="none" w:sz="0" w:space="0" w:color="auto"/>
                    <w:bottom w:val="none" w:sz="0" w:space="0" w:color="auto"/>
                    <w:right w:val="none" w:sz="0" w:space="0" w:color="auto"/>
                  </w:divBdr>
                </w:div>
              </w:divsChild>
            </w:div>
            <w:div w:id="1880432681">
              <w:marLeft w:val="0"/>
              <w:marRight w:val="0"/>
              <w:marTop w:val="0"/>
              <w:marBottom w:val="0"/>
              <w:divBdr>
                <w:top w:val="none" w:sz="0" w:space="0" w:color="auto"/>
                <w:left w:val="none" w:sz="0" w:space="0" w:color="auto"/>
                <w:bottom w:val="none" w:sz="0" w:space="0" w:color="auto"/>
                <w:right w:val="none" w:sz="0" w:space="0" w:color="auto"/>
              </w:divBdr>
              <w:divsChild>
                <w:div w:id="930626797">
                  <w:marLeft w:val="0"/>
                  <w:marRight w:val="0"/>
                  <w:marTop w:val="0"/>
                  <w:marBottom w:val="0"/>
                  <w:divBdr>
                    <w:top w:val="none" w:sz="0" w:space="0" w:color="auto"/>
                    <w:left w:val="none" w:sz="0" w:space="0" w:color="auto"/>
                    <w:bottom w:val="none" w:sz="0" w:space="0" w:color="auto"/>
                    <w:right w:val="none" w:sz="0" w:space="0" w:color="auto"/>
                  </w:divBdr>
                </w:div>
              </w:divsChild>
            </w:div>
            <w:div w:id="1882326116">
              <w:marLeft w:val="0"/>
              <w:marRight w:val="0"/>
              <w:marTop w:val="0"/>
              <w:marBottom w:val="0"/>
              <w:divBdr>
                <w:top w:val="none" w:sz="0" w:space="0" w:color="auto"/>
                <w:left w:val="none" w:sz="0" w:space="0" w:color="auto"/>
                <w:bottom w:val="none" w:sz="0" w:space="0" w:color="auto"/>
                <w:right w:val="none" w:sz="0" w:space="0" w:color="auto"/>
              </w:divBdr>
              <w:divsChild>
                <w:div w:id="1098066189">
                  <w:marLeft w:val="0"/>
                  <w:marRight w:val="0"/>
                  <w:marTop w:val="0"/>
                  <w:marBottom w:val="0"/>
                  <w:divBdr>
                    <w:top w:val="none" w:sz="0" w:space="0" w:color="auto"/>
                    <w:left w:val="none" w:sz="0" w:space="0" w:color="auto"/>
                    <w:bottom w:val="none" w:sz="0" w:space="0" w:color="auto"/>
                    <w:right w:val="none" w:sz="0" w:space="0" w:color="auto"/>
                  </w:divBdr>
                </w:div>
              </w:divsChild>
            </w:div>
            <w:div w:id="1882937621">
              <w:marLeft w:val="0"/>
              <w:marRight w:val="0"/>
              <w:marTop w:val="300"/>
              <w:marBottom w:val="300"/>
              <w:divBdr>
                <w:top w:val="none" w:sz="0" w:space="0" w:color="auto"/>
                <w:left w:val="none" w:sz="0" w:space="0" w:color="auto"/>
                <w:bottom w:val="none" w:sz="0" w:space="0" w:color="auto"/>
                <w:right w:val="none" w:sz="0" w:space="0" w:color="auto"/>
              </w:divBdr>
            </w:div>
            <w:div w:id="1884096660">
              <w:marLeft w:val="0"/>
              <w:marRight w:val="0"/>
              <w:marTop w:val="0"/>
              <w:marBottom w:val="0"/>
              <w:divBdr>
                <w:top w:val="none" w:sz="0" w:space="0" w:color="auto"/>
                <w:left w:val="none" w:sz="0" w:space="0" w:color="auto"/>
                <w:bottom w:val="none" w:sz="0" w:space="0" w:color="auto"/>
                <w:right w:val="none" w:sz="0" w:space="0" w:color="auto"/>
              </w:divBdr>
              <w:divsChild>
                <w:div w:id="142157753">
                  <w:marLeft w:val="0"/>
                  <w:marRight w:val="0"/>
                  <w:marTop w:val="0"/>
                  <w:marBottom w:val="0"/>
                  <w:divBdr>
                    <w:top w:val="none" w:sz="0" w:space="0" w:color="auto"/>
                    <w:left w:val="none" w:sz="0" w:space="0" w:color="auto"/>
                    <w:bottom w:val="none" w:sz="0" w:space="0" w:color="auto"/>
                    <w:right w:val="none" w:sz="0" w:space="0" w:color="auto"/>
                  </w:divBdr>
                </w:div>
              </w:divsChild>
            </w:div>
            <w:div w:id="1884291820">
              <w:marLeft w:val="0"/>
              <w:marRight w:val="0"/>
              <w:marTop w:val="0"/>
              <w:marBottom w:val="0"/>
              <w:divBdr>
                <w:top w:val="none" w:sz="0" w:space="0" w:color="auto"/>
                <w:left w:val="none" w:sz="0" w:space="0" w:color="auto"/>
                <w:bottom w:val="none" w:sz="0" w:space="0" w:color="auto"/>
                <w:right w:val="none" w:sz="0" w:space="0" w:color="auto"/>
              </w:divBdr>
              <w:divsChild>
                <w:div w:id="719086211">
                  <w:marLeft w:val="0"/>
                  <w:marRight w:val="0"/>
                  <w:marTop w:val="0"/>
                  <w:marBottom w:val="0"/>
                  <w:divBdr>
                    <w:top w:val="none" w:sz="0" w:space="0" w:color="auto"/>
                    <w:left w:val="none" w:sz="0" w:space="0" w:color="auto"/>
                    <w:bottom w:val="none" w:sz="0" w:space="0" w:color="auto"/>
                    <w:right w:val="none" w:sz="0" w:space="0" w:color="auto"/>
                  </w:divBdr>
                </w:div>
              </w:divsChild>
            </w:div>
            <w:div w:id="1885486932">
              <w:marLeft w:val="0"/>
              <w:marRight w:val="0"/>
              <w:marTop w:val="0"/>
              <w:marBottom w:val="0"/>
              <w:divBdr>
                <w:top w:val="none" w:sz="0" w:space="0" w:color="auto"/>
                <w:left w:val="none" w:sz="0" w:space="0" w:color="auto"/>
                <w:bottom w:val="none" w:sz="0" w:space="0" w:color="auto"/>
                <w:right w:val="none" w:sz="0" w:space="0" w:color="auto"/>
              </w:divBdr>
              <w:divsChild>
                <w:div w:id="122697414">
                  <w:marLeft w:val="0"/>
                  <w:marRight w:val="0"/>
                  <w:marTop w:val="0"/>
                  <w:marBottom w:val="0"/>
                  <w:divBdr>
                    <w:top w:val="none" w:sz="0" w:space="0" w:color="auto"/>
                    <w:left w:val="none" w:sz="0" w:space="0" w:color="auto"/>
                    <w:bottom w:val="none" w:sz="0" w:space="0" w:color="auto"/>
                    <w:right w:val="none" w:sz="0" w:space="0" w:color="auto"/>
                  </w:divBdr>
                </w:div>
              </w:divsChild>
            </w:div>
            <w:div w:id="1887448897">
              <w:marLeft w:val="0"/>
              <w:marRight w:val="0"/>
              <w:marTop w:val="0"/>
              <w:marBottom w:val="0"/>
              <w:divBdr>
                <w:top w:val="none" w:sz="0" w:space="0" w:color="auto"/>
                <w:left w:val="none" w:sz="0" w:space="0" w:color="auto"/>
                <w:bottom w:val="none" w:sz="0" w:space="0" w:color="auto"/>
                <w:right w:val="none" w:sz="0" w:space="0" w:color="auto"/>
              </w:divBdr>
              <w:divsChild>
                <w:div w:id="1077634542">
                  <w:marLeft w:val="0"/>
                  <w:marRight w:val="0"/>
                  <w:marTop w:val="0"/>
                  <w:marBottom w:val="0"/>
                  <w:divBdr>
                    <w:top w:val="none" w:sz="0" w:space="0" w:color="auto"/>
                    <w:left w:val="none" w:sz="0" w:space="0" w:color="auto"/>
                    <w:bottom w:val="none" w:sz="0" w:space="0" w:color="auto"/>
                    <w:right w:val="none" w:sz="0" w:space="0" w:color="auto"/>
                  </w:divBdr>
                </w:div>
              </w:divsChild>
            </w:div>
            <w:div w:id="1891768982">
              <w:marLeft w:val="0"/>
              <w:marRight w:val="0"/>
              <w:marTop w:val="0"/>
              <w:marBottom w:val="0"/>
              <w:divBdr>
                <w:top w:val="none" w:sz="0" w:space="0" w:color="auto"/>
                <w:left w:val="none" w:sz="0" w:space="0" w:color="auto"/>
                <w:bottom w:val="none" w:sz="0" w:space="0" w:color="auto"/>
                <w:right w:val="none" w:sz="0" w:space="0" w:color="auto"/>
              </w:divBdr>
              <w:divsChild>
                <w:div w:id="778110219">
                  <w:marLeft w:val="0"/>
                  <w:marRight w:val="0"/>
                  <w:marTop w:val="0"/>
                  <w:marBottom w:val="0"/>
                  <w:divBdr>
                    <w:top w:val="none" w:sz="0" w:space="0" w:color="auto"/>
                    <w:left w:val="none" w:sz="0" w:space="0" w:color="auto"/>
                    <w:bottom w:val="none" w:sz="0" w:space="0" w:color="auto"/>
                    <w:right w:val="none" w:sz="0" w:space="0" w:color="auto"/>
                  </w:divBdr>
                </w:div>
              </w:divsChild>
            </w:div>
            <w:div w:id="1892229274">
              <w:marLeft w:val="0"/>
              <w:marRight w:val="0"/>
              <w:marTop w:val="0"/>
              <w:marBottom w:val="0"/>
              <w:divBdr>
                <w:top w:val="none" w:sz="0" w:space="0" w:color="auto"/>
                <w:left w:val="none" w:sz="0" w:space="0" w:color="auto"/>
                <w:bottom w:val="none" w:sz="0" w:space="0" w:color="auto"/>
                <w:right w:val="none" w:sz="0" w:space="0" w:color="auto"/>
              </w:divBdr>
              <w:divsChild>
                <w:div w:id="1261840556">
                  <w:marLeft w:val="0"/>
                  <w:marRight w:val="0"/>
                  <w:marTop w:val="0"/>
                  <w:marBottom w:val="0"/>
                  <w:divBdr>
                    <w:top w:val="none" w:sz="0" w:space="0" w:color="auto"/>
                    <w:left w:val="none" w:sz="0" w:space="0" w:color="auto"/>
                    <w:bottom w:val="none" w:sz="0" w:space="0" w:color="auto"/>
                    <w:right w:val="none" w:sz="0" w:space="0" w:color="auto"/>
                  </w:divBdr>
                </w:div>
              </w:divsChild>
            </w:div>
            <w:div w:id="1893223475">
              <w:marLeft w:val="0"/>
              <w:marRight w:val="0"/>
              <w:marTop w:val="0"/>
              <w:marBottom w:val="0"/>
              <w:divBdr>
                <w:top w:val="none" w:sz="0" w:space="0" w:color="auto"/>
                <w:left w:val="none" w:sz="0" w:space="0" w:color="auto"/>
                <w:bottom w:val="none" w:sz="0" w:space="0" w:color="auto"/>
                <w:right w:val="none" w:sz="0" w:space="0" w:color="auto"/>
              </w:divBdr>
              <w:divsChild>
                <w:div w:id="1862668192">
                  <w:marLeft w:val="0"/>
                  <w:marRight w:val="0"/>
                  <w:marTop w:val="0"/>
                  <w:marBottom w:val="0"/>
                  <w:divBdr>
                    <w:top w:val="none" w:sz="0" w:space="0" w:color="auto"/>
                    <w:left w:val="none" w:sz="0" w:space="0" w:color="auto"/>
                    <w:bottom w:val="none" w:sz="0" w:space="0" w:color="auto"/>
                    <w:right w:val="none" w:sz="0" w:space="0" w:color="auto"/>
                  </w:divBdr>
                </w:div>
              </w:divsChild>
            </w:div>
            <w:div w:id="1894729467">
              <w:marLeft w:val="0"/>
              <w:marRight w:val="0"/>
              <w:marTop w:val="0"/>
              <w:marBottom w:val="0"/>
              <w:divBdr>
                <w:top w:val="none" w:sz="0" w:space="0" w:color="auto"/>
                <w:left w:val="none" w:sz="0" w:space="0" w:color="auto"/>
                <w:bottom w:val="none" w:sz="0" w:space="0" w:color="auto"/>
                <w:right w:val="none" w:sz="0" w:space="0" w:color="auto"/>
              </w:divBdr>
              <w:divsChild>
                <w:div w:id="1699890367">
                  <w:marLeft w:val="0"/>
                  <w:marRight w:val="0"/>
                  <w:marTop w:val="0"/>
                  <w:marBottom w:val="0"/>
                  <w:divBdr>
                    <w:top w:val="none" w:sz="0" w:space="0" w:color="auto"/>
                    <w:left w:val="none" w:sz="0" w:space="0" w:color="auto"/>
                    <w:bottom w:val="none" w:sz="0" w:space="0" w:color="auto"/>
                    <w:right w:val="none" w:sz="0" w:space="0" w:color="auto"/>
                  </w:divBdr>
                </w:div>
              </w:divsChild>
            </w:div>
            <w:div w:id="1899128059">
              <w:marLeft w:val="0"/>
              <w:marRight w:val="0"/>
              <w:marTop w:val="0"/>
              <w:marBottom w:val="0"/>
              <w:divBdr>
                <w:top w:val="none" w:sz="0" w:space="0" w:color="auto"/>
                <w:left w:val="none" w:sz="0" w:space="0" w:color="auto"/>
                <w:bottom w:val="none" w:sz="0" w:space="0" w:color="auto"/>
                <w:right w:val="none" w:sz="0" w:space="0" w:color="auto"/>
              </w:divBdr>
              <w:divsChild>
                <w:div w:id="442649431">
                  <w:marLeft w:val="0"/>
                  <w:marRight w:val="0"/>
                  <w:marTop w:val="0"/>
                  <w:marBottom w:val="0"/>
                  <w:divBdr>
                    <w:top w:val="none" w:sz="0" w:space="0" w:color="auto"/>
                    <w:left w:val="none" w:sz="0" w:space="0" w:color="auto"/>
                    <w:bottom w:val="none" w:sz="0" w:space="0" w:color="auto"/>
                    <w:right w:val="none" w:sz="0" w:space="0" w:color="auto"/>
                  </w:divBdr>
                </w:div>
              </w:divsChild>
            </w:div>
            <w:div w:id="1900435442">
              <w:marLeft w:val="0"/>
              <w:marRight w:val="0"/>
              <w:marTop w:val="0"/>
              <w:marBottom w:val="0"/>
              <w:divBdr>
                <w:top w:val="none" w:sz="0" w:space="0" w:color="auto"/>
                <w:left w:val="none" w:sz="0" w:space="0" w:color="auto"/>
                <w:bottom w:val="none" w:sz="0" w:space="0" w:color="auto"/>
                <w:right w:val="none" w:sz="0" w:space="0" w:color="auto"/>
              </w:divBdr>
              <w:divsChild>
                <w:div w:id="375276765">
                  <w:marLeft w:val="0"/>
                  <w:marRight w:val="0"/>
                  <w:marTop w:val="0"/>
                  <w:marBottom w:val="0"/>
                  <w:divBdr>
                    <w:top w:val="none" w:sz="0" w:space="0" w:color="auto"/>
                    <w:left w:val="none" w:sz="0" w:space="0" w:color="auto"/>
                    <w:bottom w:val="none" w:sz="0" w:space="0" w:color="auto"/>
                    <w:right w:val="none" w:sz="0" w:space="0" w:color="auto"/>
                  </w:divBdr>
                </w:div>
              </w:divsChild>
            </w:div>
            <w:div w:id="1901018288">
              <w:marLeft w:val="0"/>
              <w:marRight w:val="0"/>
              <w:marTop w:val="0"/>
              <w:marBottom w:val="0"/>
              <w:divBdr>
                <w:top w:val="none" w:sz="0" w:space="0" w:color="auto"/>
                <w:left w:val="none" w:sz="0" w:space="0" w:color="auto"/>
                <w:bottom w:val="none" w:sz="0" w:space="0" w:color="auto"/>
                <w:right w:val="none" w:sz="0" w:space="0" w:color="auto"/>
              </w:divBdr>
              <w:divsChild>
                <w:div w:id="1180196099">
                  <w:marLeft w:val="0"/>
                  <w:marRight w:val="0"/>
                  <w:marTop w:val="0"/>
                  <w:marBottom w:val="0"/>
                  <w:divBdr>
                    <w:top w:val="none" w:sz="0" w:space="0" w:color="auto"/>
                    <w:left w:val="none" w:sz="0" w:space="0" w:color="auto"/>
                    <w:bottom w:val="none" w:sz="0" w:space="0" w:color="auto"/>
                    <w:right w:val="none" w:sz="0" w:space="0" w:color="auto"/>
                  </w:divBdr>
                </w:div>
              </w:divsChild>
            </w:div>
            <w:div w:id="1901401462">
              <w:marLeft w:val="0"/>
              <w:marRight w:val="0"/>
              <w:marTop w:val="0"/>
              <w:marBottom w:val="0"/>
              <w:divBdr>
                <w:top w:val="none" w:sz="0" w:space="0" w:color="auto"/>
                <w:left w:val="none" w:sz="0" w:space="0" w:color="auto"/>
                <w:bottom w:val="none" w:sz="0" w:space="0" w:color="auto"/>
                <w:right w:val="none" w:sz="0" w:space="0" w:color="auto"/>
              </w:divBdr>
              <w:divsChild>
                <w:div w:id="1670331429">
                  <w:marLeft w:val="0"/>
                  <w:marRight w:val="0"/>
                  <w:marTop w:val="0"/>
                  <w:marBottom w:val="0"/>
                  <w:divBdr>
                    <w:top w:val="none" w:sz="0" w:space="0" w:color="auto"/>
                    <w:left w:val="none" w:sz="0" w:space="0" w:color="auto"/>
                    <w:bottom w:val="none" w:sz="0" w:space="0" w:color="auto"/>
                    <w:right w:val="none" w:sz="0" w:space="0" w:color="auto"/>
                  </w:divBdr>
                </w:div>
              </w:divsChild>
            </w:div>
            <w:div w:id="1901867806">
              <w:marLeft w:val="0"/>
              <w:marRight w:val="0"/>
              <w:marTop w:val="0"/>
              <w:marBottom w:val="0"/>
              <w:divBdr>
                <w:top w:val="none" w:sz="0" w:space="0" w:color="auto"/>
                <w:left w:val="none" w:sz="0" w:space="0" w:color="auto"/>
                <w:bottom w:val="none" w:sz="0" w:space="0" w:color="auto"/>
                <w:right w:val="none" w:sz="0" w:space="0" w:color="auto"/>
              </w:divBdr>
              <w:divsChild>
                <w:div w:id="1747995142">
                  <w:marLeft w:val="0"/>
                  <w:marRight w:val="0"/>
                  <w:marTop w:val="0"/>
                  <w:marBottom w:val="0"/>
                  <w:divBdr>
                    <w:top w:val="none" w:sz="0" w:space="0" w:color="auto"/>
                    <w:left w:val="none" w:sz="0" w:space="0" w:color="auto"/>
                    <w:bottom w:val="none" w:sz="0" w:space="0" w:color="auto"/>
                    <w:right w:val="none" w:sz="0" w:space="0" w:color="auto"/>
                  </w:divBdr>
                </w:div>
              </w:divsChild>
            </w:div>
            <w:div w:id="1901986255">
              <w:marLeft w:val="0"/>
              <w:marRight w:val="0"/>
              <w:marTop w:val="0"/>
              <w:marBottom w:val="0"/>
              <w:divBdr>
                <w:top w:val="none" w:sz="0" w:space="0" w:color="auto"/>
                <w:left w:val="none" w:sz="0" w:space="0" w:color="auto"/>
                <w:bottom w:val="none" w:sz="0" w:space="0" w:color="auto"/>
                <w:right w:val="none" w:sz="0" w:space="0" w:color="auto"/>
              </w:divBdr>
              <w:divsChild>
                <w:div w:id="1669819899">
                  <w:marLeft w:val="0"/>
                  <w:marRight w:val="0"/>
                  <w:marTop w:val="0"/>
                  <w:marBottom w:val="0"/>
                  <w:divBdr>
                    <w:top w:val="none" w:sz="0" w:space="0" w:color="auto"/>
                    <w:left w:val="none" w:sz="0" w:space="0" w:color="auto"/>
                    <w:bottom w:val="none" w:sz="0" w:space="0" w:color="auto"/>
                    <w:right w:val="none" w:sz="0" w:space="0" w:color="auto"/>
                  </w:divBdr>
                </w:div>
              </w:divsChild>
            </w:div>
            <w:div w:id="1903328881">
              <w:marLeft w:val="0"/>
              <w:marRight w:val="0"/>
              <w:marTop w:val="0"/>
              <w:marBottom w:val="0"/>
              <w:divBdr>
                <w:top w:val="none" w:sz="0" w:space="0" w:color="auto"/>
                <w:left w:val="none" w:sz="0" w:space="0" w:color="auto"/>
                <w:bottom w:val="none" w:sz="0" w:space="0" w:color="auto"/>
                <w:right w:val="none" w:sz="0" w:space="0" w:color="auto"/>
              </w:divBdr>
              <w:divsChild>
                <w:div w:id="184441695">
                  <w:marLeft w:val="0"/>
                  <w:marRight w:val="0"/>
                  <w:marTop w:val="0"/>
                  <w:marBottom w:val="0"/>
                  <w:divBdr>
                    <w:top w:val="none" w:sz="0" w:space="0" w:color="auto"/>
                    <w:left w:val="none" w:sz="0" w:space="0" w:color="auto"/>
                    <w:bottom w:val="none" w:sz="0" w:space="0" w:color="auto"/>
                    <w:right w:val="none" w:sz="0" w:space="0" w:color="auto"/>
                  </w:divBdr>
                </w:div>
              </w:divsChild>
            </w:div>
            <w:div w:id="1904027983">
              <w:marLeft w:val="0"/>
              <w:marRight w:val="0"/>
              <w:marTop w:val="0"/>
              <w:marBottom w:val="0"/>
              <w:divBdr>
                <w:top w:val="none" w:sz="0" w:space="0" w:color="auto"/>
                <w:left w:val="none" w:sz="0" w:space="0" w:color="auto"/>
                <w:bottom w:val="none" w:sz="0" w:space="0" w:color="auto"/>
                <w:right w:val="none" w:sz="0" w:space="0" w:color="auto"/>
              </w:divBdr>
              <w:divsChild>
                <w:div w:id="508445130">
                  <w:marLeft w:val="0"/>
                  <w:marRight w:val="0"/>
                  <w:marTop w:val="0"/>
                  <w:marBottom w:val="0"/>
                  <w:divBdr>
                    <w:top w:val="none" w:sz="0" w:space="0" w:color="auto"/>
                    <w:left w:val="none" w:sz="0" w:space="0" w:color="auto"/>
                    <w:bottom w:val="none" w:sz="0" w:space="0" w:color="auto"/>
                    <w:right w:val="none" w:sz="0" w:space="0" w:color="auto"/>
                  </w:divBdr>
                </w:div>
              </w:divsChild>
            </w:div>
            <w:div w:id="1904873970">
              <w:marLeft w:val="0"/>
              <w:marRight w:val="0"/>
              <w:marTop w:val="0"/>
              <w:marBottom w:val="0"/>
              <w:divBdr>
                <w:top w:val="none" w:sz="0" w:space="0" w:color="auto"/>
                <w:left w:val="none" w:sz="0" w:space="0" w:color="auto"/>
                <w:bottom w:val="none" w:sz="0" w:space="0" w:color="auto"/>
                <w:right w:val="none" w:sz="0" w:space="0" w:color="auto"/>
              </w:divBdr>
              <w:divsChild>
                <w:div w:id="512769171">
                  <w:marLeft w:val="0"/>
                  <w:marRight w:val="0"/>
                  <w:marTop w:val="0"/>
                  <w:marBottom w:val="0"/>
                  <w:divBdr>
                    <w:top w:val="none" w:sz="0" w:space="0" w:color="auto"/>
                    <w:left w:val="none" w:sz="0" w:space="0" w:color="auto"/>
                    <w:bottom w:val="none" w:sz="0" w:space="0" w:color="auto"/>
                    <w:right w:val="none" w:sz="0" w:space="0" w:color="auto"/>
                  </w:divBdr>
                </w:div>
              </w:divsChild>
            </w:div>
            <w:div w:id="1906911717">
              <w:marLeft w:val="0"/>
              <w:marRight w:val="0"/>
              <w:marTop w:val="0"/>
              <w:marBottom w:val="0"/>
              <w:divBdr>
                <w:top w:val="none" w:sz="0" w:space="0" w:color="auto"/>
                <w:left w:val="none" w:sz="0" w:space="0" w:color="auto"/>
                <w:bottom w:val="none" w:sz="0" w:space="0" w:color="auto"/>
                <w:right w:val="none" w:sz="0" w:space="0" w:color="auto"/>
              </w:divBdr>
              <w:divsChild>
                <w:div w:id="1423139793">
                  <w:marLeft w:val="0"/>
                  <w:marRight w:val="0"/>
                  <w:marTop w:val="0"/>
                  <w:marBottom w:val="0"/>
                  <w:divBdr>
                    <w:top w:val="none" w:sz="0" w:space="0" w:color="auto"/>
                    <w:left w:val="none" w:sz="0" w:space="0" w:color="auto"/>
                    <w:bottom w:val="none" w:sz="0" w:space="0" w:color="auto"/>
                    <w:right w:val="none" w:sz="0" w:space="0" w:color="auto"/>
                  </w:divBdr>
                </w:div>
              </w:divsChild>
            </w:div>
            <w:div w:id="1907568089">
              <w:marLeft w:val="0"/>
              <w:marRight w:val="0"/>
              <w:marTop w:val="0"/>
              <w:marBottom w:val="0"/>
              <w:divBdr>
                <w:top w:val="none" w:sz="0" w:space="0" w:color="auto"/>
                <w:left w:val="none" w:sz="0" w:space="0" w:color="auto"/>
                <w:bottom w:val="none" w:sz="0" w:space="0" w:color="auto"/>
                <w:right w:val="none" w:sz="0" w:space="0" w:color="auto"/>
              </w:divBdr>
              <w:divsChild>
                <w:div w:id="1469281928">
                  <w:marLeft w:val="0"/>
                  <w:marRight w:val="0"/>
                  <w:marTop w:val="0"/>
                  <w:marBottom w:val="0"/>
                  <w:divBdr>
                    <w:top w:val="none" w:sz="0" w:space="0" w:color="auto"/>
                    <w:left w:val="none" w:sz="0" w:space="0" w:color="auto"/>
                    <w:bottom w:val="none" w:sz="0" w:space="0" w:color="auto"/>
                    <w:right w:val="none" w:sz="0" w:space="0" w:color="auto"/>
                  </w:divBdr>
                </w:div>
              </w:divsChild>
            </w:div>
            <w:div w:id="1908610285">
              <w:marLeft w:val="0"/>
              <w:marRight w:val="0"/>
              <w:marTop w:val="300"/>
              <w:marBottom w:val="300"/>
              <w:divBdr>
                <w:top w:val="none" w:sz="0" w:space="0" w:color="auto"/>
                <w:left w:val="none" w:sz="0" w:space="0" w:color="auto"/>
                <w:bottom w:val="none" w:sz="0" w:space="0" w:color="auto"/>
                <w:right w:val="none" w:sz="0" w:space="0" w:color="auto"/>
              </w:divBdr>
            </w:div>
            <w:div w:id="1908808430">
              <w:marLeft w:val="0"/>
              <w:marRight w:val="0"/>
              <w:marTop w:val="0"/>
              <w:marBottom w:val="0"/>
              <w:divBdr>
                <w:top w:val="none" w:sz="0" w:space="0" w:color="auto"/>
                <w:left w:val="none" w:sz="0" w:space="0" w:color="auto"/>
                <w:bottom w:val="none" w:sz="0" w:space="0" w:color="auto"/>
                <w:right w:val="none" w:sz="0" w:space="0" w:color="auto"/>
              </w:divBdr>
              <w:divsChild>
                <w:div w:id="2005860855">
                  <w:marLeft w:val="0"/>
                  <w:marRight w:val="0"/>
                  <w:marTop w:val="0"/>
                  <w:marBottom w:val="0"/>
                  <w:divBdr>
                    <w:top w:val="none" w:sz="0" w:space="0" w:color="auto"/>
                    <w:left w:val="none" w:sz="0" w:space="0" w:color="auto"/>
                    <w:bottom w:val="none" w:sz="0" w:space="0" w:color="auto"/>
                    <w:right w:val="none" w:sz="0" w:space="0" w:color="auto"/>
                  </w:divBdr>
                </w:div>
              </w:divsChild>
            </w:div>
            <w:div w:id="1911651615">
              <w:marLeft w:val="0"/>
              <w:marRight w:val="0"/>
              <w:marTop w:val="0"/>
              <w:marBottom w:val="0"/>
              <w:divBdr>
                <w:top w:val="none" w:sz="0" w:space="0" w:color="auto"/>
                <w:left w:val="none" w:sz="0" w:space="0" w:color="auto"/>
                <w:bottom w:val="none" w:sz="0" w:space="0" w:color="auto"/>
                <w:right w:val="none" w:sz="0" w:space="0" w:color="auto"/>
              </w:divBdr>
              <w:divsChild>
                <w:div w:id="725449202">
                  <w:marLeft w:val="0"/>
                  <w:marRight w:val="0"/>
                  <w:marTop w:val="0"/>
                  <w:marBottom w:val="0"/>
                  <w:divBdr>
                    <w:top w:val="none" w:sz="0" w:space="0" w:color="auto"/>
                    <w:left w:val="none" w:sz="0" w:space="0" w:color="auto"/>
                    <w:bottom w:val="none" w:sz="0" w:space="0" w:color="auto"/>
                    <w:right w:val="none" w:sz="0" w:space="0" w:color="auto"/>
                  </w:divBdr>
                </w:div>
              </w:divsChild>
            </w:div>
            <w:div w:id="1912422505">
              <w:marLeft w:val="0"/>
              <w:marRight w:val="0"/>
              <w:marTop w:val="0"/>
              <w:marBottom w:val="0"/>
              <w:divBdr>
                <w:top w:val="none" w:sz="0" w:space="0" w:color="auto"/>
                <w:left w:val="none" w:sz="0" w:space="0" w:color="auto"/>
                <w:bottom w:val="none" w:sz="0" w:space="0" w:color="auto"/>
                <w:right w:val="none" w:sz="0" w:space="0" w:color="auto"/>
              </w:divBdr>
              <w:divsChild>
                <w:div w:id="2018000169">
                  <w:marLeft w:val="0"/>
                  <w:marRight w:val="0"/>
                  <w:marTop w:val="0"/>
                  <w:marBottom w:val="0"/>
                  <w:divBdr>
                    <w:top w:val="none" w:sz="0" w:space="0" w:color="auto"/>
                    <w:left w:val="none" w:sz="0" w:space="0" w:color="auto"/>
                    <w:bottom w:val="none" w:sz="0" w:space="0" w:color="auto"/>
                    <w:right w:val="none" w:sz="0" w:space="0" w:color="auto"/>
                  </w:divBdr>
                </w:div>
              </w:divsChild>
            </w:div>
            <w:div w:id="1913150709">
              <w:marLeft w:val="0"/>
              <w:marRight w:val="0"/>
              <w:marTop w:val="0"/>
              <w:marBottom w:val="0"/>
              <w:divBdr>
                <w:top w:val="none" w:sz="0" w:space="0" w:color="auto"/>
                <w:left w:val="none" w:sz="0" w:space="0" w:color="auto"/>
                <w:bottom w:val="none" w:sz="0" w:space="0" w:color="auto"/>
                <w:right w:val="none" w:sz="0" w:space="0" w:color="auto"/>
              </w:divBdr>
              <w:divsChild>
                <w:div w:id="2090538549">
                  <w:marLeft w:val="0"/>
                  <w:marRight w:val="0"/>
                  <w:marTop w:val="0"/>
                  <w:marBottom w:val="0"/>
                  <w:divBdr>
                    <w:top w:val="none" w:sz="0" w:space="0" w:color="auto"/>
                    <w:left w:val="none" w:sz="0" w:space="0" w:color="auto"/>
                    <w:bottom w:val="none" w:sz="0" w:space="0" w:color="auto"/>
                    <w:right w:val="none" w:sz="0" w:space="0" w:color="auto"/>
                  </w:divBdr>
                </w:div>
              </w:divsChild>
            </w:div>
            <w:div w:id="1914504298">
              <w:marLeft w:val="0"/>
              <w:marRight w:val="0"/>
              <w:marTop w:val="0"/>
              <w:marBottom w:val="0"/>
              <w:divBdr>
                <w:top w:val="none" w:sz="0" w:space="0" w:color="auto"/>
                <w:left w:val="none" w:sz="0" w:space="0" w:color="auto"/>
                <w:bottom w:val="none" w:sz="0" w:space="0" w:color="auto"/>
                <w:right w:val="none" w:sz="0" w:space="0" w:color="auto"/>
              </w:divBdr>
              <w:divsChild>
                <w:div w:id="1897010901">
                  <w:marLeft w:val="0"/>
                  <w:marRight w:val="0"/>
                  <w:marTop w:val="0"/>
                  <w:marBottom w:val="0"/>
                  <w:divBdr>
                    <w:top w:val="none" w:sz="0" w:space="0" w:color="auto"/>
                    <w:left w:val="none" w:sz="0" w:space="0" w:color="auto"/>
                    <w:bottom w:val="none" w:sz="0" w:space="0" w:color="auto"/>
                    <w:right w:val="none" w:sz="0" w:space="0" w:color="auto"/>
                  </w:divBdr>
                </w:div>
              </w:divsChild>
            </w:div>
            <w:div w:id="1914852224">
              <w:marLeft w:val="0"/>
              <w:marRight w:val="0"/>
              <w:marTop w:val="0"/>
              <w:marBottom w:val="0"/>
              <w:divBdr>
                <w:top w:val="none" w:sz="0" w:space="0" w:color="auto"/>
                <w:left w:val="none" w:sz="0" w:space="0" w:color="auto"/>
                <w:bottom w:val="none" w:sz="0" w:space="0" w:color="auto"/>
                <w:right w:val="none" w:sz="0" w:space="0" w:color="auto"/>
              </w:divBdr>
              <w:divsChild>
                <w:div w:id="405230244">
                  <w:marLeft w:val="0"/>
                  <w:marRight w:val="0"/>
                  <w:marTop w:val="0"/>
                  <w:marBottom w:val="0"/>
                  <w:divBdr>
                    <w:top w:val="none" w:sz="0" w:space="0" w:color="auto"/>
                    <w:left w:val="none" w:sz="0" w:space="0" w:color="auto"/>
                    <w:bottom w:val="none" w:sz="0" w:space="0" w:color="auto"/>
                    <w:right w:val="none" w:sz="0" w:space="0" w:color="auto"/>
                  </w:divBdr>
                </w:div>
              </w:divsChild>
            </w:div>
            <w:div w:id="1915237711">
              <w:marLeft w:val="0"/>
              <w:marRight w:val="0"/>
              <w:marTop w:val="0"/>
              <w:marBottom w:val="0"/>
              <w:divBdr>
                <w:top w:val="none" w:sz="0" w:space="0" w:color="auto"/>
                <w:left w:val="none" w:sz="0" w:space="0" w:color="auto"/>
                <w:bottom w:val="none" w:sz="0" w:space="0" w:color="auto"/>
                <w:right w:val="none" w:sz="0" w:space="0" w:color="auto"/>
              </w:divBdr>
              <w:divsChild>
                <w:div w:id="1830170347">
                  <w:marLeft w:val="0"/>
                  <w:marRight w:val="0"/>
                  <w:marTop w:val="0"/>
                  <w:marBottom w:val="0"/>
                  <w:divBdr>
                    <w:top w:val="none" w:sz="0" w:space="0" w:color="auto"/>
                    <w:left w:val="none" w:sz="0" w:space="0" w:color="auto"/>
                    <w:bottom w:val="none" w:sz="0" w:space="0" w:color="auto"/>
                    <w:right w:val="none" w:sz="0" w:space="0" w:color="auto"/>
                  </w:divBdr>
                </w:div>
              </w:divsChild>
            </w:div>
            <w:div w:id="1916354126">
              <w:marLeft w:val="0"/>
              <w:marRight w:val="0"/>
              <w:marTop w:val="0"/>
              <w:marBottom w:val="0"/>
              <w:divBdr>
                <w:top w:val="none" w:sz="0" w:space="0" w:color="auto"/>
                <w:left w:val="none" w:sz="0" w:space="0" w:color="auto"/>
                <w:bottom w:val="none" w:sz="0" w:space="0" w:color="auto"/>
                <w:right w:val="none" w:sz="0" w:space="0" w:color="auto"/>
              </w:divBdr>
              <w:divsChild>
                <w:div w:id="276181829">
                  <w:marLeft w:val="0"/>
                  <w:marRight w:val="0"/>
                  <w:marTop w:val="0"/>
                  <w:marBottom w:val="0"/>
                  <w:divBdr>
                    <w:top w:val="none" w:sz="0" w:space="0" w:color="auto"/>
                    <w:left w:val="none" w:sz="0" w:space="0" w:color="auto"/>
                    <w:bottom w:val="none" w:sz="0" w:space="0" w:color="auto"/>
                    <w:right w:val="none" w:sz="0" w:space="0" w:color="auto"/>
                  </w:divBdr>
                </w:div>
              </w:divsChild>
            </w:div>
            <w:div w:id="1918320324">
              <w:marLeft w:val="0"/>
              <w:marRight w:val="0"/>
              <w:marTop w:val="300"/>
              <w:marBottom w:val="300"/>
              <w:divBdr>
                <w:top w:val="none" w:sz="0" w:space="0" w:color="auto"/>
                <w:left w:val="none" w:sz="0" w:space="0" w:color="auto"/>
                <w:bottom w:val="none" w:sz="0" w:space="0" w:color="auto"/>
                <w:right w:val="none" w:sz="0" w:space="0" w:color="auto"/>
              </w:divBdr>
            </w:div>
            <w:div w:id="1919825190">
              <w:marLeft w:val="0"/>
              <w:marRight w:val="0"/>
              <w:marTop w:val="0"/>
              <w:marBottom w:val="0"/>
              <w:divBdr>
                <w:top w:val="none" w:sz="0" w:space="0" w:color="auto"/>
                <w:left w:val="none" w:sz="0" w:space="0" w:color="auto"/>
                <w:bottom w:val="none" w:sz="0" w:space="0" w:color="auto"/>
                <w:right w:val="none" w:sz="0" w:space="0" w:color="auto"/>
              </w:divBdr>
              <w:divsChild>
                <w:div w:id="1515529475">
                  <w:marLeft w:val="0"/>
                  <w:marRight w:val="0"/>
                  <w:marTop w:val="0"/>
                  <w:marBottom w:val="0"/>
                  <w:divBdr>
                    <w:top w:val="none" w:sz="0" w:space="0" w:color="auto"/>
                    <w:left w:val="none" w:sz="0" w:space="0" w:color="auto"/>
                    <w:bottom w:val="none" w:sz="0" w:space="0" w:color="auto"/>
                    <w:right w:val="none" w:sz="0" w:space="0" w:color="auto"/>
                  </w:divBdr>
                </w:div>
              </w:divsChild>
            </w:div>
            <w:div w:id="1921255438">
              <w:marLeft w:val="0"/>
              <w:marRight w:val="0"/>
              <w:marTop w:val="0"/>
              <w:marBottom w:val="0"/>
              <w:divBdr>
                <w:top w:val="none" w:sz="0" w:space="0" w:color="auto"/>
                <w:left w:val="none" w:sz="0" w:space="0" w:color="auto"/>
                <w:bottom w:val="none" w:sz="0" w:space="0" w:color="auto"/>
                <w:right w:val="none" w:sz="0" w:space="0" w:color="auto"/>
              </w:divBdr>
              <w:divsChild>
                <w:div w:id="497498996">
                  <w:marLeft w:val="0"/>
                  <w:marRight w:val="0"/>
                  <w:marTop w:val="0"/>
                  <w:marBottom w:val="0"/>
                  <w:divBdr>
                    <w:top w:val="none" w:sz="0" w:space="0" w:color="auto"/>
                    <w:left w:val="none" w:sz="0" w:space="0" w:color="auto"/>
                    <w:bottom w:val="none" w:sz="0" w:space="0" w:color="auto"/>
                    <w:right w:val="none" w:sz="0" w:space="0" w:color="auto"/>
                  </w:divBdr>
                </w:div>
              </w:divsChild>
            </w:div>
            <w:div w:id="1922981354">
              <w:marLeft w:val="0"/>
              <w:marRight w:val="0"/>
              <w:marTop w:val="0"/>
              <w:marBottom w:val="0"/>
              <w:divBdr>
                <w:top w:val="none" w:sz="0" w:space="0" w:color="auto"/>
                <w:left w:val="none" w:sz="0" w:space="0" w:color="auto"/>
                <w:bottom w:val="none" w:sz="0" w:space="0" w:color="auto"/>
                <w:right w:val="none" w:sz="0" w:space="0" w:color="auto"/>
              </w:divBdr>
              <w:divsChild>
                <w:div w:id="33623457">
                  <w:marLeft w:val="0"/>
                  <w:marRight w:val="0"/>
                  <w:marTop w:val="0"/>
                  <w:marBottom w:val="0"/>
                  <w:divBdr>
                    <w:top w:val="none" w:sz="0" w:space="0" w:color="auto"/>
                    <w:left w:val="none" w:sz="0" w:space="0" w:color="auto"/>
                    <w:bottom w:val="none" w:sz="0" w:space="0" w:color="auto"/>
                    <w:right w:val="none" w:sz="0" w:space="0" w:color="auto"/>
                  </w:divBdr>
                </w:div>
              </w:divsChild>
            </w:div>
            <w:div w:id="1923685119">
              <w:marLeft w:val="0"/>
              <w:marRight w:val="0"/>
              <w:marTop w:val="300"/>
              <w:marBottom w:val="300"/>
              <w:divBdr>
                <w:top w:val="none" w:sz="0" w:space="0" w:color="auto"/>
                <w:left w:val="none" w:sz="0" w:space="0" w:color="auto"/>
                <w:bottom w:val="none" w:sz="0" w:space="0" w:color="auto"/>
                <w:right w:val="none" w:sz="0" w:space="0" w:color="auto"/>
              </w:divBdr>
            </w:div>
            <w:div w:id="1926500867">
              <w:marLeft w:val="0"/>
              <w:marRight w:val="0"/>
              <w:marTop w:val="300"/>
              <w:marBottom w:val="300"/>
              <w:divBdr>
                <w:top w:val="none" w:sz="0" w:space="0" w:color="auto"/>
                <w:left w:val="none" w:sz="0" w:space="0" w:color="auto"/>
                <w:bottom w:val="none" w:sz="0" w:space="0" w:color="auto"/>
                <w:right w:val="none" w:sz="0" w:space="0" w:color="auto"/>
              </w:divBdr>
            </w:div>
            <w:div w:id="1928079973">
              <w:marLeft w:val="0"/>
              <w:marRight w:val="0"/>
              <w:marTop w:val="300"/>
              <w:marBottom w:val="300"/>
              <w:divBdr>
                <w:top w:val="none" w:sz="0" w:space="0" w:color="auto"/>
                <w:left w:val="none" w:sz="0" w:space="0" w:color="auto"/>
                <w:bottom w:val="none" w:sz="0" w:space="0" w:color="auto"/>
                <w:right w:val="none" w:sz="0" w:space="0" w:color="auto"/>
              </w:divBdr>
            </w:div>
            <w:div w:id="1932591629">
              <w:marLeft w:val="0"/>
              <w:marRight w:val="0"/>
              <w:marTop w:val="0"/>
              <w:marBottom w:val="0"/>
              <w:divBdr>
                <w:top w:val="none" w:sz="0" w:space="0" w:color="auto"/>
                <w:left w:val="none" w:sz="0" w:space="0" w:color="auto"/>
                <w:bottom w:val="none" w:sz="0" w:space="0" w:color="auto"/>
                <w:right w:val="none" w:sz="0" w:space="0" w:color="auto"/>
              </w:divBdr>
              <w:divsChild>
                <w:div w:id="214895500">
                  <w:marLeft w:val="0"/>
                  <w:marRight w:val="0"/>
                  <w:marTop w:val="0"/>
                  <w:marBottom w:val="0"/>
                  <w:divBdr>
                    <w:top w:val="none" w:sz="0" w:space="0" w:color="auto"/>
                    <w:left w:val="none" w:sz="0" w:space="0" w:color="auto"/>
                    <w:bottom w:val="none" w:sz="0" w:space="0" w:color="auto"/>
                    <w:right w:val="none" w:sz="0" w:space="0" w:color="auto"/>
                  </w:divBdr>
                </w:div>
              </w:divsChild>
            </w:div>
            <w:div w:id="1932666000">
              <w:marLeft w:val="0"/>
              <w:marRight w:val="0"/>
              <w:marTop w:val="0"/>
              <w:marBottom w:val="0"/>
              <w:divBdr>
                <w:top w:val="none" w:sz="0" w:space="0" w:color="auto"/>
                <w:left w:val="none" w:sz="0" w:space="0" w:color="auto"/>
                <w:bottom w:val="none" w:sz="0" w:space="0" w:color="auto"/>
                <w:right w:val="none" w:sz="0" w:space="0" w:color="auto"/>
              </w:divBdr>
              <w:divsChild>
                <w:div w:id="2104377001">
                  <w:marLeft w:val="0"/>
                  <w:marRight w:val="0"/>
                  <w:marTop w:val="0"/>
                  <w:marBottom w:val="0"/>
                  <w:divBdr>
                    <w:top w:val="none" w:sz="0" w:space="0" w:color="auto"/>
                    <w:left w:val="none" w:sz="0" w:space="0" w:color="auto"/>
                    <w:bottom w:val="none" w:sz="0" w:space="0" w:color="auto"/>
                    <w:right w:val="none" w:sz="0" w:space="0" w:color="auto"/>
                  </w:divBdr>
                </w:div>
              </w:divsChild>
            </w:div>
            <w:div w:id="1933007040">
              <w:marLeft w:val="0"/>
              <w:marRight w:val="0"/>
              <w:marTop w:val="0"/>
              <w:marBottom w:val="0"/>
              <w:divBdr>
                <w:top w:val="none" w:sz="0" w:space="0" w:color="auto"/>
                <w:left w:val="none" w:sz="0" w:space="0" w:color="auto"/>
                <w:bottom w:val="none" w:sz="0" w:space="0" w:color="auto"/>
                <w:right w:val="none" w:sz="0" w:space="0" w:color="auto"/>
              </w:divBdr>
              <w:divsChild>
                <w:div w:id="1984264887">
                  <w:marLeft w:val="0"/>
                  <w:marRight w:val="0"/>
                  <w:marTop w:val="0"/>
                  <w:marBottom w:val="0"/>
                  <w:divBdr>
                    <w:top w:val="none" w:sz="0" w:space="0" w:color="auto"/>
                    <w:left w:val="none" w:sz="0" w:space="0" w:color="auto"/>
                    <w:bottom w:val="none" w:sz="0" w:space="0" w:color="auto"/>
                    <w:right w:val="none" w:sz="0" w:space="0" w:color="auto"/>
                  </w:divBdr>
                </w:div>
              </w:divsChild>
            </w:div>
            <w:div w:id="1933203514">
              <w:marLeft w:val="0"/>
              <w:marRight w:val="0"/>
              <w:marTop w:val="0"/>
              <w:marBottom w:val="0"/>
              <w:divBdr>
                <w:top w:val="none" w:sz="0" w:space="0" w:color="auto"/>
                <w:left w:val="none" w:sz="0" w:space="0" w:color="auto"/>
                <w:bottom w:val="none" w:sz="0" w:space="0" w:color="auto"/>
                <w:right w:val="none" w:sz="0" w:space="0" w:color="auto"/>
              </w:divBdr>
              <w:divsChild>
                <w:div w:id="397633906">
                  <w:marLeft w:val="0"/>
                  <w:marRight w:val="0"/>
                  <w:marTop w:val="0"/>
                  <w:marBottom w:val="0"/>
                  <w:divBdr>
                    <w:top w:val="none" w:sz="0" w:space="0" w:color="auto"/>
                    <w:left w:val="none" w:sz="0" w:space="0" w:color="auto"/>
                    <w:bottom w:val="none" w:sz="0" w:space="0" w:color="auto"/>
                    <w:right w:val="none" w:sz="0" w:space="0" w:color="auto"/>
                  </w:divBdr>
                </w:div>
              </w:divsChild>
            </w:div>
            <w:div w:id="1933203519">
              <w:marLeft w:val="0"/>
              <w:marRight w:val="0"/>
              <w:marTop w:val="0"/>
              <w:marBottom w:val="0"/>
              <w:divBdr>
                <w:top w:val="none" w:sz="0" w:space="0" w:color="auto"/>
                <w:left w:val="none" w:sz="0" w:space="0" w:color="auto"/>
                <w:bottom w:val="none" w:sz="0" w:space="0" w:color="auto"/>
                <w:right w:val="none" w:sz="0" w:space="0" w:color="auto"/>
              </w:divBdr>
              <w:divsChild>
                <w:div w:id="1520391437">
                  <w:marLeft w:val="0"/>
                  <w:marRight w:val="0"/>
                  <w:marTop w:val="0"/>
                  <w:marBottom w:val="0"/>
                  <w:divBdr>
                    <w:top w:val="none" w:sz="0" w:space="0" w:color="auto"/>
                    <w:left w:val="none" w:sz="0" w:space="0" w:color="auto"/>
                    <w:bottom w:val="none" w:sz="0" w:space="0" w:color="auto"/>
                    <w:right w:val="none" w:sz="0" w:space="0" w:color="auto"/>
                  </w:divBdr>
                </w:div>
              </w:divsChild>
            </w:div>
            <w:div w:id="1933968039">
              <w:marLeft w:val="0"/>
              <w:marRight w:val="0"/>
              <w:marTop w:val="0"/>
              <w:marBottom w:val="0"/>
              <w:divBdr>
                <w:top w:val="none" w:sz="0" w:space="0" w:color="auto"/>
                <w:left w:val="none" w:sz="0" w:space="0" w:color="auto"/>
                <w:bottom w:val="none" w:sz="0" w:space="0" w:color="auto"/>
                <w:right w:val="none" w:sz="0" w:space="0" w:color="auto"/>
              </w:divBdr>
              <w:divsChild>
                <w:div w:id="1868831609">
                  <w:marLeft w:val="0"/>
                  <w:marRight w:val="0"/>
                  <w:marTop w:val="0"/>
                  <w:marBottom w:val="0"/>
                  <w:divBdr>
                    <w:top w:val="none" w:sz="0" w:space="0" w:color="auto"/>
                    <w:left w:val="none" w:sz="0" w:space="0" w:color="auto"/>
                    <w:bottom w:val="none" w:sz="0" w:space="0" w:color="auto"/>
                    <w:right w:val="none" w:sz="0" w:space="0" w:color="auto"/>
                  </w:divBdr>
                </w:div>
              </w:divsChild>
            </w:div>
            <w:div w:id="1934320643">
              <w:marLeft w:val="0"/>
              <w:marRight w:val="0"/>
              <w:marTop w:val="0"/>
              <w:marBottom w:val="0"/>
              <w:divBdr>
                <w:top w:val="none" w:sz="0" w:space="0" w:color="auto"/>
                <w:left w:val="none" w:sz="0" w:space="0" w:color="auto"/>
                <w:bottom w:val="none" w:sz="0" w:space="0" w:color="auto"/>
                <w:right w:val="none" w:sz="0" w:space="0" w:color="auto"/>
              </w:divBdr>
              <w:divsChild>
                <w:div w:id="1639383487">
                  <w:marLeft w:val="0"/>
                  <w:marRight w:val="0"/>
                  <w:marTop w:val="0"/>
                  <w:marBottom w:val="0"/>
                  <w:divBdr>
                    <w:top w:val="none" w:sz="0" w:space="0" w:color="auto"/>
                    <w:left w:val="none" w:sz="0" w:space="0" w:color="auto"/>
                    <w:bottom w:val="none" w:sz="0" w:space="0" w:color="auto"/>
                    <w:right w:val="none" w:sz="0" w:space="0" w:color="auto"/>
                  </w:divBdr>
                </w:div>
              </w:divsChild>
            </w:div>
            <w:div w:id="1934433895">
              <w:marLeft w:val="0"/>
              <w:marRight w:val="0"/>
              <w:marTop w:val="0"/>
              <w:marBottom w:val="0"/>
              <w:divBdr>
                <w:top w:val="none" w:sz="0" w:space="0" w:color="auto"/>
                <w:left w:val="none" w:sz="0" w:space="0" w:color="auto"/>
                <w:bottom w:val="none" w:sz="0" w:space="0" w:color="auto"/>
                <w:right w:val="none" w:sz="0" w:space="0" w:color="auto"/>
              </w:divBdr>
              <w:divsChild>
                <w:div w:id="1538854819">
                  <w:marLeft w:val="0"/>
                  <w:marRight w:val="0"/>
                  <w:marTop w:val="0"/>
                  <w:marBottom w:val="0"/>
                  <w:divBdr>
                    <w:top w:val="none" w:sz="0" w:space="0" w:color="auto"/>
                    <w:left w:val="none" w:sz="0" w:space="0" w:color="auto"/>
                    <w:bottom w:val="none" w:sz="0" w:space="0" w:color="auto"/>
                    <w:right w:val="none" w:sz="0" w:space="0" w:color="auto"/>
                  </w:divBdr>
                </w:div>
              </w:divsChild>
            </w:div>
            <w:div w:id="1934626792">
              <w:marLeft w:val="0"/>
              <w:marRight w:val="0"/>
              <w:marTop w:val="0"/>
              <w:marBottom w:val="0"/>
              <w:divBdr>
                <w:top w:val="none" w:sz="0" w:space="0" w:color="auto"/>
                <w:left w:val="none" w:sz="0" w:space="0" w:color="auto"/>
                <w:bottom w:val="none" w:sz="0" w:space="0" w:color="auto"/>
                <w:right w:val="none" w:sz="0" w:space="0" w:color="auto"/>
              </w:divBdr>
              <w:divsChild>
                <w:div w:id="1557815052">
                  <w:marLeft w:val="0"/>
                  <w:marRight w:val="0"/>
                  <w:marTop w:val="0"/>
                  <w:marBottom w:val="0"/>
                  <w:divBdr>
                    <w:top w:val="none" w:sz="0" w:space="0" w:color="auto"/>
                    <w:left w:val="none" w:sz="0" w:space="0" w:color="auto"/>
                    <w:bottom w:val="none" w:sz="0" w:space="0" w:color="auto"/>
                    <w:right w:val="none" w:sz="0" w:space="0" w:color="auto"/>
                  </w:divBdr>
                </w:div>
              </w:divsChild>
            </w:div>
            <w:div w:id="1936858652">
              <w:marLeft w:val="0"/>
              <w:marRight w:val="0"/>
              <w:marTop w:val="0"/>
              <w:marBottom w:val="0"/>
              <w:divBdr>
                <w:top w:val="none" w:sz="0" w:space="0" w:color="auto"/>
                <w:left w:val="none" w:sz="0" w:space="0" w:color="auto"/>
                <w:bottom w:val="none" w:sz="0" w:space="0" w:color="auto"/>
                <w:right w:val="none" w:sz="0" w:space="0" w:color="auto"/>
              </w:divBdr>
              <w:divsChild>
                <w:div w:id="1372614610">
                  <w:marLeft w:val="0"/>
                  <w:marRight w:val="0"/>
                  <w:marTop w:val="0"/>
                  <w:marBottom w:val="0"/>
                  <w:divBdr>
                    <w:top w:val="none" w:sz="0" w:space="0" w:color="auto"/>
                    <w:left w:val="none" w:sz="0" w:space="0" w:color="auto"/>
                    <w:bottom w:val="none" w:sz="0" w:space="0" w:color="auto"/>
                    <w:right w:val="none" w:sz="0" w:space="0" w:color="auto"/>
                  </w:divBdr>
                </w:div>
              </w:divsChild>
            </w:div>
            <w:div w:id="1940289697">
              <w:marLeft w:val="0"/>
              <w:marRight w:val="0"/>
              <w:marTop w:val="0"/>
              <w:marBottom w:val="0"/>
              <w:divBdr>
                <w:top w:val="none" w:sz="0" w:space="0" w:color="auto"/>
                <w:left w:val="none" w:sz="0" w:space="0" w:color="auto"/>
                <w:bottom w:val="none" w:sz="0" w:space="0" w:color="auto"/>
                <w:right w:val="none" w:sz="0" w:space="0" w:color="auto"/>
              </w:divBdr>
              <w:divsChild>
                <w:div w:id="1342124188">
                  <w:marLeft w:val="0"/>
                  <w:marRight w:val="0"/>
                  <w:marTop w:val="0"/>
                  <w:marBottom w:val="0"/>
                  <w:divBdr>
                    <w:top w:val="none" w:sz="0" w:space="0" w:color="auto"/>
                    <w:left w:val="none" w:sz="0" w:space="0" w:color="auto"/>
                    <w:bottom w:val="none" w:sz="0" w:space="0" w:color="auto"/>
                    <w:right w:val="none" w:sz="0" w:space="0" w:color="auto"/>
                  </w:divBdr>
                </w:div>
              </w:divsChild>
            </w:div>
            <w:div w:id="1941378176">
              <w:marLeft w:val="0"/>
              <w:marRight w:val="0"/>
              <w:marTop w:val="300"/>
              <w:marBottom w:val="300"/>
              <w:divBdr>
                <w:top w:val="none" w:sz="0" w:space="0" w:color="auto"/>
                <w:left w:val="none" w:sz="0" w:space="0" w:color="auto"/>
                <w:bottom w:val="none" w:sz="0" w:space="0" w:color="auto"/>
                <w:right w:val="none" w:sz="0" w:space="0" w:color="auto"/>
              </w:divBdr>
            </w:div>
            <w:div w:id="1942182225">
              <w:marLeft w:val="0"/>
              <w:marRight w:val="0"/>
              <w:marTop w:val="0"/>
              <w:marBottom w:val="0"/>
              <w:divBdr>
                <w:top w:val="none" w:sz="0" w:space="0" w:color="auto"/>
                <w:left w:val="none" w:sz="0" w:space="0" w:color="auto"/>
                <w:bottom w:val="none" w:sz="0" w:space="0" w:color="auto"/>
                <w:right w:val="none" w:sz="0" w:space="0" w:color="auto"/>
              </w:divBdr>
              <w:divsChild>
                <w:div w:id="2005237648">
                  <w:marLeft w:val="0"/>
                  <w:marRight w:val="0"/>
                  <w:marTop w:val="0"/>
                  <w:marBottom w:val="0"/>
                  <w:divBdr>
                    <w:top w:val="none" w:sz="0" w:space="0" w:color="auto"/>
                    <w:left w:val="none" w:sz="0" w:space="0" w:color="auto"/>
                    <w:bottom w:val="none" w:sz="0" w:space="0" w:color="auto"/>
                    <w:right w:val="none" w:sz="0" w:space="0" w:color="auto"/>
                  </w:divBdr>
                </w:div>
              </w:divsChild>
            </w:div>
            <w:div w:id="1942295519">
              <w:marLeft w:val="0"/>
              <w:marRight w:val="0"/>
              <w:marTop w:val="0"/>
              <w:marBottom w:val="0"/>
              <w:divBdr>
                <w:top w:val="none" w:sz="0" w:space="0" w:color="auto"/>
                <w:left w:val="none" w:sz="0" w:space="0" w:color="auto"/>
                <w:bottom w:val="none" w:sz="0" w:space="0" w:color="auto"/>
                <w:right w:val="none" w:sz="0" w:space="0" w:color="auto"/>
              </w:divBdr>
              <w:divsChild>
                <w:div w:id="1927572244">
                  <w:marLeft w:val="0"/>
                  <w:marRight w:val="0"/>
                  <w:marTop w:val="0"/>
                  <w:marBottom w:val="0"/>
                  <w:divBdr>
                    <w:top w:val="none" w:sz="0" w:space="0" w:color="auto"/>
                    <w:left w:val="none" w:sz="0" w:space="0" w:color="auto"/>
                    <w:bottom w:val="none" w:sz="0" w:space="0" w:color="auto"/>
                    <w:right w:val="none" w:sz="0" w:space="0" w:color="auto"/>
                  </w:divBdr>
                </w:div>
              </w:divsChild>
            </w:div>
            <w:div w:id="1943953940">
              <w:marLeft w:val="0"/>
              <w:marRight w:val="0"/>
              <w:marTop w:val="0"/>
              <w:marBottom w:val="0"/>
              <w:divBdr>
                <w:top w:val="none" w:sz="0" w:space="0" w:color="auto"/>
                <w:left w:val="none" w:sz="0" w:space="0" w:color="auto"/>
                <w:bottom w:val="none" w:sz="0" w:space="0" w:color="auto"/>
                <w:right w:val="none" w:sz="0" w:space="0" w:color="auto"/>
              </w:divBdr>
              <w:divsChild>
                <w:div w:id="1647661158">
                  <w:marLeft w:val="0"/>
                  <w:marRight w:val="0"/>
                  <w:marTop w:val="0"/>
                  <w:marBottom w:val="0"/>
                  <w:divBdr>
                    <w:top w:val="none" w:sz="0" w:space="0" w:color="auto"/>
                    <w:left w:val="none" w:sz="0" w:space="0" w:color="auto"/>
                    <w:bottom w:val="none" w:sz="0" w:space="0" w:color="auto"/>
                    <w:right w:val="none" w:sz="0" w:space="0" w:color="auto"/>
                  </w:divBdr>
                </w:div>
              </w:divsChild>
            </w:div>
            <w:div w:id="1946769087">
              <w:marLeft w:val="0"/>
              <w:marRight w:val="0"/>
              <w:marTop w:val="0"/>
              <w:marBottom w:val="0"/>
              <w:divBdr>
                <w:top w:val="none" w:sz="0" w:space="0" w:color="auto"/>
                <w:left w:val="none" w:sz="0" w:space="0" w:color="auto"/>
                <w:bottom w:val="none" w:sz="0" w:space="0" w:color="auto"/>
                <w:right w:val="none" w:sz="0" w:space="0" w:color="auto"/>
              </w:divBdr>
              <w:divsChild>
                <w:div w:id="391849432">
                  <w:marLeft w:val="0"/>
                  <w:marRight w:val="0"/>
                  <w:marTop w:val="0"/>
                  <w:marBottom w:val="0"/>
                  <w:divBdr>
                    <w:top w:val="none" w:sz="0" w:space="0" w:color="auto"/>
                    <w:left w:val="none" w:sz="0" w:space="0" w:color="auto"/>
                    <w:bottom w:val="none" w:sz="0" w:space="0" w:color="auto"/>
                    <w:right w:val="none" w:sz="0" w:space="0" w:color="auto"/>
                  </w:divBdr>
                </w:div>
              </w:divsChild>
            </w:div>
            <w:div w:id="1948271409">
              <w:marLeft w:val="0"/>
              <w:marRight w:val="0"/>
              <w:marTop w:val="300"/>
              <w:marBottom w:val="300"/>
              <w:divBdr>
                <w:top w:val="none" w:sz="0" w:space="0" w:color="auto"/>
                <w:left w:val="none" w:sz="0" w:space="0" w:color="auto"/>
                <w:bottom w:val="none" w:sz="0" w:space="0" w:color="auto"/>
                <w:right w:val="none" w:sz="0" w:space="0" w:color="auto"/>
              </w:divBdr>
            </w:div>
            <w:div w:id="1949702922">
              <w:marLeft w:val="0"/>
              <w:marRight w:val="0"/>
              <w:marTop w:val="300"/>
              <w:marBottom w:val="300"/>
              <w:divBdr>
                <w:top w:val="none" w:sz="0" w:space="0" w:color="auto"/>
                <w:left w:val="none" w:sz="0" w:space="0" w:color="auto"/>
                <w:bottom w:val="none" w:sz="0" w:space="0" w:color="auto"/>
                <w:right w:val="none" w:sz="0" w:space="0" w:color="auto"/>
              </w:divBdr>
            </w:div>
            <w:div w:id="1951427249">
              <w:marLeft w:val="0"/>
              <w:marRight w:val="0"/>
              <w:marTop w:val="0"/>
              <w:marBottom w:val="0"/>
              <w:divBdr>
                <w:top w:val="none" w:sz="0" w:space="0" w:color="auto"/>
                <w:left w:val="none" w:sz="0" w:space="0" w:color="auto"/>
                <w:bottom w:val="none" w:sz="0" w:space="0" w:color="auto"/>
                <w:right w:val="none" w:sz="0" w:space="0" w:color="auto"/>
              </w:divBdr>
              <w:divsChild>
                <w:div w:id="1589728735">
                  <w:marLeft w:val="0"/>
                  <w:marRight w:val="0"/>
                  <w:marTop w:val="0"/>
                  <w:marBottom w:val="0"/>
                  <w:divBdr>
                    <w:top w:val="none" w:sz="0" w:space="0" w:color="auto"/>
                    <w:left w:val="none" w:sz="0" w:space="0" w:color="auto"/>
                    <w:bottom w:val="none" w:sz="0" w:space="0" w:color="auto"/>
                    <w:right w:val="none" w:sz="0" w:space="0" w:color="auto"/>
                  </w:divBdr>
                </w:div>
              </w:divsChild>
            </w:div>
            <w:div w:id="1951818228">
              <w:marLeft w:val="0"/>
              <w:marRight w:val="0"/>
              <w:marTop w:val="0"/>
              <w:marBottom w:val="0"/>
              <w:divBdr>
                <w:top w:val="none" w:sz="0" w:space="0" w:color="auto"/>
                <w:left w:val="none" w:sz="0" w:space="0" w:color="auto"/>
                <w:bottom w:val="none" w:sz="0" w:space="0" w:color="auto"/>
                <w:right w:val="none" w:sz="0" w:space="0" w:color="auto"/>
              </w:divBdr>
              <w:divsChild>
                <w:div w:id="1280919723">
                  <w:marLeft w:val="0"/>
                  <w:marRight w:val="0"/>
                  <w:marTop w:val="0"/>
                  <w:marBottom w:val="0"/>
                  <w:divBdr>
                    <w:top w:val="none" w:sz="0" w:space="0" w:color="auto"/>
                    <w:left w:val="none" w:sz="0" w:space="0" w:color="auto"/>
                    <w:bottom w:val="none" w:sz="0" w:space="0" w:color="auto"/>
                    <w:right w:val="none" w:sz="0" w:space="0" w:color="auto"/>
                  </w:divBdr>
                </w:div>
              </w:divsChild>
            </w:div>
            <w:div w:id="1958486772">
              <w:marLeft w:val="0"/>
              <w:marRight w:val="0"/>
              <w:marTop w:val="0"/>
              <w:marBottom w:val="0"/>
              <w:divBdr>
                <w:top w:val="none" w:sz="0" w:space="0" w:color="auto"/>
                <w:left w:val="none" w:sz="0" w:space="0" w:color="auto"/>
                <w:bottom w:val="none" w:sz="0" w:space="0" w:color="auto"/>
                <w:right w:val="none" w:sz="0" w:space="0" w:color="auto"/>
              </w:divBdr>
              <w:divsChild>
                <w:div w:id="995255850">
                  <w:marLeft w:val="0"/>
                  <w:marRight w:val="0"/>
                  <w:marTop w:val="0"/>
                  <w:marBottom w:val="0"/>
                  <w:divBdr>
                    <w:top w:val="none" w:sz="0" w:space="0" w:color="auto"/>
                    <w:left w:val="none" w:sz="0" w:space="0" w:color="auto"/>
                    <w:bottom w:val="none" w:sz="0" w:space="0" w:color="auto"/>
                    <w:right w:val="none" w:sz="0" w:space="0" w:color="auto"/>
                  </w:divBdr>
                </w:div>
              </w:divsChild>
            </w:div>
            <w:div w:id="1958635984">
              <w:marLeft w:val="0"/>
              <w:marRight w:val="0"/>
              <w:marTop w:val="0"/>
              <w:marBottom w:val="0"/>
              <w:divBdr>
                <w:top w:val="none" w:sz="0" w:space="0" w:color="auto"/>
                <w:left w:val="none" w:sz="0" w:space="0" w:color="auto"/>
                <w:bottom w:val="none" w:sz="0" w:space="0" w:color="auto"/>
                <w:right w:val="none" w:sz="0" w:space="0" w:color="auto"/>
              </w:divBdr>
              <w:divsChild>
                <w:div w:id="1010529097">
                  <w:marLeft w:val="0"/>
                  <w:marRight w:val="0"/>
                  <w:marTop w:val="0"/>
                  <w:marBottom w:val="0"/>
                  <w:divBdr>
                    <w:top w:val="none" w:sz="0" w:space="0" w:color="auto"/>
                    <w:left w:val="none" w:sz="0" w:space="0" w:color="auto"/>
                    <w:bottom w:val="none" w:sz="0" w:space="0" w:color="auto"/>
                    <w:right w:val="none" w:sz="0" w:space="0" w:color="auto"/>
                  </w:divBdr>
                </w:div>
              </w:divsChild>
            </w:div>
            <w:div w:id="1960330730">
              <w:marLeft w:val="0"/>
              <w:marRight w:val="0"/>
              <w:marTop w:val="0"/>
              <w:marBottom w:val="0"/>
              <w:divBdr>
                <w:top w:val="none" w:sz="0" w:space="0" w:color="auto"/>
                <w:left w:val="none" w:sz="0" w:space="0" w:color="auto"/>
                <w:bottom w:val="none" w:sz="0" w:space="0" w:color="auto"/>
                <w:right w:val="none" w:sz="0" w:space="0" w:color="auto"/>
              </w:divBdr>
              <w:divsChild>
                <w:div w:id="138311044">
                  <w:marLeft w:val="0"/>
                  <w:marRight w:val="0"/>
                  <w:marTop w:val="0"/>
                  <w:marBottom w:val="0"/>
                  <w:divBdr>
                    <w:top w:val="none" w:sz="0" w:space="0" w:color="auto"/>
                    <w:left w:val="none" w:sz="0" w:space="0" w:color="auto"/>
                    <w:bottom w:val="none" w:sz="0" w:space="0" w:color="auto"/>
                    <w:right w:val="none" w:sz="0" w:space="0" w:color="auto"/>
                  </w:divBdr>
                </w:div>
              </w:divsChild>
            </w:div>
            <w:div w:id="1960407606">
              <w:marLeft w:val="0"/>
              <w:marRight w:val="0"/>
              <w:marTop w:val="0"/>
              <w:marBottom w:val="0"/>
              <w:divBdr>
                <w:top w:val="none" w:sz="0" w:space="0" w:color="auto"/>
                <w:left w:val="none" w:sz="0" w:space="0" w:color="auto"/>
                <w:bottom w:val="none" w:sz="0" w:space="0" w:color="auto"/>
                <w:right w:val="none" w:sz="0" w:space="0" w:color="auto"/>
              </w:divBdr>
              <w:divsChild>
                <w:div w:id="619536310">
                  <w:marLeft w:val="0"/>
                  <w:marRight w:val="0"/>
                  <w:marTop w:val="0"/>
                  <w:marBottom w:val="0"/>
                  <w:divBdr>
                    <w:top w:val="none" w:sz="0" w:space="0" w:color="auto"/>
                    <w:left w:val="none" w:sz="0" w:space="0" w:color="auto"/>
                    <w:bottom w:val="none" w:sz="0" w:space="0" w:color="auto"/>
                    <w:right w:val="none" w:sz="0" w:space="0" w:color="auto"/>
                  </w:divBdr>
                </w:div>
              </w:divsChild>
            </w:div>
            <w:div w:id="1961185086">
              <w:marLeft w:val="0"/>
              <w:marRight w:val="0"/>
              <w:marTop w:val="0"/>
              <w:marBottom w:val="0"/>
              <w:divBdr>
                <w:top w:val="none" w:sz="0" w:space="0" w:color="auto"/>
                <w:left w:val="none" w:sz="0" w:space="0" w:color="auto"/>
                <w:bottom w:val="none" w:sz="0" w:space="0" w:color="auto"/>
                <w:right w:val="none" w:sz="0" w:space="0" w:color="auto"/>
              </w:divBdr>
              <w:divsChild>
                <w:div w:id="1856773268">
                  <w:marLeft w:val="0"/>
                  <w:marRight w:val="0"/>
                  <w:marTop w:val="0"/>
                  <w:marBottom w:val="0"/>
                  <w:divBdr>
                    <w:top w:val="none" w:sz="0" w:space="0" w:color="auto"/>
                    <w:left w:val="none" w:sz="0" w:space="0" w:color="auto"/>
                    <w:bottom w:val="none" w:sz="0" w:space="0" w:color="auto"/>
                    <w:right w:val="none" w:sz="0" w:space="0" w:color="auto"/>
                  </w:divBdr>
                </w:div>
              </w:divsChild>
            </w:div>
            <w:div w:id="1961760707">
              <w:marLeft w:val="0"/>
              <w:marRight w:val="0"/>
              <w:marTop w:val="0"/>
              <w:marBottom w:val="0"/>
              <w:divBdr>
                <w:top w:val="none" w:sz="0" w:space="0" w:color="auto"/>
                <w:left w:val="none" w:sz="0" w:space="0" w:color="auto"/>
                <w:bottom w:val="none" w:sz="0" w:space="0" w:color="auto"/>
                <w:right w:val="none" w:sz="0" w:space="0" w:color="auto"/>
              </w:divBdr>
              <w:divsChild>
                <w:div w:id="470095086">
                  <w:marLeft w:val="0"/>
                  <w:marRight w:val="0"/>
                  <w:marTop w:val="0"/>
                  <w:marBottom w:val="0"/>
                  <w:divBdr>
                    <w:top w:val="none" w:sz="0" w:space="0" w:color="auto"/>
                    <w:left w:val="none" w:sz="0" w:space="0" w:color="auto"/>
                    <w:bottom w:val="none" w:sz="0" w:space="0" w:color="auto"/>
                    <w:right w:val="none" w:sz="0" w:space="0" w:color="auto"/>
                  </w:divBdr>
                </w:div>
              </w:divsChild>
            </w:div>
            <w:div w:id="1961910777">
              <w:marLeft w:val="0"/>
              <w:marRight w:val="0"/>
              <w:marTop w:val="300"/>
              <w:marBottom w:val="300"/>
              <w:divBdr>
                <w:top w:val="none" w:sz="0" w:space="0" w:color="auto"/>
                <w:left w:val="none" w:sz="0" w:space="0" w:color="auto"/>
                <w:bottom w:val="none" w:sz="0" w:space="0" w:color="auto"/>
                <w:right w:val="none" w:sz="0" w:space="0" w:color="auto"/>
              </w:divBdr>
            </w:div>
            <w:div w:id="1964000052">
              <w:marLeft w:val="0"/>
              <w:marRight w:val="0"/>
              <w:marTop w:val="0"/>
              <w:marBottom w:val="0"/>
              <w:divBdr>
                <w:top w:val="none" w:sz="0" w:space="0" w:color="auto"/>
                <w:left w:val="none" w:sz="0" w:space="0" w:color="auto"/>
                <w:bottom w:val="none" w:sz="0" w:space="0" w:color="auto"/>
                <w:right w:val="none" w:sz="0" w:space="0" w:color="auto"/>
              </w:divBdr>
              <w:divsChild>
                <w:div w:id="397680">
                  <w:marLeft w:val="0"/>
                  <w:marRight w:val="0"/>
                  <w:marTop w:val="0"/>
                  <w:marBottom w:val="0"/>
                  <w:divBdr>
                    <w:top w:val="none" w:sz="0" w:space="0" w:color="auto"/>
                    <w:left w:val="none" w:sz="0" w:space="0" w:color="auto"/>
                    <w:bottom w:val="none" w:sz="0" w:space="0" w:color="auto"/>
                    <w:right w:val="none" w:sz="0" w:space="0" w:color="auto"/>
                  </w:divBdr>
                </w:div>
              </w:divsChild>
            </w:div>
            <w:div w:id="1965311156">
              <w:marLeft w:val="0"/>
              <w:marRight w:val="0"/>
              <w:marTop w:val="0"/>
              <w:marBottom w:val="0"/>
              <w:divBdr>
                <w:top w:val="none" w:sz="0" w:space="0" w:color="auto"/>
                <w:left w:val="none" w:sz="0" w:space="0" w:color="auto"/>
                <w:bottom w:val="none" w:sz="0" w:space="0" w:color="auto"/>
                <w:right w:val="none" w:sz="0" w:space="0" w:color="auto"/>
              </w:divBdr>
              <w:divsChild>
                <w:div w:id="733894178">
                  <w:marLeft w:val="0"/>
                  <w:marRight w:val="0"/>
                  <w:marTop w:val="0"/>
                  <w:marBottom w:val="0"/>
                  <w:divBdr>
                    <w:top w:val="none" w:sz="0" w:space="0" w:color="auto"/>
                    <w:left w:val="none" w:sz="0" w:space="0" w:color="auto"/>
                    <w:bottom w:val="none" w:sz="0" w:space="0" w:color="auto"/>
                    <w:right w:val="none" w:sz="0" w:space="0" w:color="auto"/>
                  </w:divBdr>
                </w:div>
              </w:divsChild>
            </w:div>
            <w:div w:id="1967546736">
              <w:marLeft w:val="0"/>
              <w:marRight w:val="0"/>
              <w:marTop w:val="0"/>
              <w:marBottom w:val="0"/>
              <w:divBdr>
                <w:top w:val="none" w:sz="0" w:space="0" w:color="auto"/>
                <w:left w:val="none" w:sz="0" w:space="0" w:color="auto"/>
                <w:bottom w:val="none" w:sz="0" w:space="0" w:color="auto"/>
                <w:right w:val="none" w:sz="0" w:space="0" w:color="auto"/>
              </w:divBdr>
              <w:divsChild>
                <w:div w:id="1554924311">
                  <w:marLeft w:val="0"/>
                  <w:marRight w:val="0"/>
                  <w:marTop w:val="0"/>
                  <w:marBottom w:val="0"/>
                  <w:divBdr>
                    <w:top w:val="none" w:sz="0" w:space="0" w:color="auto"/>
                    <w:left w:val="none" w:sz="0" w:space="0" w:color="auto"/>
                    <w:bottom w:val="none" w:sz="0" w:space="0" w:color="auto"/>
                    <w:right w:val="none" w:sz="0" w:space="0" w:color="auto"/>
                  </w:divBdr>
                </w:div>
              </w:divsChild>
            </w:div>
            <w:div w:id="1968732694">
              <w:marLeft w:val="0"/>
              <w:marRight w:val="0"/>
              <w:marTop w:val="0"/>
              <w:marBottom w:val="0"/>
              <w:divBdr>
                <w:top w:val="none" w:sz="0" w:space="0" w:color="auto"/>
                <w:left w:val="none" w:sz="0" w:space="0" w:color="auto"/>
                <w:bottom w:val="none" w:sz="0" w:space="0" w:color="auto"/>
                <w:right w:val="none" w:sz="0" w:space="0" w:color="auto"/>
              </w:divBdr>
              <w:divsChild>
                <w:div w:id="1894199112">
                  <w:marLeft w:val="0"/>
                  <w:marRight w:val="0"/>
                  <w:marTop w:val="0"/>
                  <w:marBottom w:val="0"/>
                  <w:divBdr>
                    <w:top w:val="none" w:sz="0" w:space="0" w:color="auto"/>
                    <w:left w:val="none" w:sz="0" w:space="0" w:color="auto"/>
                    <w:bottom w:val="none" w:sz="0" w:space="0" w:color="auto"/>
                    <w:right w:val="none" w:sz="0" w:space="0" w:color="auto"/>
                  </w:divBdr>
                </w:div>
              </w:divsChild>
            </w:div>
            <w:div w:id="1969890057">
              <w:marLeft w:val="0"/>
              <w:marRight w:val="0"/>
              <w:marTop w:val="0"/>
              <w:marBottom w:val="0"/>
              <w:divBdr>
                <w:top w:val="none" w:sz="0" w:space="0" w:color="auto"/>
                <w:left w:val="none" w:sz="0" w:space="0" w:color="auto"/>
                <w:bottom w:val="none" w:sz="0" w:space="0" w:color="auto"/>
                <w:right w:val="none" w:sz="0" w:space="0" w:color="auto"/>
              </w:divBdr>
              <w:divsChild>
                <w:div w:id="1545948919">
                  <w:marLeft w:val="0"/>
                  <w:marRight w:val="0"/>
                  <w:marTop w:val="0"/>
                  <w:marBottom w:val="0"/>
                  <w:divBdr>
                    <w:top w:val="none" w:sz="0" w:space="0" w:color="auto"/>
                    <w:left w:val="none" w:sz="0" w:space="0" w:color="auto"/>
                    <w:bottom w:val="none" w:sz="0" w:space="0" w:color="auto"/>
                    <w:right w:val="none" w:sz="0" w:space="0" w:color="auto"/>
                  </w:divBdr>
                </w:div>
              </w:divsChild>
            </w:div>
            <w:div w:id="1970741411">
              <w:marLeft w:val="0"/>
              <w:marRight w:val="0"/>
              <w:marTop w:val="0"/>
              <w:marBottom w:val="0"/>
              <w:divBdr>
                <w:top w:val="none" w:sz="0" w:space="0" w:color="auto"/>
                <w:left w:val="none" w:sz="0" w:space="0" w:color="auto"/>
                <w:bottom w:val="none" w:sz="0" w:space="0" w:color="auto"/>
                <w:right w:val="none" w:sz="0" w:space="0" w:color="auto"/>
              </w:divBdr>
              <w:divsChild>
                <w:div w:id="2013023254">
                  <w:marLeft w:val="0"/>
                  <w:marRight w:val="0"/>
                  <w:marTop w:val="0"/>
                  <w:marBottom w:val="0"/>
                  <w:divBdr>
                    <w:top w:val="none" w:sz="0" w:space="0" w:color="auto"/>
                    <w:left w:val="none" w:sz="0" w:space="0" w:color="auto"/>
                    <w:bottom w:val="none" w:sz="0" w:space="0" w:color="auto"/>
                    <w:right w:val="none" w:sz="0" w:space="0" w:color="auto"/>
                  </w:divBdr>
                </w:div>
              </w:divsChild>
            </w:div>
            <w:div w:id="1972633958">
              <w:marLeft w:val="0"/>
              <w:marRight w:val="0"/>
              <w:marTop w:val="0"/>
              <w:marBottom w:val="0"/>
              <w:divBdr>
                <w:top w:val="none" w:sz="0" w:space="0" w:color="auto"/>
                <w:left w:val="none" w:sz="0" w:space="0" w:color="auto"/>
                <w:bottom w:val="none" w:sz="0" w:space="0" w:color="auto"/>
                <w:right w:val="none" w:sz="0" w:space="0" w:color="auto"/>
              </w:divBdr>
              <w:divsChild>
                <w:div w:id="1379892900">
                  <w:marLeft w:val="0"/>
                  <w:marRight w:val="0"/>
                  <w:marTop w:val="0"/>
                  <w:marBottom w:val="0"/>
                  <w:divBdr>
                    <w:top w:val="none" w:sz="0" w:space="0" w:color="auto"/>
                    <w:left w:val="none" w:sz="0" w:space="0" w:color="auto"/>
                    <w:bottom w:val="none" w:sz="0" w:space="0" w:color="auto"/>
                    <w:right w:val="none" w:sz="0" w:space="0" w:color="auto"/>
                  </w:divBdr>
                </w:div>
              </w:divsChild>
            </w:div>
            <w:div w:id="1975014046">
              <w:marLeft w:val="0"/>
              <w:marRight w:val="0"/>
              <w:marTop w:val="0"/>
              <w:marBottom w:val="0"/>
              <w:divBdr>
                <w:top w:val="none" w:sz="0" w:space="0" w:color="auto"/>
                <w:left w:val="none" w:sz="0" w:space="0" w:color="auto"/>
                <w:bottom w:val="none" w:sz="0" w:space="0" w:color="auto"/>
                <w:right w:val="none" w:sz="0" w:space="0" w:color="auto"/>
              </w:divBdr>
              <w:divsChild>
                <w:div w:id="711343792">
                  <w:marLeft w:val="0"/>
                  <w:marRight w:val="0"/>
                  <w:marTop w:val="0"/>
                  <w:marBottom w:val="0"/>
                  <w:divBdr>
                    <w:top w:val="none" w:sz="0" w:space="0" w:color="auto"/>
                    <w:left w:val="none" w:sz="0" w:space="0" w:color="auto"/>
                    <w:bottom w:val="none" w:sz="0" w:space="0" w:color="auto"/>
                    <w:right w:val="none" w:sz="0" w:space="0" w:color="auto"/>
                  </w:divBdr>
                </w:div>
              </w:divsChild>
            </w:div>
            <w:div w:id="1978143232">
              <w:marLeft w:val="0"/>
              <w:marRight w:val="0"/>
              <w:marTop w:val="0"/>
              <w:marBottom w:val="0"/>
              <w:divBdr>
                <w:top w:val="none" w:sz="0" w:space="0" w:color="auto"/>
                <w:left w:val="none" w:sz="0" w:space="0" w:color="auto"/>
                <w:bottom w:val="none" w:sz="0" w:space="0" w:color="auto"/>
                <w:right w:val="none" w:sz="0" w:space="0" w:color="auto"/>
              </w:divBdr>
              <w:divsChild>
                <w:div w:id="1918787997">
                  <w:marLeft w:val="0"/>
                  <w:marRight w:val="0"/>
                  <w:marTop w:val="0"/>
                  <w:marBottom w:val="0"/>
                  <w:divBdr>
                    <w:top w:val="none" w:sz="0" w:space="0" w:color="auto"/>
                    <w:left w:val="none" w:sz="0" w:space="0" w:color="auto"/>
                    <w:bottom w:val="none" w:sz="0" w:space="0" w:color="auto"/>
                    <w:right w:val="none" w:sz="0" w:space="0" w:color="auto"/>
                  </w:divBdr>
                </w:div>
              </w:divsChild>
            </w:div>
            <w:div w:id="1978221376">
              <w:marLeft w:val="0"/>
              <w:marRight w:val="0"/>
              <w:marTop w:val="0"/>
              <w:marBottom w:val="0"/>
              <w:divBdr>
                <w:top w:val="none" w:sz="0" w:space="0" w:color="auto"/>
                <w:left w:val="none" w:sz="0" w:space="0" w:color="auto"/>
                <w:bottom w:val="none" w:sz="0" w:space="0" w:color="auto"/>
                <w:right w:val="none" w:sz="0" w:space="0" w:color="auto"/>
              </w:divBdr>
              <w:divsChild>
                <w:div w:id="36200004">
                  <w:marLeft w:val="0"/>
                  <w:marRight w:val="0"/>
                  <w:marTop w:val="0"/>
                  <w:marBottom w:val="0"/>
                  <w:divBdr>
                    <w:top w:val="none" w:sz="0" w:space="0" w:color="auto"/>
                    <w:left w:val="none" w:sz="0" w:space="0" w:color="auto"/>
                    <w:bottom w:val="none" w:sz="0" w:space="0" w:color="auto"/>
                    <w:right w:val="none" w:sz="0" w:space="0" w:color="auto"/>
                  </w:divBdr>
                </w:div>
              </w:divsChild>
            </w:div>
            <w:div w:id="1978416437">
              <w:marLeft w:val="0"/>
              <w:marRight w:val="0"/>
              <w:marTop w:val="0"/>
              <w:marBottom w:val="0"/>
              <w:divBdr>
                <w:top w:val="none" w:sz="0" w:space="0" w:color="auto"/>
                <w:left w:val="none" w:sz="0" w:space="0" w:color="auto"/>
                <w:bottom w:val="none" w:sz="0" w:space="0" w:color="auto"/>
                <w:right w:val="none" w:sz="0" w:space="0" w:color="auto"/>
              </w:divBdr>
              <w:divsChild>
                <w:div w:id="300116499">
                  <w:marLeft w:val="0"/>
                  <w:marRight w:val="0"/>
                  <w:marTop w:val="0"/>
                  <w:marBottom w:val="0"/>
                  <w:divBdr>
                    <w:top w:val="none" w:sz="0" w:space="0" w:color="auto"/>
                    <w:left w:val="none" w:sz="0" w:space="0" w:color="auto"/>
                    <w:bottom w:val="none" w:sz="0" w:space="0" w:color="auto"/>
                    <w:right w:val="none" w:sz="0" w:space="0" w:color="auto"/>
                  </w:divBdr>
                </w:div>
              </w:divsChild>
            </w:div>
            <w:div w:id="1978679921">
              <w:marLeft w:val="0"/>
              <w:marRight w:val="0"/>
              <w:marTop w:val="0"/>
              <w:marBottom w:val="0"/>
              <w:divBdr>
                <w:top w:val="none" w:sz="0" w:space="0" w:color="auto"/>
                <w:left w:val="none" w:sz="0" w:space="0" w:color="auto"/>
                <w:bottom w:val="none" w:sz="0" w:space="0" w:color="auto"/>
                <w:right w:val="none" w:sz="0" w:space="0" w:color="auto"/>
              </w:divBdr>
              <w:divsChild>
                <w:div w:id="633683148">
                  <w:marLeft w:val="0"/>
                  <w:marRight w:val="0"/>
                  <w:marTop w:val="0"/>
                  <w:marBottom w:val="0"/>
                  <w:divBdr>
                    <w:top w:val="none" w:sz="0" w:space="0" w:color="auto"/>
                    <w:left w:val="none" w:sz="0" w:space="0" w:color="auto"/>
                    <w:bottom w:val="none" w:sz="0" w:space="0" w:color="auto"/>
                    <w:right w:val="none" w:sz="0" w:space="0" w:color="auto"/>
                  </w:divBdr>
                </w:div>
              </w:divsChild>
            </w:div>
            <w:div w:id="1979607847">
              <w:marLeft w:val="0"/>
              <w:marRight w:val="0"/>
              <w:marTop w:val="0"/>
              <w:marBottom w:val="0"/>
              <w:divBdr>
                <w:top w:val="none" w:sz="0" w:space="0" w:color="auto"/>
                <w:left w:val="none" w:sz="0" w:space="0" w:color="auto"/>
                <w:bottom w:val="none" w:sz="0" w:space="0" w:color="auto"/>
                <w:right w:val="none" w:sz="0" w:space="0" w:color="auto"/>
              </w:divBdr>
              <w:divsChild>
                <w:div w:id="322125441">
                  <w:marLeft w:val="0"/>
                  <w:marRight w:val="0"/>
                  <w:marTop w:val="0"/>
                  <w:marBottom w:val="0"/>
                  <w:divBdr>
                    <w:top w:val="none" w:sz="0" w:space="0" w:color="auto"/>
                    <w:left w:val="none" w:sz="0" w:space="0" w:color="auto"/>
                    <w:bottom w:val="none" w:sz="0" w:space="0" w:color="auto"/>
                    <w:right w:val="none" w:sz="0" w:space="0" w:color="auto"/>
                  </w:divBdr>
                </w:div>
              </w:divsChild>
            </w:div>
            <w:div w:id="1980770255">
              <w:marLeft w:val="0"/>
              <w:marRight w:val="0"/>
              <w:marTop w:val="0"/>
              <w:marBottom w:val="0"/>
              <w:divBdr>
                <w:top w:val="none" w:sz="0" w:space="0" w:color="auto"/>
                <w:left w:val="none" w:sz="0" w:space="0" w:color="auto"/>
                <w:bottom w:val="none" w:sz="0" w:space="0" w:color="auto"/>
                <w:right w:val="none" w:sz="0" w:space="0" w:color="auto"/>
              </w:divBdr>
              <w:divsChild>
                <w:div w:id="1958752302">
                  <w:marLeft w:val="0"/>
                  <w:marRight w:val="0"/>
                  <w:marTop w:val="0"/>
                  <w:marBottom w:val="0"/>
                  <w:divBdr>
                    <w:top w:val="none" w:sz="0" w:space="0" w:color="auto"/>
                    <w:left w:val="none" w:sz="0" w:space="0" w:color="auto"/>
                    <w:bottom w:val="none" w:sz="0" w:space="0" w:color="auto"/>
                    <w:right w:val="none" w:sz="0" w:space="0" w:color="auto"/>
                  </w:divBdr>
                </w:div>
              </w:divsChild>
            </w:div>
            <w:div w:id="1982034634">
              <w:marLeft w:val="0"/>
              <w:marRight w:val="0"/>
              <w:marTop w:val="300"/>
              <w:marBottom w:val="300"/>
              <w:divBdr>
                <w:top w:val="none" w:sz="0" w:space="0" w:color="auto"/>
                <w:left w:val="none" w:sz="0" w:space="0" w:color="auto"/>
                <w:bottom w:val="none" w:sz="0" w:space="0" w:color="auto"/>
                <w:right w:val="none" w:sz="0" w:space="0" w:color="auto"/>
              </w:divBdr>
            </w:div>
            <w:div w:id="1982080525">
              <w:marLeft w:val="0"/>
              <w:marRight w:val="0"/>
              <w:marTop w:val="300"/>
              <w:marBottom w:val="300"/>
              <w:divBdr>
                <w:top w:val="none" w:sz="0" w:space="0" w:color="auto"/>
                <w:left w:val="none" w:sz="0" w:space="0" w:color="auto"/>
                <w:bottom w:val="none" w:sz="0" w:space="0" w:color="auto"/>
                <w:right w:val="none" w:sz="0" w:space="0" w:color="auto"/>
              </w:divBdr>
            </w:div>
            <w:div w:id="1983265887">
              <w:marLeft w:val="0"/>
              <w:marRight w:val="0"/>
              <w:marTop w:val="0"/>
              <w:marBottom w:val="0"/>
              <w:divBdr>
                <w:top w:val="none" w:sz="0" w:space="0" w:color="auto"/>
                <w:left w:val="none" w:sz="0" w:space="0" w:color="auto"/>
                <w:bottom w:val="none" w:sz="0" w:space="0" w:color="auto"/>
                <w:right w:val="none" w:sz="0" w:space="0" w:color="auto"/>
              </w:divBdr>
              <w:divsChild>
                <w:div w:id="1366367177">
                  <w:marLeft w:val="0"/>
                  <w:marRight w:val="0"/>
                  <w:marTop w:val="0"/>
                  <w:marBottom w:val="0"/>
                  <w:divBdr>
                    <w:top w:val="none" w:sz="0" w:space="0" w:color="auto"/>
                    <w:left w:val="none" w:sz="0" w:space="0" w:color="auto"/>
                    <w:bottom w:val="none" w:sz="0" w:space="0" w:color="auto"/>
                    <w:right w:val="none" w:sz="0" w:space="0" w:color="auto"/>
                  </w:divBdr>
                </w:div>
              </w:divsChild>
            </w:div>
            <w:div w:id="1984968011">
              <w:marLeft w:val="0"/>
              <w:marRight w:val="0"/>
              <w:marTop w:val="300"/>
              <w:marBottom w:val="300"/>
              <w:divBdr>
                <w:top w:val="none" w:sz="0" w:space="0" w:color="auto"/>
                <w:left w:val="none" w:sz="0" w:space="0" w:color="auto"/>
                <w:bottom w:val="none" w:sz="0" w:space="0" w:color="auto"/>
                <w:right w:val="none" w:sz="0" w:space="0" w:color="auto"/>
              </w:divBdr>
            </w:div>
            <w:div w:id="1985160029">
              <w:marLeft w:val="0"/>
              <w:marRight w:val="0"/>
              <w:marTop w:val="0"/>
              <w:marBottom w:val="0"/>
              <w:divBdr>
                <w:top w:val="none" w:sz="0" w:space="0" w:color="auto"/>
                <w:left w:val="none" w:sz="0" w:space="0" w:color="auto"/>
                <w:bottom w:val="none" w:sz="0" w:space="0" w:color="auto"/>
                <w:right w:val="none" w:sz="0" w:space="0" w:color="auto"/>
              </w:divBdr>
              <w:divsChild>
                <w:div w:id="1871719210">
                  <w:marLeft w:val="0"/>
                  <w:marRight w:val="0"/>
                  <w:marTop w:val="0"/>
                  <w:marBottom w:val="0"/>
                  <w:divBdr>
                    <w:top w:val="none" w:sz="0" w:space="0" w:color="auto"/>
                    <w:left w:val="none" w:sz="0" w:space="0" w:color="auto"/>
                    <w:bottom w:val="none" w:sz="0" w:space="0" w:color="auto"/>
                    <w:right w:val="none" w:sz="0" w:space="0" w:color="auto"/>
                  </w:divBdr>
                </w:div>
              </w:divsChild>
            </w:div>
            <w:div w:id="1987587857">
              <w:marLeft w:val="0"/>
              <w:marRight w:val="0"/>
              <w:marTop w:val="0"/>
              <w:marBottom w:val="0"/>
              <w:divBdr>
                <w:top w:val="none" w:sz="0" w:space="0" w:color="auto"/>
                <w:left w:val="none" w:sz="0" w:space="0" w:color="auto"/>
                <w:bottom w:val="none" w:sz="0" w:space="0" w:color="auto"/>
                <w:right w:val="none" w:sz="0" w:space="0" w:color="auto"/>
              </w:divBdr>
              <w:divsChild>
                <w:div w:id="600377888">
                  <w:marLeft w:val="0"/>
                  <w:marRight w:val="0"/>
                  <w:marTop w:val="0"/>
                  <w:marBottom w:val="0"/>
                  <w:divBdr>
                    <w:top w:val="none" w:sz="0" w:space="0" w:color="auto"/>
                    <w:left w:val="none" w:sz="0" w:space="0" w:color="auto"/>
                    <w:bottom w:val="none" w:sz="0" w:space="0" w:color="auto"/>
                    <w:right w:val="none" w:sz="0" w:space="0" w:color="auto"/>
                  </w:divBdr>
                </w:div>
              </w:divsChild>
            </w:div>
            <w:div w:id="1987737479">
              <w:marLeft w:val="0"/>
              <w:marRight w:val="0"/>
              <w:marTop w:val="300"/>
              <w:marBottom w:val="300"/>
              <w:divBdr>
                <w:top w:val="none" w:sz="0" w:space="0" w:color="auto"/>
                <w:left w:val="none" w:sz="0" w:space="0" w:color="auto"/>
                <w:bottom w:val="none" w:sz="0" w:space="0" w:color="auto"/>
                <w:right w:val="none" w:sz="0" w:space="0" w:color="auto"/>
              </w:divBdr>
            </w:div>
            <w:div w:id="1987859908">
              <w:marLeft w:val="0"/>
              <w:marRight w:val="0"/>
              <w:marTop w:val="300"/>
              <w:marBottom w:val="300"/>
              <w:divBdr>
                <w:top w:val="none" w:sz="0" w:space="0" w:color="auto"/>
                <w:left w:val="none" w:sz="0" w:space="0" w:color="auto"/>
                <w:bottom w:val="none" w:sz="0" w:space="0" w:color="auto"/>
                <w:right w:val="none" w:sz="0" w:space="0" w:color="auto"/>
              </w:divBdr>
            </w:div>
            <w:div w:id="1989507121">
              <w:marLeft w:val="0"/>
              <w:marRight w:val="0"/>
              <w:marTop w:val="0"/>
              <w:marBottom w:val="0"/>
              <w:divBdr>
                <w:top w:val="none" w:sz="0" w:space="0" w:color="auto"/>
                <w:left w:val="none" w:sz="0" w:space="0" w:color="auto"/>
                <w:bottom w:val="none" w:sz="0" w:space="0" w:color="auto"/>
                <w:right w:val="none" w:sz="0" w:space="0" w:color="auto"/>
              </w:divBdr>
              <w:divsChild>
                <w:div w:id="1273246036">
                  <w:marLeft w:val="0"/>
                  <w:marRight w:val="0"/>
                  <w:marTop w:val="0"/>
                  <w:marBottom w:val="0"/>
                  <w:divBdr>
                    <w:top w:val="none" w:sz="0" w:space="0" w:color="auto"/>
                    <w:left w:val="none" w:sz="0" w:space="0" w:color="auto"/>
                    <w:bottom w:val="none" w:sz="0" w:space="0" w:color="auto"/>
                    <w:right w:val="none" w:sz="0" w:space="0" w:color="auto"/>
                  </w:divBdr>
                </w:div>
              </w:divsChild>
            </w:div>
            <w:div w:id="1989554327">
              <w:marLeft w:val="0"/>
              <w:marRight w:val="0"/>
              <w:marTop w:val="0"/>
              <w:marBottom w:val="0"/>
              <w:divBdr>
                <w:top w:val="none" w:sz="0" w:space="0" w:color="auto"/>
                <w:left w:val="none" w:sz="0" w:space="0" w:color="auto"/>
                <w:bottom w:val="none" w:sz="0" w:space="0" w:color="auto"/>
                <w:right w:val="none" w:sz="0" w:space="0" w:color="auto"/>
              </w:divBdr>
              <w:divsChild>
                <w:div w:id="1879974727">
                  <w:marLeft w:val="0"/>
                  <w:marRight w:val="0"/>
                  <w:marTop w:val="0"/>
                  <w:marBottom w:val="0"/>
                  <w:divBdr>
                    <w:top w:val="none" w:sz="0" w:space="0" w:color="auto"/>
                    <w:left w:val="none" w:sz="0" w:space="0" w:color="auto"/>
                    <w:bottom w:val="none" w:sz="0" w:space="0" w:color="auto"/>
                    <w:right w:val="none" w:sz="0" w:space="0" w:color="auto"/>
                  </w:divBdr>
                </w:div>
              </w:divsChild>
            </w:div>
            <w:div w:id="1990867138">
              <w:marLeft w:val="0"/>
              <w:marRight w:val="0"/>
              <w:marTop w:val="0"/>
              <w:marBottom w:val="0"/>
              <w:divBdr>
                <w:top w:val="none" w:sz="0" w:space="0" w:color="auto"/>
                <w:left w:val="none" w:sz="0" w:space="0" w:color="auto"/>
                <w:bottom w:val="none" w:sz="0" w:space="0" w:color="auto"/>
                <w:right w:val="none" w:sz="0" w:space="0" w:color="auto"/>
              </w:divBdr>
              <w:divsChild>
                <w:div w:id="1284772838">
                  <w:marLeft w:val="0"/>
                  <w:marRight w:val="0"/>
                  <w:marTop w:val="0"/>
                  <w:marBottom w:val="0"/>
                  <w:divBdr>
                    <w:top w:val="none" w:sz="0" w:space="0" w:color="auto"/>
                    <w:left w:val="none" w:sz="0" w:space="0" w:color="auto"/>
                    <w:bottom w:val="none" w:sz="0" w:space="0" w:color="auto"/>
                    <w:right w:val="none" w:sz="0" w:space="0" w:color="auto"/>
                  </w:divBdr>
                </w:div>
              </w:divsChild>
            </w:div>
            <w:div w:id="1992707213">
              <w:marLeft w:val="0"/>
              <w:marRight w:val="0"/>
              <w:marTop w:val="300"/>
              <w:marBottom w:val="300"/>
              <w:divBdr>
                <w:top w:val="none" w:sz="0" w:space="0" w:color="auto"/>
                <w:left w:val="none" w:sz="0" w:space="0" w:color="auto"/>
                <w:bottom w:val="none" w:sz="0" w:space="0" w:color="auto"/>
                <w:right w:val="none" w:sz="0" w:space="0" w:color="auto"/>
              </w:divBdr>
            </w:div>
            <w:div w:id="1998679475">
              <w:marLeft w:val="0"/>
              <w:marRight w:val="0"/>
              <w:marTop w:val="0"/>
              <w:marBottom w:val="0"/>
              <w:divBdr>
                <w:top w:val="none" w:sz="0" w:space="0" w:color="auto"/>
                <w:left w:val="none" w:sz="0" w:space="0" w:color="auto"/>
                <w:bottom w:val="none" w:sz="0" w:space="0" w:color="auto"/>
                <w:right w:val="none" w:sz="0" w:space="0" w:color="auto"/>
              </w:divBdr>
              <w:divsChild>
                <w:div w:id="1269461093">
                  <w:marLeft w:val="0"/>
                  <w:marRight w:val="0"/>
                  <w:marTop w:val="0"/>
                  <w:marBottom w:val="0"/>
                  <w:divBdr>
                    <w:top w:val="none" w:sz="0" w:space="0" w:color="auto"/>
                    <w:left w:val="none" w:sz="0" w:space="0" w:color="auto"/>
                    <w:bottom w:val="none" w:sz="0" w:space="0" w:color="auto"/>
                    <w:right w:val="none" w:sz="0" w:space="0" w:color="auto"/>
                  </w:divBdr>
                </w:div>
              </w:divsChild>
            </w:div>
            <w:div w:id="1999190286">
              <w:marLeft w:val="0"/>
              <w:marRight w:val="0"/>
              <w:marTop w:val="0"/>
              <w:marBottom w:val="0"/>
              <w:divBdr>
                <w:top w:val="none" w:sz="0" w:space="0" w:color="auto"/>
                <w:left w:val="none" w:sz="0" w:space="0" w:color="auto"/>
                <w:bottom w:val="none" w:sz="0" w:space="0" w:color="auto"/>
                <w:right w:val="none" w:sz="0" w:space="0" w:color="auto"/>
              </w:divBdr>
              <w:divsChild>
                <w:div w:id="380517039">
                  <w:marLeft w:val="0"/>
                  <w:marRight w:val="0"/>
                  <w:marTop w:val="0"/>
                  <w:marBottom w:val="0"/>
                  <w:divBdr>
                    <w:top w:val="none" w:sz="0" w:space="0" w:color="auto"/>
                    <w:left w:val="none" w:sz="0" w:space="0" w:color="auto"/>
                    <w:bottom w:val="none" w:sz="0" w:space="0" w:color="auto"/>
                    <w:right w:val="none" w:sz="0" w:space="0" w:color="auto"/>
                  </w:divBdr>
                </w:div>
              </w:divsChild>
            </w:div>
            <w:div w:id="2000183699">
              <w:marLeft w:val="0"/>
              <w:marRight w:val="0"/>
              <w:marTop w:val="0"/>
              <w:marBottom w:val="0"/>
              <w:divBdr>
                <w:top w:val="none" w:sz="0" w:space="0" w:color="auto"/>
                <w:left w:val="none" w:sz="0" w:space="0" w:color="auto"/>
                <w:bottom w:val="none" w:sz="0" w:space="0" w:color="auto"/>
                <w:right w:val="none" w:sz="0" w:space="0" w:color="auto"/>
              </w:divBdr>
              <w:divsChild>
                <w:div w:id="596719126">
                  <w:marLeft w:val="0"/>
                  <w:marRight w:val="0"/>
                  <w:marTop w:val="0"/>
                  <w:marBottom w:val="0"/>
                  <w:divBdr>
                    <w:top w:val="none" w:sz="0" w:space="0" w:color="auto"/>
                    <w:left w:val="none" w:sz="0" w:space="0" w:color="auto"/>
                    <w:bottom w:val="none" w:sz="0" w:space="0" w:color="auto"/>
                    <w:right w:val="none" w:sz="0" w:space="0" w:color="auto"/>
                  </w:divBdr>
                </w:div>
              </w:divsChild>
            </w:div>
            <w:div w:id="2000571798">
              <w:marLeft w:val="0"/>
              <w:marRight w:val="0"/>
              <w:marTop w:val="0"/>
              <w:marBottom w:val="0"/>
              <w:divBdr>
                <w:top w:val="none" w:sz="0" w:space="0" w:color="auto"/>
                <w:left w:val="none" w:sz="0" w:space="0" w:color="auto"/>
                <w:bottom w:val="none" w:sz="0" w:space="0" w:color="auto"/>
                <w:right w:val="none" w:sz="0" w:space="0" w:color="auto"/>
              </w:divBdr>
              <w:divsChild>
                <w:div w:id="462163141">
                  <w:marLeft w:val="0"/>
                  <w:marRight w:val="0"/>
                  <w:marTop w:val="0"/>
                  <w:marBottom w:val="0"/>
                  <w:divBdr>
                    <w:top w:val="none" w:sz="0" w:space="0" w:color="auto"/>
                    <w:left w:val="none" w:sz="0" w:space="0" w:color="auto"/>
                    <w:bottom w:val="none" w:sz="0" w:space="0" w:color="auto"/>
                    <w:right w:val="none" w:sz="0" w:space="0" w:color="auto"/>
                  </w:divBdr>
                </w:div>
              </w:divsChild>
            </w:div>
            <w:div w:id="2001889546">
              <w:marLeft w:val="0"/>
              <w:marRight w:val="0"/>
              <w:marTop w:val="0"/>
              <w:marBottom w:val="0"/>
              <w:divBdr>
                <w:top w:val="none" w:sz="0" w:space="0" w:color="auto"/>
                <w:left w:val="none" w:sz="0" w:space="0" w:color="auto"/>
                <w:bottom w:val="none" w:sz="0" w:space="0" w:color="auto"/>
                <w:right w:val="none" w:sz="0" w:space="0" w:color="auto"/>
              </w:divBdr>
              <w:divsChild>
                <w:div w:id="1847212523">
                  <w:marLeft w:val="0"/>
                  <w:marRight w:val="0"/>
                  <w:marTop w:val="0"/>
                  <w:marBottom w:val="0"/>
                  <w:divBdr>
                    <w:top w:val="none" w:sz="0" w:space="0" w:color="auto"/>
                    <w:left w:val="none" w:sz="0" w:space="0" w:color="auto"/>
                    <w:bottom w:val="none" w:sz="0" w:space="0" w:color="auto"/>
                    <w:right w:val="none" w:sz="0" w:space="0" w:color="auto"/>
                  </w:divBdr>
                </w:div>
              </w:divsChild>
            </w:div>
            <w:div w:id="2002653467">
              <w:marLeft w:val="0"/>
              <w:marRight w:val="0"/>
              <w:marTop w:val="300"/>
              <w:marBottom w:val="300"/>
              <w:divBdr>
                <w:top w:val="none" w:sz="0" w:space="0" w:color="auto"/>
                <w:left w:val="none" w:sz="0" w:space="0" w:color="auto"/>
                <w:bottom w:val="none" w:sz="0" w:space="0" w:color="auto"/>
                <w:right w:val="none" w:sz="0" w:space="0" w:color="auto"/>
              </w:divBdr>
            </w:div>
            <w:div w:id="2005236323">
              <w:marLeft w:val="0"/>
              <w:marRight w:val="0"/>
              <w:marTop w:val="0"/>
              <w:marBottom w:val="0"/>
              <w:divBdr>
                <w:top w:val="none" w:sz="0" w:space="0" w:color="auto"/>
                <w:left w:val="none" w:sz="0" w:space="0" w:color="auto"/>
                <w:bottom w:val="none" w:sz="0" w:space="0" w:color="auto"/>
                <w:right w:val="none" w:sz="0" w:space="0" w:color="auto"/>
              </w:divBdr>
              <w:divsChild>
                <w:div w:id="301544822">
                  <w:marLeft w:val="0"/>
                  <w:marRight w:val="0"/>
                  <w:marTop w:val="0"/>
                  <w:marBottom w:val="0"/>
                  <w:divBdr>
                    <w:top w:val="none" w:sz="0" w:space="0" w:color="auto"/>
                    <w:left w:val="none" w:sz="0" w:space="0" w:color="auto"/>
                    <w:bottom w:val="none" w:sz="0" w:space="0" w:color="auto"/>
                    <w:right w:val="none" w:sz="0" w:space="0" w:color="auto"/>
                  </w:divBdr>
                </w:div>
              </w:divsChild>
            </w:div>
            <w:div w:id="2005283654">
              <w:marLeft w:val="0"/>
              <w:marRight w:val="0"/>
              <w:marTop w:val="300"/>
              <w:marBottom w:val="300"/>
              <w:divBdr>
                <w:top w:val="none" w:sz="0" w:space="0" w:color="auto"/>
                <w:left w:val="none" w:sz="0" w:space="0" w:color="auto"/>
                <w:bottom w:val="none" w:sz="0" w:space="0" w:color="auto"/>
                <w:right w:val="none" w:sz="0" w:space="0" w:color="auto"/>
              </w:divBdr>
            </w:div>
            <w:div w:id="2005814849">
              <w:marLeft w:val="0"/>
              <w:marRight w:val="0"/>
              <w:marTop w:val="0"/>
              <w:marBottom w:val="0"/>
              <w:divBdr>
                <w:top w:val="none" w:sz="0" w:space="0" w:color="auto"/>
                <w:left w:val="none" w:sz="0" w:space="0" w:color="auto"/>
                <w:bottom w:val="none" w:sz="0" w:space="0" w:color="auto"/>
                <w:right w:val="none" w:sz="0" w:space="0" w:color="auto"/>
              </w:divBdr>
              <w:divsChild>
                <w:div w:id="247233571">
                  <w:marLeft w:val="0"/>
                  <w:marRight w:val="0"/>
                  <w:marTop w:val="0"/>
                  <w:marBottom w:val="0"/>
                  <w:divBdr>
                    <w:top w:val="none" w:sz="0" w:space="0" w:color="auto"/>
                    <w:left w:val="none" w:sz="0" w:space="0" w:color="auto"/>
                    <w:bottom w:val="none" w:sz="0" w:space="0" w:color="auto"/>
                    <w:right w:val="none" w:sz="0" w:space="0" w:color="auto"/>
                  </w:divBdr>
                </w:div>
              </w:divsChild>
            </w:div>
            <w:div w:id="2008287026">
              <w:marLeft w:val="0"/>
              <w:marRight w:val="0"/>
              <w:marTop w:val="0"/>
              <w:marBottom w:val="0"/>
              <w:divBdr>
                <w:top w:val="none" w:sz="0" w:space="0" w:color="auto"/>
                <w:left w:val="none" w:sz="0" w:space="0" w:color="auto"/>
                <w:bottom w:val="none" w:sz="0" w:space="0" w:color="auto"/>
                <w:right w:val="none" w:sz="0" w:space="0" w:color="auto"/>
              </w:divBdr>
              <w:divsChild>
                <w:div w:id="868883694">
                  <w:marLeft w:val="0"/>
                  <w:marRight w:val="0"/>
                  <w:marTop w:val="0"/>
                  <w:marBottom w:val="0"/>
                  <w:divBdr>
                    <w:top w:val="none" w:sz="0" w:space="0" w:color="auto"/>
                    <w:left w:val="none" w:sz="0" w:space="0" w:color="auto"/>
                    <w:bottom w:val="none" w:sz="0" w:space="0" w:color="auto"/>
                    <w:right w:val="none" w:sz="0" w:space="0" w:color="auto"/>
                  </w:divBdr>
                </w:div>
              </w:divsChild>
            </w:div>
            <w:div w:id="2009408960">
              <w:marLeft w:val="0"/>
              <w:marRight w:val="0"/>
              <w:marTop w:val="300"/>
              <w:marBottom w:val="300"/>
              <w:divBdr>
                <w:top w:val="none" w:sz="0" w:space="0" w:color="auto"/>
                <w:left w:val="none" w:sz="0" w:space="0" w:color="auto"/>
                <w:bottom w:val="none" w:sz="0" w:space="0" w:color="auto"/>
                <w:right w:val="none" w:sz="0" w:space="0" w:color="auto"/>
              </w:divBdr>
            </w:div>
            <w:div w:id="2010332353">
              <w:marLeft w:val="0"/>
              <w:marRight w:val="0"/>
              <w:marTop w:val="0"/>
              <w:marBottom w:val="0"/>
              <w:divBdr>
                <w:top w:val="none" w:sz="0" w:space="0" w:color="auto"/>
                <w:left w:val="none" w:sz="0" w:space="0" w:color="auto"/>
                <w:bottom w:val="none" w:sz="0" w:space="0" w:color="auto"/>
                <w:right w:val="none" w:sz="0" w:space="0" w:color="auto"/>
              </w:divBdr>
              <w:divsChild>
                <w:div w:id="604776851">
                  <w:marLeft w:val="0"/>
                  <w:marRight w:val="0"/>
                  <w:marTop w:val="0"/>
                  <w:marBottom w:val="0"/>
                  <w:divBdr>
                    <w:top w:val="none" w:sz="0" w:space="0" w:color="auto"/>
                    <w:left w:val="none" w:sz="0" w:space="0" w:color="auto"/>
                    <w:bottom w:val="none" w:sz="0" w:space="0" w:color="auto"/>
                    <w:right w:val="none" w:sz="0" w:space="0" w:color="auto"/>
                  </w:divBdr>
                </w:div>
              </w:divsChild>
            </w:div>
            <w:div w:id="2012483047">
              <w:marLeft w:val="0"/>
              <w:marRight w:val="0"/>
              <w:marTop w:val="0"/>
              <w:marBottom w:val="0"/>
              <w:divBdr>
                <w:top w:val="none" w:sz="0" w:space="0" w:color="auto"/>
                <w:left w:val="none" w:sz="0" w:space="0" w:color="auto"/>
                <w:bottom w:val="none" w:sz="0" w:space="0" w:color="auto"/>
                <w:right w:val="none" w:sz="0" w:space="0" w:color="auto"/>
              </w:divBdr>
              <w:divsChild>
                <w:div w:id="2053840871">
                  <w:marLeft w:val="0"/>
                  <w:marRight w:val="0"/>
                  <w:marTop w:val="0"/>
                  <w:marBottom w:val="0"/>
                  <w:divBdr>
                    <w:top w:val="none" w:sz="0" w:space="0" w:color="auto"/>
                    <w:left w:val="none" w:sz="0" w:space="0" w:color="auto"/>
                    <w:bottom w:val="none" w:sz="0" w:space="0" w:color="auto"/>
                    <w:right w:val="none" w:sz="0" w:space="0" w:color="auto"/>
                  </w:divBdr>
                </w:div>
              </w:divsChild>
            </w:div>
            <w:div w:id="2016378740">
              <w:marLeft w:val="0"/>
              <w:marRight w:val="0"/>
              <w:marTop w:val="0"/>
              <w:marBottom w:val="0"/>
              <w:divBdr>
                <w:top w:val="none" w:sz="0" w:space="0" w:color="auto"/>
                <w:left w:val="none" w:sz="0" w:space="0" w:color="auto"/>
                <w:bottom w:val="none" w:sz="0" w:space="0" w:color="auto"/>
                <w:right w:val="none" w:sz="0" w:space="0" w:color="auto"/>
              </w:divBdr>
              <w:divsChild>
                <w:div w:id="1026758527">
                  <w:marLeft w:val="0"/>
                  <w:marRight w:val="0"/>
                  <w:marTop w:val="0"/>
                  <w:marBottom w:val="0"/>
                  <w:divBdr>
                    <w:top w:val="none" w:sz="0" w:space="0" w:color="auto"/>
                    <w:left w:val="none" w:sz="0" w:space="0" w:color="auto"/>
                    <w:bottom w:val="none" w:sz="0" w:space="0" w:color="auto"/>
                    <w:right w:val="none" w:sz="0" w:space="0" w:color="auto"/>
                  </w:divBdr>
                </w:div>
              </w:divsChild>
            </w:div>
            <w:div w:id="2016880015">
              <w:marLeft w:val="0"/>
              <w:marRight w:val="0"/>
              <w:marTop w:val="0"/>
              <w:marBottom w:val="0"/>
              <w:divBdr>
                <w:top w:val="none" w:sz="0" w:space="0" w:color="auto"/>
                <w:left w:val="none" w:sz="0" w:space="0" w:color="auto"/>
                <w:bottom w:val="none" w:sz="0" w:space="0" w:color="auto"/>
                <w:right w:val="none" w:sz="0" w:space="0" w:color="auto"/>
              </w:divBdr>
              <w:divsChild>
                <w:div w:id="1536578889">
                  <w:marLeft w:val="0"/>
                  <w:marRight w:val="0"/>
                  <w:marTop w:val="0"/>
                  <w:marBottom w:val="0"/>
                  <w:divBdr>
                    <w:top w:val="none" w:sz="0" w:space="0" w:color="auto"/>
                    <w:left w:val="none" w:sz="0" w:space="0" w:color="auto"/>
                    <w:bottom w:val="none" w:sz="0" w:space="0" w:color="auto"/>
                    <w:right w:val="none" w:sz="0" w:space="0" w:color="auto"/>
                  </w:divBdr>
                </w:div>
              </w:divsChild>
            </w:div>
            <w:div w:id="2017267977">
              <w:marLeft w:val="0"/>
              <w:marRight w:val="0"/>
              <w:marTop w:val="0"/>
              <w:marBottom w:val="0"/>
              <w:divBdr>
                <w:top w:val="none" w:sz="0" w:space="0" w:color="auto"/>
                <w:left w:val="none" w:sz="0" w:space="0" w:color="auto"/>
                <w:bottom w:val="none" w:sz="0" w:space="0" w:color="auto"/>
                <w:right w:val="none" w:sz="0" w:space="0" w:color="auto"/>
              </w:divBdr>
              <w:divsChild>
                <w:div w:id="2086412920">
                  <w:marLeft w:val="0"/>
                  <w:marRight w:val="0"/>
                  <w:marTop w:val="0"/>
                  <w:marBottom w:val="0"/>
                  <w:divBdr>
                    <w:top w:val="none" w:sz="0" w:space="0" w:color="auto"/>
                    <w:left w:val="none" w:sz="0" w:space="0" w:color="auto"/>
                    <w:bottom w:val="none" w:sz="0" w:space="0" w:color="auto"/>
                    <w:right w:val="none" w:sz="0" w:space="0" w:color="auto"/>
                  </w:divBdr>
                </w:div>
              </w:divsChild>
            </w:div>
            <w:div w:id="2017801031">
              <w:marLeft w:val="0"/>
              <w:marRight w:val="0"/>
              <w:marTop w:val="0"/>
              <w:marBottom w:val="0"/>
              <w:divBdr>
                <w:top w:val="none" w:sz="0" w:space="0" w:color="auto"/>
                <w:left w:val="none" w:sz="0" w:space="0" w:color="auto"/>
                <w:bottom w:val="none" w:sz="0" w:space="0" w:color="auto"/>
                <w:right w:val="none" w:sz="0" w:space="0" w:color="auto"/>
              </w:divBdr>
              <w:divsChild>
                <w:div w:id="1684090356">
                  <w:marLeft w:val="0"/>
                  <w:marRight w:val="0"/>
                  <w:marTop w:val="0"/>
                  <w:marBottom w:val="0"/>
                  <w:divBdr>
                    <w:top w:val="none" w:sz="0" w:space="0" w:color="auto"/>
                    <w:left w:val="none" w:sz="0" w:space="0" w:color="auto"/>
                    <w:bottom w:val="none" w:sz="0" w:space="0" w:color="auto"/>
                    <w:right w:val="none" w:sz="0" w:space="0" w:color="auto"/>
                  </w:divBdr>
                </w:div>
              </w:divsChild>
            </w:div>
            <w:div w:id="2022009019">
              <w:marLeft w:val="0"/>
              <w:marRight w:val="0"/>
              <w:marTop w:val="0"/>
              <w:marBottom w:val="0"/>
              <w:divBdr>
                <w:top w:val="none" w:sz="0" w:space="0" w:color="auto"/>
                <w:left w:val="none" w:sz="0" w:space="0" w:color="auto"/>
                <w:bottom w:val="none" w:sz="0" w:space="0" w:color="auto"/>
                <w:right w:val="none" w:sz="0" w:space="0" w:color="auto"/>
              </w:divBdr>
              <w:divsChild>
                <w:div w:id="538862445">
                  <w:marLeft w:val="0"/>
                  <w:marRight w:val="0"/>
                  <w:marTop w:val="0"/>
                  <w:marBottom w:val="0"/>
                  <w:divBdr>
                    <w:top w:val="none" w:sz="0" w:space="0" w:color="auto"/>
                    <w:left w:val="none" w:sz="0" w:space="0" w:color="auto"/>
                    <w:bottom w:val="none" w:sz="0" w:space="0" w:color="auto"/>
                    <w:right w:val="none" w:sz="0" w:space="0" w:color="auto"/>
                  </w:divBdr>
                </w:div>
              </w:divsChild>
            </w:div>
            <w:div w:id="2022080080">
              <w:marLeft w:val="0"/>
              <w:marRight w:val="0"/>
              <w:marTop w:val="0"/>
              <w:marBottom w:val="0"/>
              <w:divBdr>
                <w:top w:val="none" w:sz="0" w:space="0" w:color="auto"/>
                <w:left w:val="none" w:sz="0" w:space="0" w:color="auto"/>
                <w:bottom w:val="none" w:sz="0" w:space="0" w:color="auto"/>
                <w:right w:val="none" w:sz="0" w:space="0" w:color="auto"/>
              </w:divBdr>
              <w:divsChild>
                <w:div w:id="851191033">
                  <w:marLeft w:val="0"/>
                  <w:marRight w:val="0"/>
                  <w:marTop w:val="0"/>
                  <w:marBottom w:val="0"/>
                  <w:divBdr>
                    <w:top w:val="none" w:sz="0" w:space="0" w:color="auto"/>
                    <w:left w:val="none" w:sz="0" w:space="0" w:color="auto"/>
                    <w:bottom w:val="none" w:sz="0" w:space="0" w:color="auto"/>
                    <w:right w:val="none" w:sz="0" w:space="0" w:color="auto"/>
                  </w:divBdr>
                </w:div>
              </w:divsChild>
            </w:div>
            <w:div w:id="2022853260">
              <w:marLeft w:val="0"/>
              <w:marRight w:val="0"/>
              <w:marTop w:val="0"/>
              <w:marBottom w:val="0"/>
              <w:divBdr>
                <w:top w:val="none" w:sz="0" w:space="0" w:color="auto"/>
                <w:left w:val="none" w:sz="0" w:space="0" w:color="auto"/>
                <w:bottom w:val="none" w:sz="0" w:space="0" w:color="auto"/>
                <w:right w:val="none" w:sz="0" w:space="0" w:color="auto"/>
              </w:divBdr>
              <w:divsChild>
                <w:div w:id="1686320468">
                  <w:marLeft w:val="0"/>
                  <w:marRight w:val="0"/>
                  <w:marTop w:val="0"/>
                  <w:marBottom w:val="0"/>
                  <w:divBdr>
                    <w:top w:val="none" w:sz="0" w:space="0" w:color="auto"/>
                    <w:left w:val="none" w:sz="0" w:space="0" w:color="auto"/>
                    <w:bottom w:val="none" w:sz="0" w:space="0" w:color="auto"/>
                    <w:right w:val="none" w:sz="0" w:space="0" w:color="auto"/>
                  </w:divBdr>
                </w:div>
              </w:divsChild>
            </w:div>
            <w:div w:id="2023583967">
              <w:marLeft w:val="0"/>
              <w:marRight w:val="0"/>
              <w:marTop w:val="0"/>
              <w:marBottom w:val="0"/>
              <w:divBdr>
                <w:top w:val="none" w:sz="0" w:space="0" w:color="auto"/>
                <w:left w:val="none" w:sz="0" w:space="0" w:color="auto"/>
                <w:bottom w:val="none" w:sz="0" w:space="0" w:color="auto"/>
                <w:right w:val="none" w:sz="0" w:space="0" w:color="auto"/>
              </w:divBdr>
              <w:divsChild>
                <w:div w:id="1007368576">
                  <w:marLeft w:val="0"/>
                  <w:marRight w:val="0"/>
                  <w:marTop w:val="0"/>
                  <w:marBottom w:val="0"/>
                  <w:divBdr>
                    <w:top w:val="none" w:sz="0" w:space="0" w:color="auto"/>
                    <w:left w:val="none" w:sz="0" w:space="0" w:color="auto"/>
                    <w:bottom w:val="none" w:sz="0" w:space="0" w:color="auto"/>
                    <w:right w:val="none" w:sz="0" w:space="0" w:color="auto"/>
                  </w:divBdr>
                </w:div>
              </w:divsChild>
            </w:div>
            <w:div w:id="2023630944">
              <w:marLeft w:val="0"/>
              <w:marRight w:val="0"/>
              <w:marTop w:val="0"/>
              <w:marBottom w:val="0"/>
              <w:divBdr>
                <w:top w:val="none" w:sz="0" w:space="0" w:color="auto"/>
                <w:left w:val="none" w:sz="0" w:space="0" w:color="auto"/>
                <w:bottom w:val="none" w:sz="0" w:space="0" w:color="auto"/>
                <w:right w:val="none" w:sz="0" w:space="0" w:color="auto"/>
              </w:divBdr>
              <w:divsChild>
                <w:div w:id="1265385243">
                  <w:marLeft w:val="0"/>
                  <w:marRight w:val="0"/>
                  <w:marTop w:val="0"/>
                  <w:marBottom w:val="0"/>
                  <w:divBdr>
                    <w:top w:val="none" w:sz="0" w:space="0" w:color="auto"/>
                    <w:left w:val="none" w:sz="0" w:space="0" w:color="auto"/>
                    <w:bottom w:val="none" w:sz="0" w:space="0" w:color="auto"/>
                    <w:right w:val="none" w:sz="0" w:space="0" w:color="auto"/>
                  </w:divBdr>
                </w:div>
              </w:divsChild>
            </w:div>
            <w:div w:id="2023966105">
              <w:marLeft w:val="0"/>
              <w:marRight w:val="0"/>
              <w:marTop w:val="0"/>
              <w:marBottom w:val="0"/>
              <w:divBdr>
                <w:top w:val="none" w:sz="0" w:space="0" w:color="auto"/>
                <w:left w:val="none" w:sz="0" w:space="0" w:color="auto"/>
                <w:bottom w:val="none" w:sz="0" w:space="0" w:color="auto"/>
                <w:right w:val="none" w:sz="0" w:space="0" w:color="auto"/>
              </w:divBdr>
              <w:divsChild>
                <w:div w:id="776951697">
                  <w:marLeft w:val="0"/>
                  <w:marRight w:val="0"/>
                  <w:marTop w:val="0"/>
                  <w:marBottom w:val="0"/>
                  <w:divBdr>
                    <w:top w:val="none" w:sz="0" w:space="0" w:color="auto"/>
                    <w:left w:val="none" w:sz="0" w:space="0" w:color="auto"/>
                    <w:bottom w:val="none" w:sz="0" w:space="0" w:color="auto"/>
                    <w:right w:val="none" w:sz="0" w:space="0" w:color="auto"/>
                  </w:divBdr>
                </w:div>
              </w:divsChild>
            </w:div>
            <w:div w:id="2024352478">
              <w:marLeft w:val="0"/>
              <w:marRight w:val="0"/>
              <w:marTop w:val="300"/>
              <w:marBottom w:val="300"/>
              <w:divBdr>
                <w:top w:val="none" w:sz="0" w:space="0" w:color="auto"/>
                <w:left w:val="none" w:sz="0" w:space="0" w:color="auto"/>
                <w:bottom w:val="none" w:sz="0" w:space="0" w:color="auto"/>
                <w:right w:val="none" w:sz="0" w:space="0" w:color="auto"/>
              </w:divBdr>
            </w:div>
            <w:div w:id="2024358960">
              <w:marLeft w:val="0"/>
              <w:marRight w:val="0"/>
              <w:marTop w:val="300"/>
              <w:marBottom w:val="300"/>
              <w:divBdr>
                <w:top w:val="none" w:sz="0" w:space="0" w:color="auto"/>
                <w:left w:val="none" w:sz="0" w:space="0" w:color="auto"/>
                <w:bottom w:val="none" w:sz="0" w:space="0" w:color="auto"/>
                <w:right w:val="none" w:sz="0" w:space="0" w:color="auto"/>
              </w:divBdr>
            </w:div>
            <w:div w:id="2024936807">
              <w:marLeft w:val="0"/>
              <w:marRight w:val="0"/>
              <w:marTop w:val="0"/>
              <w:marBottom w:val="0"/>
              <w:divBdr>
                <w:top w:val="none" w:sz="0" w:space="0" w:color="auto"/>
                <w:left w:val="none" w:sz="0" w:space="0" w:color="auto"/>
                <w:bottom w:val="none" w:sz="0" w:space="0" w:color="auto"/>
                <w:right w:val="none" w:sz="0" w:space="0" w:color="auto"/>
              </w:divBdr>
              <w:divsChild>
                <w:div w:id="1219627402">
                  <w:marLeft w:val="0"/>
                  <w:marRight w:val="0"/>
                  <w:marTop w:val="0"/>
                  <w:marBottom w:val="0"/>
                  <w:divBdr>
                    <w:top w:val="none" w:sz="0" w:space="0" w:color="auto"/>
                    <w:left w:val="none" w:sz="0" w:space="0" w:color="auto"/>
                    <w:bottom w:val="none" w:sz="0" w:space="0" w:color="auto"/>
                    <w:right w:val="none" w:sz="0" w:space="0" w:color="auto"/>
                  </w:divBdr>
                </w:div>
              </w:divsChild>
            </w:div>
            <w:div w:id="2025790049">
              <w:marLeft w:val="0"/>
              <w:marRight w:val="0"/>
              <w:marTop w:val="300"/>
              <w:marBottom w:val="300"/>
              <w:divBdr>
                <w:top w:val="none" w:sz="0" w:space="0" w:color="auto"/>
                <w:left w:val="none" w:sz="0" w:space="0" w:color="auto"/>
                <w:bottom w:val="none" w:sz="0" w:space="0" w:color="auto"/>
                <w:right w:val="none" w:sz="0" w:space="0" w:color="auto"/>
              </w:divBdr>
            </w:div>
            <w:div w:id="2029060991">
              <w:marLeft w:val="0"/>
              <w:marRight w:val="0"/>
              <w:marTop w:val="0"/>
              <w:marBottom w:val="0"/>
              <w:divBdr>
                <w:top w:val="none" w:sz="0" w:space="0" w:color="auto"/>
                <w:left w:val="none" w:sz="0" w:space="0" w:color="auto"/>
                <w:bottom w:val="none" w:sz="0" w:space="0" w:color="auto"/>
                <w:right w:val="none" w:sz="0" w:space="0" w:color="auto"/>
              </w:divBdr>
              <w:divsChild>
                <w:div w:id="1705062083">
                  <w:marLeft w:val="0"/>
                  <w:marRight w:val="0"/>
                  <w:marTop w:val="0"/>
                  <w:marBottom w:val="0"/>
                  <w:divBdr>
                    <w:top w:val="none" w:sz="0" w:space="0" w:color="auto"/>
                    <w:left w:val="none" w:sz="0" w:space="0" w:color="auto"/>
                    <w:bottom w:val="none" w:sz="0" w:space="0" w:color="auto"/>
                    <w:right w:val="none" w:sz="0" w:space="0" w:color="auto"/>
                  </w:divBdr>
                </w:div>
              </w:divsChild>
            </w:div>
            <w:div w:id="2029866965">
              <w:marLeft w:val="0"/>
              <w:marRight w:val="0"/>
              <w:marTop w:val="0"/>
              <w:marBottom w:val="0"/>
              <w:divBdr>
                <w:top w:val="none" w:sz="0" w:space="0" w:color="auto"/>
                <w:left w:val="none" w:sz="0" w:space="0" w:color="auto"/>
                <w:bottom w:val="none" w:sz="0" w:space="0" w:color="auto"/>
                <w:right w:val="none" w:sz="0" w:space="0" w:color="auto"/>
              </w:divBdr>
              <w:divsChild>
                <w:div w:id="1795560025">
                  <w:marLeft w:val="0"/>
                  <w:marRight w:val="0"/>
                  <w:marTop w:val="0"/>
                  <w:marBottom w:val="0"/>
                  <w:divBdr>
                    <w:top w:val="none" w:sz="0" w:space="0" w:color="auto"/>
                    <w:left w:val="none" w:sz="0" w:space="0" w:color="auto"/>
                    <w:bottom w:val="none" w:sz="0" w:space="0" w:color="auto"/>
                    <w:right w:val="none" w:sz="0" w:space="0" w:color="auto"/>
                  </w:divBdr>
                </w:div>
              </w:divsChild>
            </w:div>
            <w:div w:id="2030132187">
              <w:marLeft w:val="0"/>
              <w:marRight w:val="0"/>
              <w:marTop w:val="300"/>
              <w:marBottom w:val="300"/>
              <w:divBdr>
                <w:top w:val="none" w:sz="0" w:space="0" w:color="auto"/>
                <w:left w:val="none" w:sz="0" w:space="0" w:color="auto"/>
                <w:bottom w:val="none" w:sz="0" w:space="0" w:color="auto"/>
                <w:right w:val="none" w:sz="0" w:space="0" w:color="auto"/>
              </w:divBdr>
            </w:div>
            <w:div w:id="2031487595">
              <w:marLeft w:val="0"/>
              <w:marRight w:val="0"/>
              <w:marTop w:val="300"/>
              <w:marBottom w:val="300"/>
              <w:divBdr>
                <w:top w:val="none" w:sz="0" w:space="0" w:color="auto"/>
                <w:left w:val="none" w:sz="0" w:space="0" w:color="auto"/>
                <w:bottom w:val="none" w:sz="0" w:space="0" w:color="auto"/>
                <w:right w:val="none" w:sz="0" w:space="0" w:color="auto"/>
              </w:divBdr>
            </w:div>
            <w:div w:id="2032030400">
              <w:marLeft w:val="0"/>
              <w:marRight w:val="0"/>
              <w:marTop w:val="0"/>
              <w:marBottom w:val="0"/>
              <w:divBdr>
                <w:top w:val="none" w:sz="0" w:space="0" w:color="auto"/>
                <w:left w:val="none" w:sz="0" w:space="0" w:color="auto"/>
                <w:bottom w:val="none" w:sz="0" w:space="0" w:color="auto"/>
                <w:right w:val="none" w:sz="0" w:space="0" w:color="auto"/>
              </w:divBdr>
              <w:divsChild>
                <w:div w:id="609317035">
                  <w:marLeft w:val="0"/>
                  <w:marRight w:val="0"/>
                  <w:marTop w:val="0"/>
                  <w:marBottom w:val="0"/>
                  <w:divBdr>
                    <w:top w:val="none" w:sz="0" w:space="0" w:color="auto"/>
                    <w:left w:val="none" w:sz="0" w:space="0" w:color="auto"/>
                    <w:bottom w:val="none" w:sz="0" w:space="0" w:color="auto"/>
                    <w:right w:val="none" w:sz="0" w:space="0" w:color="auto"/>
                  </w:divBdr>
                </w:div>
              </w:divsChild>
            </w:div>
            <w:div w:id="2032414736">
              <w:marLeft w:val="0"/>
              <w:marRight w:val="0"/>
              <w:marTop w:val="0"/>
              <w:marBottom w:val="0"/>
              <w:divBdr>
                <w:top w:val="none" w:sz="0" w:space="0" w:color="auto"/>
                <w:left w:val="none" w:sz="0" w:space="0" w:color="auto"/>
                <w:bottom w:val="none" w:sz="0" w:space="0" w:color="auto"/>
                <w:right w:val="none" w:sz="0" w:space="0" w:color="auto"/>
              </w:divBdr>
              <w:divsChild>
                <w:div w:id="2000310291">
                  <w:marLeft w:val="0"/>
                  <w:marRight w:val="0"/>
                  <w:marTop w:val="0"/>
                  <w:marBottom w:val="0"/>
                  <w:divBdr>
                    <w:top w:val="none" w:sz="0" w:space="0" w:color="auto"/>
                    <w:left w:val="none" w:sz="0" w:space="0" w:color="auto"/>
                    <w:bottom w:val="none" w:sz="0" w:space="0" w:color="auto"/>
                    <w:right w:val="none" w:sz="0" w:space="0" w:color="auto"/>
                  </w:divBdr>
                </w:div>
              </w:divsChild>
            </w:div>
            <w:div w:id="2033451775">
              <w:marLeft w:val="0"/>
              <w:marRight w:val="0"/>
              <w:marTop w:val="0"/>
              <w:marBottom w:val="0"/>
              <w:divBdr>
                <w:top w:val="none" w:sz="0" w:space="0" w:color="auto"/>
                <w:left w:val="none" w:sz="0" w:space="0" w:color="auto"/>
                <w:bottom w:val="none" w:sz="0" w:space="0" w:color="auto"/>
                <w:right w:val="none" w:sz="0" w:space="0" w:color="auto"/>
              </w:divBdr>
              <w:divsChild>
                <w:div w:id="100490259">
                  <w:marLeft w:val="0"/>
                  <w:marRight w:val="0"/>
                  <w:marTop w:val="0"/>
                  <w:marBottom w:val="0"/>
                  <w:divBdr>
                    <w:top w:val="none" w:sz="0" w:space="0" w:color="auto"/>
                    <w:left w:val="none" w:sz="0" w:space="0" w:color="auto"/>
                    <w:bottom w:val="none" w:sz="0" w:space="0" w:color="auto"/>
                    <w:right w:val="none" w:sz="0" w:space="0" w:color="auto"/>
                  </w:divBdr>
                </w:div>
              </w:divsChild>
            </w:div>
            <w:div w:id="2033996774">
              <w:marLeft w:val="0"/>
              <w:marRight w:val="0"/>
              <w:marTop w:val="0"/>
              <w:marBottom w:val="0"/>
              <w:divBdr>
                <w:top w:val="none" w:sz="0" w:space="0" w:color="auto"/>
                <w:left w:val="none" w:sz="0" w:space="0" w:color="auto"/>
                <w:bottom w:val="none" w:sz="0" w:space="0" w:color="auto"/>
                <w:right w:val="none" w:sz="0" w:space="0" w:color="auto"/>
              </w:divBdr>
              <w:divsChild>
                <w:div w:id="1541044726">
                  <w:marLeft w:val="0"/>
                  <w:marRight w:val="0"/>
                  <w:marTop w:val="0"/>
                  <w:marBottom w:val="0"/>
                  <w:divBdr>
                    <w:top w:val="none" w:sz="0" w:space="0" w:color="auto"/>
                    <w:left w:val="none" w:sz="0" w:space="0" w:color="auto"/>
                    <w:bottom w:val="none" w:sz="0" w:space="0" w:color="auto"/>
                    <w:right w:val="none" w:sz="0" w:space="0" w:color="auto"/>
                  </w:divBdr>
                </w:div>
              </w:divsChild>
            </w:div>
            <w:div w:id="2033996949">
              <w:marLeft w:val="0"/>
              <w:marRight w:val="0"/>
              <w:marTop w:val="300"/>
              <w:marBottom w:val="300"/>
              <w:divBdr>
                <w:top w:val="none" w:sz="0" w:space="0" w:color="auto"/>
                <w:left w:val="none" w:sz="0" w:space="0" w:color="auto"/>
                <w:bottom w:val="none" w:sz="0" w:space="0" w:color="auto"/>
                <w:right w:val="none" w:sz="0" w:space="0" w:color="auto"/>
              </w:divBdr>
            </w:div>
            <w:div w:id="2034648397">
              <w:marLeft w:val="0"/>
              <w:marRight w:val="0"/>
              <w:marTop w:val="0"/>
              <w:marBottom w:val="0"/>
              <w:divBdr>
                <w:top w:val="none" w:sz="0" w:space="0" w:color="auto"/>
                <w:left w:val="none" w:sz="0" w:space="0" w:color="auto"/>
                <w:bottom w:val="none" w:sz="0" w:space="0" w:color="auto"/>
                <w:right w:val="none" w:sz="0" w:space="0" w:color="auto"/>
              </w:divBdr>
              <w:divsChild>
                <w:div w:id="295180890">
                  <w:marLeft w:val="0"/>
                  <w:marRight w:val="0"/>
                  <w:marTop w:val="0"/>
                  <w:marBottom w:val="0"/>
                  <w:divBdr>
                    <w:top w:val="none" w:sz="0" w:space="0" w:color="auto"/>
                    <w:left w:val="none" w:sz="0" w:space="0" w:color="auto"/>
                    <w:bottom w:val="none" w:sz="0" w:space="0" w:color="auto"/>
                    <w:right w:val="none" w:sz="0" w:space="0" w:color="auto"/>
                  </w:divBdr>
                </w:div>
              </w:divsChild>
            </w:div>
            <w:div w:id="2035184778">
              <w:marLeft w:val="0"/>
              <w:marRight w:val="0"/>
              <w:marTop w:val="0"/>
              <w:marBottom w:val="0"/>
              <w:divBdr>
                <w:top w:val="none" w:sz="0" w:space="0" w:color="auto"/>
                <w:left w:val="none" w:sz="0" w:space="0" w:color="auto"/>
                <w:bottom w:val="none" w:sz="0" w:space="0" w:color="auto"/>
                <w:right w:val="none" w:sz="0" w:space="0" w:color="auto"/>
              </w:divBdr>
              <w:divsChild>
                <w:div w:id="348915635">
                  <w:marLeft w:val="0"/>
                  <w:marRight w:val="0"/>
                  <w:marTop w:val="0"/>
                  <w:marBottom w:val="0"/>
                  <w:divBdr>
                    <w:top w:val="none" w:sz="0" w:space="0" w:color="auto"/>
                    <w:left w:val="none" w:sz="0" w:space="0" w:color="auto"/>
                    <w:bottom w:val="none" w:sz="0" w:space="0" w:color="auto"/>
                    <w:right w:val="none" w:sz="0" w:space="0" w:color="auto"/>
                  </w:divBdr>
                </w:div>
              </w:divsChild>
            </w:div>
            <w:div w:id="2035420861">
              <w:marLeft w:val="0"/>
              <w:marRight w:val="0"/>
              <w:marTop w:val="0"/>
              <w:marBottom w:val="0"/>
              <w:divBdr>
                <w:top w:val="none" w:sz="0" w:space="0" w:color="auto"/>
                <w:left w:val="none" w:sz="0" w:space="0" w:color="auto"/>
                <w:bottom w:val="none" w:sz="0" w:space="0" w:color="auto"/>
                <w:right w:val="none" w:sz="0" w:space="0" w:color="auto"/>
              </w:divBdr>
              <w:divsChild>
                <w:div w:id="1332875792">
                  <w:marLeft w:val="0"/>
                  <w:marRight w:val="0"/>
                  <w:marTop w:val="0"/>
                  <w:marBottom w:val="0"/>
                  <w:divBdr>
                    <w:top w:val="none" w:sz="0" w:space="0" w:color="auto"/>
                    <w:left w:val="none" w:sz="0" w:space="0" w:color="auto"/>
                    <w:bottom w:val="none" w:sz="0" w:space="0" w:color="auto"/>
                    <w:right w:val="none" w:sz="0" w:space="0" w:color="auto"/>
                  </w:divBdr>
                </w:div>
              </w:divsChild>
            </w:div>
            <w:div w:id="2036151716">
              <w:marLeft w:val="0"/>
              <w:marRight w:val="0"/>
              <w:marTop w:val="0"/>
              <w:marBottom w:val="0"/>
              <w:divBdr>
                <w:top w:val="none" w:sz="0" w:space="0" w:color="auto"/>
                <w:left w:val="none" w:sz="0" w:space="0" w:color="auto"/>
                <w:bottom w:val="none" w:sz="0" w:space="0" w:color="auto"/>
                <w:right w:val="none" w:sz="0" w:space="0" w:color="auto"/>
              </w:divBdr>
              <w:divsChild>
                <w:div w:id="2027561379">
                  <w:marLeft w:val="0"/>
                  <w:marRight w:val="0"/>
                  <w:marTop w:val="0"/>
                  <w:marBottom w:val="0"/>
                  <w:divBdr>
                    <w:top w:val="none" w:sz="0" w:space="0" w:color="auto"/>
                    <w:left w:val="none" w:sz="0" w:space="0" w:color="auto"/>
                    <w:bottom w:val="none" w:sz="0" w:space="0" w:color="auto"/>
                    <w:right w:val="none" w:sz="0" w:space="0" w:color="auto"/>
                  </w:divBdr>
                </w:div>
              </w:divsChild>
            </w:div>
            <w:div w:id="2036273714">
              <w:marLeft w:val="0"/>
              <w:marRight w:val="0"/>
              <w:marTop w:val="0"/>
              <w:marBottom w:val="0"/>
              <w:divBdr>
                <w:top w:val="none" w:sz="0" w:space="0" w:color="auto"/>
                <w:left w:val="none" w:sz="0" w:space="0" w:color="auto"/>
                <w:bottom w:val="none" w:sz="0" w:space="0" w:color="auto"/>
                <w:right w:val="none" w:sz="0" w:space="0" w:color="auto"/>
              </w:divBdr>
              <w:divsChild>
                <w:div w:id="1290672570">
                  <w:marLeft w:val="0"/>
                  <w:marRight w:val="0"/>
                  <w:marTop w:val="0"/>
                  <w:marBottom w:val="0"/>
                  <w:divBdr>
                    <w:top w:val="none" w:sz="0" w:space="0" w:color="auto"/>
                    <w:left w:val="none" w:sz="0" w:space="0" w:color="auto"/>
                    <w:bottom w:val="none" w:sz="0" w:space="0" w:color="auto"/>
                    <w:right w:val="none" w:sz="0" w:space="0" w:color="auto"/>
                  </w:divBdr>
                </w:div>
              </w:divsChild>
            </w:div>
            <w:div w:id="2039506130">
              <w:marLeft w:val="0"/>
              <w:marRight w:val="0"/>
              <w:marTop w:val="300"/>
              <w:marBottom w:val="300"/>
              <w:divBdr>
                <w:top w:val="none" w:sz="0" w:space="0" w:color="auto"/>
                <w:left w:val="none" w:sz="0" w:space="0" w:color="auto"/>
                <w:bottom w:val="none" w:sz="0" w:space="0" w:color="auto"/>
                <w:right w:val="none" w:sz="0" w:space="0" w:color="auto"/>
              </w:divBdr>
            </w:div>
            <w:div w:id="2040087391">
              <w:marLeft w:val="0"/>
              <w:marRight w:val="0"/>
              <w:marTop w:val="0"/>
              <w:marBottom w:val="0"/>
              <w:divBdr>
                <w:top w:val="none" w:sz="0" w:space="0" w:color="auto"/>
                <w:left w:val="none" w:sz="0" w:space="0" w:color="auto"/>
                <w:bottom w:val="none" w:sz="0" w:space="0" w:color="auto"/>
                <w:right w:val="none" w:sz="0" w:space="0" w:color="auto"/>
              </w:divBdr>
              <w:divsChild>
                <w:div w:id="743379318">
                  <w:marLeft w:val="0"/>
                  <w:marRight w:val="0"/>
                  <w:marTop w:val="0"/>
                  <w:marBottom w:val="0"/>
                  <w:divBdr>
                    <w:top w:val="none" w:sz="0" w:space="0" w:color="auto"/>
                    <w:left w:val="none" w:sz="0" w:space="0" w:color="auto"/>
                    <w:bottom w:val="none" w:sz="0" w:space="0" w:color="auto"/>
                    <w:right w:val="none" w:sz="0" w:space="0" w:color="auto"/>
                  </w:divBdr>
                </w:div>
              </w:divsChild>
            </w:div>
            <w:div w:id="2040201588">
              <w:marLeft w:val="0"/>
              <w:marRight w:val="0"/>
              <w:marTop w:val="300"/>
              <w:marBottom w:val="300"/>
              <w:divBdr>
                <w:top w:val="none" w:sz="0" w:space="0" w:color="auto"/>
                <w:left w:val="none" w:sz="0" w:space="0" w:color="auto"/>
                <w:bottom w:val="none" w:sz="0" w:space="0" w:color="auto"/>
                <w:right w:val="none" w:sz="0" w:space="0" w:color="auto"/>
              </w:divBdr>
            </w:div>
            <w:div w:id="2040741047">
              <w:marLeft w:val="0"/>
              <w:marRight w:val="0"/>
              <w:marTop w:val="0"/>
              <w:marBottom w:val="0"/>
              <w:divBdr>
                <w:top w:val="none" w:sz="0" w:space="0" w:color="auto"/>
                <w:left w:val="none" w:sz="0" w:space="0" w:color="auto"/>
                <w:bottom w:val="none" w:sz="0" w:space="0" w:color="auto"/>
                <w:right w:val="none" w:sz="0" w:space="0" w:color="auto"/>
              </w:divBdr>
              <w:divsChild>
                <w:div w:id="583683891">
                  <w:marLeft w:val="0"/>
                  <w:marRight w:val="0"/>
                  <w:marTop w:val="0"/>
                  <w:marBottom w:val="0"/>
                  <w:divBdr>
                    <w:top w:val="none" w:sz="0" w:space="0" w:color="auto"/>
                    <w:left w:val="none" w:sz="0" w:space="0" w:color="auto"/>
                    <w:bottom w:val="none" w:sz="0" w:space="0" w:color="auto"/>
                    <w:right w:val="none" w:sz="0" w:space="0" w:color="auto"/>
                  </w:divBdr>
                </w:div>
              </w:divsChild>
            </w:div>
            <w:div w:id="2040812720">
              <w:marLeft w:val="0"/>
              <w:marRight w:val="0"/>
              <w:marTop w:val="300"/>
              <w:marBottom w:val="300"/>
              <w:divBdr>
                <w:top w:val="none" w:sz="0" w:space="0" w:color="auto"/>
                <w:left w:val="none" w:sz="0" w:space="0" w:color="auto"/>
                <w:bottom w:val="none" w:sz="0" w:space="0" w:color="auto"/>
                <w:right w:val="none" w:sz="0" w:space="0" w:color="auto"/>
              </w:divBdr>
            </w:div>
            <w:div w:id="2042439069">
              <w:marLeft w:val="0"/>
              <w:marRight w:val="0"/>
              <w:marTop w:val="300"/>
              <w:marBottom w:val="300"/>
              <w:divBdr>
                <w:top w:val="none" w:sz="0" w:space="0" w:color="auto"/>
                <w:left w:val="none" w:sz="0" w:space="0" w:color="auto"/>
                <w:bottom w:val="none" w:sz="0" w:space="0" w:color="auto"/>
                <w:right w:val="none" w:sz="0" w:space="0" w:color="auto"/>
              </w:divBdr>
            </w:div>
            <w:div w:id="2043895073">
              <w:marLeft w:val="0"/>
              <w:marRight w:val="0"/>
              <w:marTop w:val="0"/>
              <w:marBottom w:val="0"/>
              <w:divBdr>
                <w:top w:val="none" w:sz="0" w:space="0" w:color="auto"/>
                <w:left w:val="none" w:sz="0" w:space="0" w:color="auto"/>
                <w:bottom w:val="none" w:sz="0" w:space="0" w:color="auto"/>
                <w:right w:val="none" w:sz="0" w:space="0" w:color="auto"/>
              </w:divBdr>
              <w:divsChild>
                <w:div w:id="1404718535">
                  <w:marLeft w:val="0"/>
                  <w:marRight w:val="0"/>
                  <w:marTop w:val="0"/>
                  <w:marBottom w:val="0"/>
                  <w:divBdr>
                    <w:top w:val="none" w:sz="0" w:space="0" w:color="auto"/>
                    <w:left w:val="none" w:sz="0" w:space="0" w:color="auto"/>
                    <w:bottom w:val="none" w:sz="0" w:space="0" w:color="auto"/>
                    <w:right w:val="none" w:sz="0" w:space="0" w:color="auto"/>
                  </w:divBdr>
                </w:div>
              </w:divsChild>
            </w:div>
            <w:div w:id="2044011033">
              <w:marLeft w:val="0"/>
              <w:marRight w:val="0"/>
              <w:marTop w:val="0"/>
              <w:marBottom w:val="0"/>
              <w:divBdr>
                <w:top w:val="none" w:sz="0" w:space="0" w:color="auto"/>
                <w:left w:val="none" w:sz="0" w:space="0" w:color="auto"/>
                <w:bottom w:val="none" w:sz="0" w:space="0" w:color="auto"/>
                <w:right w:val="none" w:sz="0" w:space="0" w:color="auto"/>
              </w:divBdr>
              <w:divsChild>
                <w:div w:id="1173105447">
                  <w:marLeft w:val="0"/>
                  <w:marRight w:val="0"/>
                  <w:marTop w:val="0"/>
                  <w:marBottom w:val="0"/>
                  <w:divBdr>
                    <w:top w:val="none" w:sz="0" w:space="0" w:color="auto"/>
                    <w:left w:val="none" w:sz="0" w:space="0" w:color="auto"/>
                    <w:bottom w:val="none" w:sz="0" w:space="0" w:color="auto"/>
                    <w:right w:val="none" w:sz="0" w:space="0" w:color="auto"/>
                  </w:divBdr>
                </w:div>
              </w:divsChild>
            </w:div>
            <w:div w:id="2044749386">
              <w:marLeft w:val="0"/>
              <w:marRight w:val="0"/>
              <w:marTop w:val="0"/>
              <w:marBottom w:val="0"/>
              <w:divBdr>
                <w:top w:val="none" w:sz="0" w:space="0" w:color="auto"/>
                <w:left w:val="none" w:sz="0" w:space="0" w:color="auto"/>
                <w:bottom w:val="none" w:sz="0" w:space="0" w:color="auto"/>
                <w:right w:val="none" w:sz="0" w:space="0" w:color="auto"/>
              </w:divBdr>
              <w:divsChild>
                <w:div w:id="746617127">
                  <w:marLeft w:val="0"/>
                  <w:marRight w:val="0"/>
                  <w:marTop w:val="0"/>
                  <w:marBottom w:val="0"/>
                  <w:divBdr>
                    <w:top w:val="none" w:sz="0" w:space="0" w:color="auto"/>
                    <w:left w:val="none" w:sz="0" w:space="0" w:color="auto"/>
                    <w:bottom w:val="none" w:sz="0" w:space="0" w:color="auto"/>
                    <w:right w:val="none" w:sz="0" w:space="0" w:color="auto"/>
                  </w:divBdr>
                </w:div>
              </w:divsChild>
            </w:div>
            <w:div w:id="2045517714">
              <w:marLeft w:val="0"/>
              <w:marRight w:val="0"/>
              <w:marTop w:val="300"/>
              <w:marBottom w:val="300"/>
              <w:divBdr>
                <w:top w:val="none" w:sz="0" w:space="0" w:color="auto"/>
                <w:left w:val="none" w:sz="0" w:space="0" w:color="auto"/>
                <w:bottom w:val="none" w:sz="0" w:space="0" w:color="auto"/>
                <w:right w:val="none" w:sz="0" w:space="0" w:color="auto"/>
              </w:divBdr>
            </w:div>
            <w:div w:id="2045933709">
              <w:marLeft w:val="0"/>
              <w:marRight w:val="0"/>
              <w:marTop w:val="300"/>
              <w:marBottom w:val="300"/>
              <w:divBdr>
                <w:top w:val="none" w:sz="0" w:space="0" w:color="auto"/>
                <w:left w:val="none" w:sz="0" w:space="0" w:color="auto"/>
                <w:bottom w:val="none" w:sz="0" w:space="0" w:color="auto"/>
                <w:right w:val="none" w:sz="0" w:space="0" w:color="auto"/>
              </w:divBdr>
            </w:div>
            <w:div w:id="2046058214">
              <w:marLeft w:val="0"/>
              <w:marRight w:val="0"/>
              <w:marTop w:val="0"/>
              <w:marBottom w:val="0"/>
              <w:divBdr>
                <w:top w:val="none" w:sz="0" w:space="0" w:color="auto"/>
                <w:left w:val="none" w:sz="0" w:space="0" w:color="auto"/>
                <w:bottom w:val="none" w:sz="0" w:space="0" w:color="auto"/>
                <w:right w:val="none" w:sz="0" w:space="0" w:color="auto"/>
              </w:divBdr>
              <w:divsChild>
                <w:div w:id="921060256">
                  <w:marLeft w:val="0"/>
                  <w:marRight w:val="0"/>
                  <w:marTop w:val="0"/>
                  <w:marBottom w:val="0"/>
                  <w:divBdr>
                    <w:top w:val="none" w:sz="0" w:space="0" w:color="auto"/>
                    <w:left w:val="none" w:sz="0" w:space="0" w:color="auto"/>
                    <w:bottom w:val="none" w:sz="0" w:space="0" w:color="auto"/>
                    <w:right w:val="none" w:sz="0" w:space="0" w:color="auto"/>
                  </w:divBdr>
                </w:div>
              </w:divsChild>
            </w:div>
            <w:div w:id="2046172785">
              <w:marLeft w:val="0"/>
              <w:marRight w:val="0"/>
              <w:marTop w:val="0"/>
              <w:marBottom w:val="0"/>
              <w:divBdr>
                <w:top w:val="none" w:sz="0" w:space="0" w:color="auto"/>
                <w:left w:val="none" w:sz="0" w:space="0" w:color="auto"/>
                <w:bottom w:val="none" w:sz="0" w:space="0" w:color="auto"/>
                <w:right w:val="none" w:sz="0" w:space="0" w:color="auto"/>
              </w:divBdr>
              <w:divsChild>
                <w:div w:id="1228146335">
                  <w:marLeft w:val="0"/>
                  <w:marRight w:val="0"/>
                  <w:marTop w:val="0"/>
                  <w:marBottom w:val="0"/>
                  <w:divBdr>
                    <w:top w:val="none" w:sz="0" w:space="0" w:color="auto"/>
                    <w:left w:val="none" w:sz="0" w:space="0" w:color="auto"/>
                    <w:bottom w:val="none" w:sz="0" w:space="0" w:color="auto"/>
                    <w:right w:val="none" w:sz="0" w:space="0" w:color="auto"/>
                  </w:divBdr>
                </w:div>
              </w:divsChild>
            </w:div>
            <w:div w:id="2046321427">
              <w:marLeft w:val="0"/>
              <w:marRight w:val="0"/>
              <w:marTop w:val="0"/>
              <w:marBottom w:val="0"/>
              <w:divBdr>
                <w:top w:val="none" w:sz="0" w:space="0" w:color="auto"/>
                <w:left w:val="none" w:sz="0" w:space="0" w:color="auto"/>
                <w:bottom w:val="none" w:sz="0" w:space="0" w:color="auto"/>
                <w:right w:val="none" w:sz="0" w:space="0" w:color="auto"/>
              </w:divBdr>
              <w:divsChild>
                <w:div w:id="56633857">
                  <w:marLeft w:val="0"/>
                  <w:marRight w:val="0"/>
                  <w:marTop w:val="0"/>
                  <w:marBottom w:val="0"/>
                  <w:divBdr>
                    <w:top w:val="none" w:sz="0" w:space="0" w:color="auto"/>
                    <w:left w:val="none" w:sz="0" w:space="0" w:color="auto"/>
                    <w:bottom w:val="none" w:sz="0" w:space="0" w:color="auto"/>
                    <w:right w:val="none" w:sz="0" w:space="0" w:color="auto"/>
                  </w:divBdr>
                </w:div>
              </w:divsChild>
            </w:div>
            <w:div w:id="2047099890">
              <w:marLeft w:val="0"/>
              <w:marRight w:val="0"/>
              <w:marTop w:val="0"/>
              <w:marBottom w:val="0"/>
              <w:divBdr>
                <w:top w:val="none" w:sz="0" w:space="0" w:color="auto"/>
                <w:left w:val="none" w:sz="0" w:space="0" w:color="auto"/>
                <w:bottom w:val="none" w:sz="0" w:space="0" w:color="auto"/>
                <w:right w:val="none" w:sz="0" w:space="0" w:color="auto"/>
              </w:divBdr>
              <w:divsChild>
                <w:div w:id="43911982">
                  <w:marLeft w:val="0"/>
                  <w:marRight w:val="0"/>
                  <w:marTop w:val="0"/>
                  <w:marBottom w:val="0"/>
                  <w:divBdr>
                    <w:top w:val="none" w:sz="0" w:space="0" w:color="auto"/>
                    <w:left w:val="none" w:sz="0" w:space="0" w:color="auto"/>
                    <w:bottom w:val="none" w:sz="0" w:space="0" w:color="auto"/>
                    <w:right w:val="none" w:sz="0" w:space="0" w:color="auto"/>
                  </w:divBdr>
                </w:div>
              </w:divsChild>
            </w:div>
            <w:div w:id="2047363705">
              <w:marLeft w:val="0"/>
              <w:marRight w:val="0"/>
              <w:marTop w:val="0"/>
              <w:marBottom w:val="0"/>
              <w:divBdr>
                <w:top w:val="none" w:sz="0" w:space="0" w:color="auto"/>
                <w:left w:val="none" w:sz="0" w:space="0" w:color="auto"/>
                <w:bottom w:val="none" w:sz="0" w:space="0" w:color="auto"/>
                <w:right w:val="none" w:sz="0" w:space="0" w:color="auto"/>
              </w:divBdr>
              <w:divsChild>
                <w:div w:id="1719011615">
                  <w:marLeft w:val="0"/>
                  <w:marRight w:val="0"/>
                  <w:marTop w:val="0"/>
                  <w:marBottom w:val="0"/>
                  <w:divBdr>
                    <w:top w:val="none" w:sz="0" w:space="0" w:color="auto"/>
                    <w:left w:val="none" w:sz="0" w:space="0" w:color="auto"/>
                    <w:bottom w:val="none" w:sz="0" w:space="0" w:color="auto"/>
                    <w:right w:val="none" w:sz="0" w:space="0" w:color="auto"/>
                  </w:divBdr>
                </w:div>
              </w:divsChild>
            </w:div>
            <w:div w:id="2048874825">
              <w:marLeft w:val="0"/>
              <w:marRight w:val="0"/>
              <w:marTop w:val="0"/>
              <w:marBottom w:val="0"/>
              <w:divBdr>
                <w:top w:val="none" w:sz="0" w:space="0" w:color="auto"/>
                <w:left w:val="none" w:sz="0" w:space="0" w:color="auto"/>
                <w:bottom w:val="none" w:sz="0" w:space="0" w:color="auto"/>
                <w:right w:val="none" w:sz="0" w:space="0" w:color="auto"/>
              </w:divBdr>
              <w:divsChild>
                <w:div w:id="806510218">
                  <w:marLeft w:val="0"/>
                  <w:marRight w:val="0"/>
                  <w:marTop w:val="0"/>
                  <w:marBottom w:val="0"/>
                  <w:divBdr>
                    <w:top w:val="none" w:sz="0" w:space="0" w:color="auto"/>
                    <w:left w:val="none" w:sz="0" w:space="0" w:color="auto"/>
                    <w:bottom w:val="none" w:sz="0" w:space="0" w:color="auto"/>
                    <w:right w:val="none" w:sz="0" w:space="0" w:color="auto"/>
                  </w:divBdr>
                </w:div>
              </w:divsChild>
            </w:div>
            <w:div w:id="2049378097">
              <w:marLeft w:val="0"/>
              <w:marRight w:val="0"/>
              <w:marTop w:val="0"/>
              <w:marBottom w:val="0"/>
              <w:divBdr>
                <w:top w:val="none" w:sz="0" w:space="0" w:color="auto"/>
                <w:left w:val="none" w:sz="0" w:space="0" w:color="auto"/>
                <w:bottom w:val="none" w:sz="0" w:space="0" w:color="auto"/>
                <w:right w:val="none" w:sz="0" w:space="0" w:color="auto"/>
              </w:divBdr>
              <w:divsChild>
                <w:div w:id="378172234">
                  <w:marLeft w:val="0"/>
                  <w:marRight w:val="0"/>
                  <w:marTop w:val="0"/>
                  <w:marBottom w:val="0"/>
                  <w:divBdr>
                    <w:top w:val="none" w:sz="0" w:space="0" w:color="auto"/>
                    <w:left w:val="none" w:sz="0" w:space="0" w:color="auto"/>
                    <w:bottom w:val="none" w:sz="0" w:space="0" w:color="auto"/>
                    <w:right w:val="none" w:sz="0" w:space="0" w:color="auto"/>
                  </w:divBdr>
                </w:div>
              </w:divsChild>
            </w:div>
            <w:div w:id="2049908844">
              <w:marLeft w:val="0"/>
              <w:marRight w:val="0"/>
              <w:marTop w:val="0"/>
              <w:marBottom w:val="0"/>
              <w:divBdr>
                <w:top w:val="none" w:sz="0" w:space="0" w:color="auto"/>
                <w:left w:val="none" w:sz="0" w:space="0" w:color="auto"/>
                <w:bottom w:val="none" w:sz="0" w:space="0" w:color="auto"/>
                <w:right w:val="none" w:sz="0" w:space="0" w:color="auto"/>
              </w:divBdr>
              <w:divsChild>
                <w:div w:id="1570769537">
                  <w:marLeft w:val="0"/>
                  <w:marRight w:val="0"/>
                  <w:marTop w:val="0"/>
                  <w:marBottom w:val="0"/>
                  <w:divBdr>
                    <w:top w:val="none" w:sz="0" w:space="0" w:color="auto"/>
                    <w:left w:val="none" w:sz="0" w:space="0" w:color="auto"/>
                    <w:bottom w:val="none" w:sz="0" w:space="0" w:color="auto"/>
                    <w:right w:val="none" w:sz="0" w:space="0" w:color="auto"/>
                  </w:divBdr>
                </w:div>
              </w:divsChild>
            </w:div>
            <w:div w:id="2049911560">
              <w:marLeft w:val="0"/>
              <w:marRight w:val="0"/>
              <w:marTop w:val="0"/>
              <w:marBottom w:val="0"/>
              <w:divBdr>
                <w:top w:val="none" w:sz="0" w:space="0" w:color="auto"/>
                <w:left w:val="none" w:sz="0" w:space="0" w:color="auto"/>
                <w:bottom w:val="none" w:sz="0" w:space="0" w:color="auto"/>
                <w:right w:val="none" w:sz="0" w:space="0" w:color="auto"/>
              </w:divBdr>
              <w:divsChild>
                <w:div w:id="154151228">
                  <w:marLeft w:val="0"/>
                  <w:marRight w:val="0"/>
                  <w:marTop w:val="0"/>
                  <w:marBottom w:val="0"/>
                  <w:divBdr>
                    <w:top w:val="none" w:sz="0" w:space="0" w:color="auto"/>
                    <w:left w:val="none" w:sz="0" w:space="0" w:color="auto"/>
                    <w:bottom w:val="none" w:sz="0" w:space="0" w:color="auto"/>
                    <w:right w:val="none" w:sz="0" w:space="0" w:color="auto"/>
                  </w:divBdr>
                </w:div>
              </w:divsChild>
            </w:div>
            <w:div w:id="2053453573">
              <w:marLeft w:val="0"/>
              <w:marRight w:val="0"/>
              <w:marTop w:val="0"/>
              <w:marBottom w:val="0"/>
              <w:divBdr>
                <w:top w:val="none" w:sz="0" w:space="0" w:color="auto"/>
                <w:left w:val="none" w:sz="0" w:space="0" w:color="auto"/>
                <w:bottom w:val="none" w:sz="0" w:space="0" w:color="auto"/>
                <w:right w:val="none" w:sz="0" w:space="0" w:color="auto"/>
              </w:divBdr>
              <w:divsChild>
                <w:div w:id="1816024673">
                  <w:marLeft w:val="0"/>
                  <w:marRight w:val="0"/>
                  <w:marTop w:val="0"/>
                  <w:marBottom w:val="0"/>
                  <w:divBdr>
                    <w:top w:val="none" w:sz="0" w:space="0" w:color="auto"/>
                    <w:left w:val="none" w:sz="0" w:space="0" w:color="auto"/>
                    <w:bottom w:val="none" w:sz="0" w:space="0" w:color="auto"/>
                    <w:right w:val="none" w:sz="0" w:space="0" w:color="auto"/>
                  </w:divBdr>
                </w:div>
              </w:divsChild>
            </w:div>
            <w:div w:id="2053575302">
              <w:marLeft w:val="0"/>
              <w:marRight w:val="0"/>
              <w:marTop w:val="0"/>
              <w:marBottom w:val="0"/>
              <w:divBdr>
                <w:top w:val="none" w:sz="0" w:space="0" w:color="auto"/>
                <w:left w:val="none" w:sz="0" w:space="0" w:color="auto"/>
                <w:bottom w:val="none" w:sz="0" w:space="0" w:color="auto"/>
                <w:right w:val="none" w:sz="0" w:space="0" w:color="auto"/>
              </w:divBdr>
              <w:divsChild>
                <w:div w:id="2041513474">
                  <w:marLeft w:val="0"/>
                  <w:marRight w:val="0"/>
                  <w:marTop w:val="0"/>
                  <w:marBottom w:val="0"/>
                  <w:divBdr>
                    <w:top w:val="none" w:sz="0" w:space="0" w:color="auto"/>
                    <w:left w:val="none" w:sz="0" w:space="0" w:color="auto"/>
                    <w:bottom w:val="none" w:sz="0" w:space="0" w:color="auto"/>
                    <w:right w:val="none" w:sz="0" w:space="0" w:color="auto"/>
                  </w:divBdr>
                </w:div>
              </w:divsChild>
            </w:div>
            <w:div w:id="2055695923">
              <w:marLeft w:val="0"/>
              <w:marRight w:val="0"/>
              <w:marTop w:val="0"/>
              <w:marBottom w:val="0"/>
              <w:divBdr>
                <w:top w:val="none" w:sz="0" w:space="0" w:color="auto"/>
                <w:left w:val="none" w:sz="0" w:space="0" w:color="auto"/>
                <w:bottom w:val="none" w:sz="0" w:space="0" w:color="auto"/>
                <w:right w:val="none" w:sz="0" w:space="0" w:color="auto"/>
              </w:divBdr>
              <w:divsChild>
                <w:div w:id="1107391145">
                  <w:marLeft w:val="0"/>
                  <w:marRight w:val="0"/>
                  <w:marTop w:val="0"/>
                  <w:marBottom w:val="0"/>
                  <w:divBdr>
                    <w:top w:val="none" w:sz="0" w:space="0" w:color="auto"/>
                    <w:left w:val="none" w:sz="0" w:space="0" w:color="auto"/>
                    <w:bottom w:val="none" w:sz="0" w:space="0" w:color="auto"/>
                    <w:right w:val="none" w:sz="0" w:space="0" w:color="auto"/>
                  </w:divBdr>
                </w:div>
              </w:divsChild>
            </w:div>
            <w:div w:id="2056388809">
              <w:marLeft w:val="0"/>
              <w:marRight w:val="0"/>
              <w:marTop w:val="0"/>
              <w:marBottom w:val="0"/>
              <w:divBdr>
                <w:top w:val="none" w:sz="0" w:space="0" w:color="auto"/>
                <w:left w:val="none" w:sz="0" w:space="0" w:color="auto"/>
                <w:bottom w:val="none" w:sz="0" w:space="0" w:color="auto"/>
                <w:right w:val="none" w:sz="0" w:space="0" w:color="auto"/>
              </w:divBdr>
              <w:divsChild>
                <w:div w:id="154298695">
                  <w:marLeft w:val="0"/>
                  <w:marRight w:val="0"/>
                  <w:marTop w:val="0"/>
                  <w:marBottom w:val="0"/>
                  <w:divBdr>
                    <w:top w:val="none" w:sz="0" w:space="0" w:color="auto"/>
                    <w:left w:val="none" w:sz="0" w:space="0" w:color="auto"/>
                    <w:bottom w:val="none" w:sz="0" w:space="0" w:color="auto"/>
                    <w:right w:val="none" w:sz="0" w:space="0" w:color="auto"/>
                  </w:divBdr>
                </w:div>
              </w:divsChild>
            </w:div>
            <w:div w:id="2056661656">
              <w:marLeft w:val="0"/>
              <w:marRight w:val="0"/>
              <w:marTop w:val="0"/>
              <w:marBottom w:val="0"/>
              <w:divBdr>
                <w:top w:val="none" w:sz="0" w:space="0" w:color="auto"/>
                <w:left w:val="none" w:sz="0" w:space="0" w:color="auto"/>
                <w:bottom w:val="none" w:sz="0" w:space="0" w:color="auto"/>
                <w:right w:val="none" w:sz="0" w:space="0" w:color="auto"/>
              </w:divBdr>
              <w:divsChild>
                <w:div w:id="1499614390">
                  <w:marLeft w:val="0"/>
                  <w:marRight w:val="0"/>
                  <w:marTop w:val="0"/>
                  <w:marBottom w:val="0"/>
                  <w:divBdr>
                    <w:top w:val="none" w:sz="0" w:space="0" w:color="auto"/>
                    <w:left w:val="none" w:sz="0" w:space="0" w:color="auto"/>
                    <w:bottom w:val="none" w:sz="0" w:space="0" w:color="auto"/>
                    <w:right w:val="none" w:sz="0" w:space="0" w:color="auto"/>
                  </w:divBdr>
                </w:div>
              </w:divsChild>
            </w:div>
            <w:div w:id="2056998361">
              <w:marLeft w:val="0"/>
              <w:marRight w:val="0"/>
              <w:marTop w:val="0"/>
              <w:marBottom w:val="0"/>
              <w:divBdr>
                <w:top w:val="none" w:sz="0" w:space="0" w:color="auto"/>
                <w:left w:val="none" w:sz="0" w:space="0" w:color="auto"/>
                <w:bottom w:val="none" w:sz="0" w:space="0" w:color="auto"/>
                <w:right w:val="none" w:sz="0" w:space="0" w:color="auto"/>
              </w:divBdr>
              <w:divsChild>
                <w:div w:id="1311986250">
                  <w:marLeft w:val="0"/>
                  <w:marRight w:val="0"/>
                  <w:marTop w:val="0"/>
                  <w:marBottom w:val="0"/>
                  <w:divBdr>
                    <w:top w:val="none" w:sz="0" w:space="0" w:color="auto"/>
                    <w:left w:val="none" w:sz="0" w:space="0" w:color="auto"/>
                    <w:bottom w:val="none" w:sz="0" w:space="0" w:color="auto"/>
                    <w:right w:val="none" w:sz="0" w:space="0" w:color="auto"/>
                  </w:divBdr>
                </w:div>
              </w:divsChild>
            </w:div>
            <w:div w:id="2058511233">
              <w:marLeft w:val="0"/>
              <w:marRight w:val="0"/>
              <w:marTop w:val="0"/>
              <w:marBottom w:val="0"/>
              <w:divBdr>
                <w:top w:val="none" w:sz="0" w:space="0" w:color="auto"/>
                <w:left w:val="none" w:sz="0" w:space="0" w:color="auto"/>
                <w:bottom w:val="none" w:sz="0" w:space="0" w:color="auto"/>
                <w:right w:val="none" w:sz="0" w:space="0" w:color="auto"/>
              </w:divBdr>
              <w:divsChild>
                <w:div w:id="8220196">
                  <w:marLeft w:val="0"/>
                  <w:marRight w:val="0"/>
                  <w:marTop w:val="0"/>
                  <w:marBottom w:val="0"/>
                  <w:divBdr>
                    <w:top w:val="none" w:sz="0" w:space="0" w:color="auto"/>
                    <w:left w:val="none" w:sz="0" w:space="0" w:color="auto"/>
                    <w:bottom w:val="none" w:sz="0" w:space="0" w:color="auto"/>
                    <w:right w:val="none" w:sz="0" w:space="0" w:color="auto"/>
                  </w:divBdr>
                </w:div>
              </w:divsChild>
            </w:div>
            <w:div w:id="2059671014">
              <w:marLeft w:val="0"/>
              <w:marRight w:val="0"/>
              <w:marTop w:val="0"/>
              <w:marBottom w:val="0"/>
              <w:divBdr>
                <w:top w:val="none" w:sz="0" w:space="0" w:color="auto"/>
                <w:left w:val="none" w:sz="0" w:space="0" w:color="auto"/>
                <w:bottom w:val="none" w:sz="0" w:space="0" w:color="auto"/>
                <w:right w:val="none" w:sz="0" w:space="0" w:color="auto"/>
              </w:divBdr>
              <w:divsChild>
                <w:div w:id="1176000007">
                  <w:marLeft w:val="0"/>
                  <w:marRight w:val="0"/>
                  <w:marTop w:val="0"/>
                  <w:marBottom w:val="0"/>
                  <w:divBdr>
                    <w:top w:val="none" w:sz="0" w:space="0" w:color="auto"/>
                    <w:left w:val="none" w:sz="0" w:space="0" w:color="auto"/>
                    <w:bottom w:val="none" w:sz="0" w:space="0" w:color="auto"/>
                    <w:right w:val="none" w:sz="0" w:space="0" w:color="auto"/>
                  </w:divBdr>
                </w:div>
              </w:divsChild>
            </w:div>
            <w:div w:id="2062318757">
              <w:marLeft w:val="0"/>
              <w:marRight w:val="0"/>
              <w:marTop w:val="0"/>
              <w:marBottom w:val="0"/>
              <w:divBdr>
                <w:top w:val="none" w:sz="0" w:space="0" w:color="auto"/>
                <w:left w:val="none" w:sz="0" w:space="0" w:color="auto"/>
                <w:bottom w:val="none" w:sz="0" w:space="0" w:color="auto"/>
                <w:right w:val="none" w:sz="0" w:space="0" w:color="auto"/>
              </w:divBdr>
              <w:divsChild>
                <w:div w:id="1004939617">
                  <w:marLeft w:val="0"/>
                  <w:marRight w:val="0"/>
                  <w:marTop w:val="0"/>
                  <w:marBottom w:val="0"/>
                  <w:divBdr>
                    <w:top w:val="none" w:sz="0" w:space="0" w:color="auto"/>
                    <w:left w:val="none" w:sz="0" w:space="0" w:color="auto"/>
                    <w:bottom w:val="none" w:sz="0" w:space="0" w:color="auto"/>
                    <w:right w:val="none" w:sz="0" w:space="0" w:color="auto"/>
                  </w:divBdr>
                </w:div>
              </w:divsChild>
            </w:div>
            <w:div w:id="2064058968">
              <w:marLeft w:val="0"/>
              <w:marRight w:val="0"/>
              <w:marTop w:val="0"/>
              <w:marBottom w:val="0"/>
              <w:divBdr>
                <w:top w:val="none" w:sz="0" w:space="0" w:color="auto"/>
                <w:left w:val="none" w:sz="0" w:space="0" w:color="auto"/>
                <w:bottom w:val="none" w:sz="0" w:space="0" w:color="auto"/>
                <w:right w:val="none" w:sz="0" w:space="0" w:color="auto"/>
              </w:divBdr>
              <w:divsChild>
                <w:div w:id="1870869601">
                  <w:marLeft w:val="0"/>
                  <w:marRight w:val="0"/>
                  <w:marTop w:val="0"/>
                  <w:marBottom w:val="0"/>
                  <w:divBdr>
                    <w:top w:val="none" w:sz="0" w:space="0" w:color="auto"/>
                    <w:left w:val="none" w:sz="0" w:space="0" w:color="auto"/>
                    <w:bottom w:val="none" w:sz="0" w:space="0" w:color="auto"/>
                    <w:right w:val="none" w:sz="0" w:space="0" w:color="auto"/>
                  </w:divBdr>
                </w:div>
              </w:divsChild>
            </w:div>
            <w:div w:id="2066639917">
              <w:marLeft w:val="0"/>
              <w:marRight w:val="0"/>
              <w:marTop w:val="0"/>
              <w:marBottom w:val="0"/>
              <w:divBdr>
                <w:top w:val="none" w:sz="0" w:space="0" w:color="auto"/>
                <w:left w:val="none" w:sz="0" w:space="0" w:color="auto"/>
                <w:bottom w:val="none" w:sz="0" w:space="0" w:color="auto"/>
                <w:right w:val="none" w:sz="0" w:space="0" w:color="auto"/>
              </w:divBdr>
              <w:divsChild>
                <w:div w:id="890311631">
                  <w:marLeft w:val="0"/>
                  <w:marRight w:val="0"/>
                  <w:marTop w:val="0"/>
                  <w:marBottom w:val="0"/>
                  <w:divBdr>
                    <w:top w:val="none" w:sz="0" w:space="0" w:color="auto"/>
                    <w:left w:val="none" w:sz="0" w:space="0" w:color="auto"/>
                    <w:bottom w:val="none" w:sz="0" w:space="0" w:color="auto"/>
                    <w:right w:val="none" w:sz="0" w:space="0" w:color="auto"/>
                  </w:divBdr>
                </w:div>
              </w:divsChild>
            </w:div>
            <w:div w:id="2067291907">
              <w:marLeft w:val="0"/>
              <w:marRight w:val="0"/>
              <w:marTop w:val="0"/>
              <w:marBottom w:val="0"/>
              <w:divBdr>
                <w:top w:val="none" w:sz="0" w:space="0" w:color="auto"/>
                <w:left w:val="none" w:sz="0" w:space="0" w:color="auto"/>
                <w:bottom w:val="none" w:sz="0" w:space="0" w:color="auto"/>
                <w:right w:val="none" w:sz="0" w:space="0" w:color="auto"/>
              </w:divBdr>
              <w:divsChild>
                <w:div w:id="516316139">
                  <w:marLeft w:val="0"/>
                  <w:marRight w:val="0"/>
                  <w:marTop w:val="0"/>
                  <w:marBottom w:val="0"/>
                  <w:divBdr>
                    <w:top w:val="none" w:sz="0" w:space="0" w:color="auto"/>
                    <w:left w:val="none" w:sz="0" w:space="0" w:color="auto"/>
                    <w:bottom w:val="none" w:sz="0" w:space="0" w:color="auto"/>
                    <w:right w:val="none" w:sz="0" w:space="0" w:color="auto"/>
                  </w:divBdr>
                </w:div>
              </w:divsChild>
            </w:div>
            <w:div w:id="2068064371">
              <w:marLeft w:val="0"/>
              <w:marRight w:val="0"/>
              <w:marTop w:val="0"/>
              <w:marBottom w:val="0"/>
              <w:divBdr>
                <w:top w:val="none" w:sz="0" w:space="0" w:color="auto"/>
                <w:left w:val="none" w:sz="0" w:space="0" w:color="auto"/>
                <w:bottom w:val="none" w:sz="0" w:space="0" w:color="auto"/>
                <w:right w:val="none" w:sz="0" w:space="0" w:color="auto"/>
              </w:divBdr>
              <w:divsChild>
                <w:div w:id="437606903">
                  <w:marLeft w:val="0"/>
                  <w:marRight w:val="0"/>
                  <w:marTop w:val="0"/>
                  <w:marBottom w:val="0"/>
                  <w:divBdr>
                    <w:top w:val="none" w:sz="0" w:space="0" w:color="auto"/>
                    <w:left w:val="none" w:sz="0" w:space="0" w:color="auto"/>
                    <w:bottom w:val="none" w:sz="0" w:space="0" w:color="auto"/>
                    <w:right w:val="none" w:sz="0" w:space="0" w:color="auto"/>
                  </w:divBdr>
                </w:div>
              </w:divsChild>
            </w:div>
            <w:div w:id="2068069377">
              <w:marLeft w:val="0"/>
              <w:marRight w:val="0"/>
              <w:marTop w:val="0"/>
              <w:marBottom w:val="0"/>
              <w:divBdr>
                <w:top w:val="none" w:sz="0" w:space="0" w:color="auto"/>
                <w:left w:val="none" w:sz="0" w:space="0" w:color="auto"/>
                <w:bottom w:val="none" w:sz="0" w:space="0" w:color="auto"/>
                <w:right w:val="none" w:sz="0" w:space="0" w:color="auto"/>
              </w:divBdr>
              <w:divsChild>
                <w:div w:id="941456863">
                  <w:marLeft w:val="0"/>
                  <w:marRight w:val="0"/>
                  <w:marTop w:val="0"/>
                  <w:marBottom w:val="0"/>
                  <w:divBdr>
                    <w:top w:val="none" w:sz="0" w:space="0" w:color="auto"/>
                    <w:left w:val="none" w:sz="0" w:space="0" w:color="auto"/>
                    <w:bottom w:val="none" w:sz="0" w:space="0" w:color="auto"/>
                    <w:right w:val="none" w:sz="0" w:space="0" w:color="auto"/>
                  </w:divBdr>
                </w:div>
              </w:divsChild>
            </w:div>
            <w:div w:id="2068071139">
              <w:marLeft w:val="0"/>
              <w:marRight w:val="0"/>
              <w:marTop w:val="0"/>
              <w:marBottom w:val="0"/>
              <w:divBdr>
                <w:top w:val="none" w:sz="0" w:space="0" w:color="auto"/>
                <w:left w:val="none" w:sz="0" w:space="0" w:color="auto"/>
                <w:bottom w:val="none" w:sz="0" w:space="0" w:color="auto"/>
                <w:right w:val="none" w:sz="0" w:space="0" w:color="auto"/>
              </w:divBdr>
              <w:divsChild>
                <w:div w:id="694041314">
                  <w:marLeft w:val="0"/>
                  <w:marRight w:val="0"/>
                  <w:marTop w:val="0"/>
                  <w:marBottom w:val="0"/>
                  <w:divBdr>
                    <w:top w:val="none" w:sz="0" w:space="0" w:color="auto"/>
                    <w:left w:val="none" w:sz="0" w:space="0" w:color="auto"/>
                    <w:bottom w:val="none" w:sz="0" w:space="0" w:color="auto"/>
                    <w:right w:val="none" w:sz="0" w:space="0" w:color="auto"/>
                  </w:divBdr>
                </w:div>
              </w:divsChild>
            </w:div>
            <w:div w:id="2069302077">
              <w:marLeft w:val="0"/>
              <w:marRight w:val="0"/>
              <w:marTop w:val="0"/>
              <w:marBottom w:val="0"/>
              <w:divBdr>
                <w:top w:val="none" w:sz="0" w:space="0" w:color="auto"/>
                <w:left w:val="none" w:sz="0" w:space="0" w:color="auto"/>
                <w:bottom w:val="none" w:sz="0" w:space="0" w:color="auto"/>
                <w:right w:val="none" w:sz="0" w:space="0" w:color="auto"/>
              </w:divBdr>
              <w:divsChild>
                <w:div w:id="1631092324">
                  <w:marLeft w:val="0"/>
                  <w:marRight w:val="0"/>
                  <w:marTop w:val="0"/>
                  <w:marBottom w:val="0"/>
                  <w:divBdr>
                    <w:top w:val="none" w:sz="0" w:space="0" w:color="auto"/>
                    <w:left w:val="none" w:sz="0" w:space="0" w:color="auto"/>
                    <w:bottom w:val="none" w:sz="0" w:space="0" w:color="auto"/>
                    <w:right w:val="none" w:sz="0" w:space="0" w:color="auto"/>
                  </w:divBdr>
                </w:div>
              </w:divsChild>
            </w:div>
            <w:div w:id="2070222581">
              <w:marLeft w:val="0"/>
              <w:marRight w:val="0"/>
              <w:marTop w:val="0"/>
              <w:marBottom w:val="0"/>
              <w:divBdr>
                <w:top w:val="none" w:sz="0" w:space="0" w:color="auto"/>
                <w:left w:val="none" w:sz="0" w:space="0" w:color="auto"/>
                <w:bottom w:val="none" w:sz="0" w:space="0" w:color="auto"/>
                <w:right w:val="none" w:sz="0" w:space="0" w:color="auto"/>
              </w:divBdr>
              <w:divsChild>
                <w:div w:id="226573883">
                  <w:marLeft w:val="0"/>
                  <w:marRight w:val="0"/>
                  <w:marTop w:val="0"/>
                  <w:marBottom w:val="0"/>
                  <w:divBdr>
                    <w:top w:val="none" w:sz="0" w:space="0" w:color="auto"/>
                    <w:left w:val="none" w:sz="0" w:space="0" w:color="auto"/>
                    <w:bottom w:val="none" w:sz="0" w:space="0" w:color="auto"/>
                    <w:right w:val="none" w:sz="0" w:space="0" w:color="auto"/>
                  </w:divBdr>
                </w:div>
              </w:divsChild>
            </w:div>
            <w:div w:id="2071881924">
              <w:marLeft w:val="0"/>
              <w:marRight w:val="0"/>
              <w:marTop w:val="300"/>
              <w:marBottom w:val="300"/>
              <w:divBdr>
                <w:top w:val="none" w:sz="0" w:space="0" w:color="auto"/>
                <w:left w:val="none" w:sz="0" w:space="0" w:color="auto"/>
                <w:bottom w:val="none" w:sz="0" w:space="0" w:color="auto"/>
                <w:right w:val="none" w:sz="0" w:space="0" w:color="auto"/>
              </w:divBdr>
            </w:div>
            <w:div w:id="2071925051">
              <w:marLeft w:val="0"/>
              <w:marRight w:val="0"/>
              <w:marTop w:val="0"/>
              <w:marBottom w:val="0"/>
              <w:divBdr>
                <w:top w:val="none" w:sz="0" w:space="0" w:color="auto"/>
                <w:left w:val="none" w:sz="0" w:space="0" w:color="auto"/>
                <w:bottom w:val="none" w:sz="0" w:space="0" w:color="auto"/>
                <w:right w:val="none" w:sz="0" w:space="0" w:color="auto"/>
              </w:divBdr>
              <w:divsChild>
                <w:div w:id="1488937740">
                  <w:marLeft w:val="0"/>
                  <w:marRight w:val="0"/>
                  <w:marTop w:val="0"/>
                  <w:marBottom w:val="0"/>
                  <w:divBdr>
                    <w:top w:val="none" w:sz="0" w:space="0" w:color="auto"/>
                    <w:left w:val="none" w:sz="0" w:space="0" w:color="auto"/>
                    <w:bottom w:val="none" w:sz="0" w:space="0" w:color="auto"/>
                    <w:right w:val="none" w:sz="0" w:space="0" w:color="auto"/>
                  </w:divBdr>
                </w:div>
              </w:divsChild>
            </w:div>
            <w:div w:id="2074232653">
              <w:marLeft w:val="0"/>
              <w:marRight w:val="0"/>
              <w:marTop w:val="0"/>
              <w:marBottom w:val="0"/>
              <w:divBdr>
                <w:top w:val="none" w:sz="0" w:space="0" w:color="auto"/>
                <w:left w:val="none" w:sz="0" w:space="0" w:color="auto"/>
                <w:bottom w:val="none" w:sz="0" w:space="0" w:color="auto"/>
                <w:right w:val="none" w:sz="0" w:space="0" w:color="auto"/>
              </w:divBdr>
              <w:divsChild>
                <w:div w:id="1158422653">
                  <w:marLeft w:val="0"/>
                  <w:marRight w:val="0"/>
                  <w:marTop w:val="0"/>
                  <w:marBottom w:val="0"/>
                  <w:divBdr>
                    <w:top w:val="none" w:sz="0" w:space="0" w:color="auto"/>
                    <w:left w:val="none" w:sz="0" w:space="0" w:color="auto"/>
                    <w:bottom w:val="none" w:sz="0" w:space="0" w:color="auto"/>
                    <w:right w:val="none" w:sz="0" w:space="0" w:color="auto"/>
                  </w:divBdr>
                </w:div>
              </w:divsChild>
            </w:div>
            <w:div w:id="2074573268">
              <w:marLeft w:val="0"/>
              <w:marRight w:val="0"/>
              <w:marTop w:val="300"/>
              <w:marBottom w:val="300"/>
              <w:divBdr>
                <w:top w:val="none" w:sz="0" w:space="0" w:color="auto"/>
                <w:left w:val="none" w:sz="0" w:space="0" w:color="auto"/>
                <w:bottom w:val="none" w:sz="0" w:space="0" w:color="auto"/>
                <w:right w:val="none" w:sz="0" w:space="0" w:color="auto"/>
              </w:divBdr>
            </w:div>
            <w:div w:id="2075547162">
              <w:marLeft w:val="0"/>
              <w:marRight w:val="0"/>
              <w:marTop w:val="300"/>
              <w:marBottom w:val="300"/>
              <w:divBdr>
                <w:top w:val="none" w:sz="0" w:space="0" w:color="auto"/>
                <w:left w:val="none" w:sz="0" w:space="0" w:color="auto"/>
                <w:bottom w:val="none" w:sz="0" w:space="0" w:color="auto"/>
                <w:right w:val="none" w:sz="0" w:space="0" w:color="auto"/>
              </w:divBdr>
            </w:div>
            <w:div w:id="2075810219">
              <w:marLeft w:val="0"/>
              <w:marRight w:val="0"/>
              <w:marTop w:val="0"/>
              <w:marBottom w:val="0"/>
              <w:divBdr>
                <w:top w:val="none" w:sz="0" w:space="0" w:color="auto"/>
                <w:left w:val="none" w:sz="0" w:space="0" w:color="auto"/>
                <w:bottom w:val="none" w:sz="0" w:space="0" w:color="auto"/>
                <w:right w:val="none" w:sz="0" w:space="0" w:color="auto"/>
              </w:divBdr>
              <w:divsChild>
                <w:div w:id="549196694">
                  <w:marLeft w:val="0"/>
                  <w:marRight w:val="0"/>
                  <w:marTop w:val="0"/>
                  <w:marBottom w:val="0"/>
                  <w:divBdr>
                    <w:top w:val="none" w:sz="0" w:space="0" w:color="auto"/>
                    <w:left w:val="none" w:sz="0" w:space="0" w:color="auto"/>
                    <w:bottom w:val="none" w:sz="0" w:space="0" w:color="auto"/>
                    <w:right w:val="none" w:sz="0" w:space="0" w:color="auto"/>
                  </w:divBdr>
                </w:div>
              </w:divsChild>
            </w:div>
            <w:div w:id="2076274521">
              <w:marLeft w:val="0"/>
              <w:marRight w:val="0"/>
              <w:marTop w:val="0"/>
              <w:marBottom w:val="0"/>
              <w:divBdr>
                <w:top w:val="none" w:sz="0" w:space="0" w:color="auto"/>
                <w:left w:val="none" w:sz="0" w:space="0" w:color="auto"/>
                <w:bottom w:val="none" w:sz="0" w:space="0" w:color="auto"/>
                <w:right w:val="none" w:sz="0" w:space="0" w:color="auto"/>
              </w:divBdr>
              <w:divsChild>
                <w:div w:id="789128965">
                  <w:marLeft w:val="0"/>
                  <w:marRight w:val="0"/>
                  <w:marTop w:val="0"/>
                  <w:marBottom w:val="0"/>
                  <w:divBdr>
                    <w:top w:val="none" w:sz="0" w:space="0" w:color="auto"/>
                    <w:left w:val="none" w:sz="0" w:space="0" w:color="auto"/>
                    <w:bottom w:val="none" w:sz="0" w:space="0" w:color="auto"/>
                    <w:right w:val="none" w:sz="0" w:space="0" w:color="auto"/>
                  </w:divBdr>
                </w:div>
              </w:divsChild>
            </w:div>
            <w:div w:id="2077849847">
              <w:marLeft w:val="0"/>
              <w:marRight w:val="0"/>
              <w:marTop w:val="0"/>
              <w:marBottom w:val="0"/>
              <w:divBdr>
                <w:top w:val="none" w:sz="0" w:space="0" w:color="auto"/>
                <w:left w:val="none" w:sz="0" w:space="0" w:color="auto"/>
                <w:bottom w:val="none" w:sz="0" w:space="0" w:color="auto"/>
                <w:right w:val="none" w:sz="0" w:space="0" w:color="auto"/>
              </w:divBdr>
              <w:divsChild>
                <w:div w:id="881481841">
                  <w:marLeft w:val="0"/>
                  <w:marRight w:val="0"/>
                  <w:marTop w:val="0"/>
                  <w:marBottom w:val="0"/>
                  <w:divBdr>
                    <w:top w:val="none" w:sz="0" w:space="0" w:color="auto"/>
                    <w:left w:val="none" w:sz="0" w:space="0" w:color="auto"/>
                    <w:bottom w:val="none" w:sz="0" w:space="0" w:color="auto"/>
                    <w:right w:val="none" w:sz="0" w:space="0" w:color="auto"/>
                  </w:divBdr>
                </w:div>
              </w:divsChild>
            </w:div>
            <w:div w:id="2079672552">
              <w:marLeft w:val="0"/>
              <w:marRight w:val="0"/>
              <w:marTop w:val="0"/>
              <w:marBottom w:val="0"/>
              <w:divBdr>
                <w:top w:val="none" w:sz="0" w:space="0" w:color="auto"/>
                <w:left w:val="none" w:sz="0" w:space="0" w:color="auto"/>
                <w:bottom w:val="none" w:sz="0" w:space="0" w:color="auto"/>
                <w:right w:val="none" w:sz="0" w:space="0" w:color="auto"/>
              </w:divBdr>
              <w:divsChild>
                <w:div w:id="109398638">
                  <w:marLeft w:val="0"/>
                  <w:marRight w:val="0"/>
                  <w:marTop w:val="0"/>
                  <w:marBottom w:val="0"/>
                  <w:divBdr>
                    <w:top w:val="none" w:sz="0" w:space="0" w:color="auto"/>
                    <w:left w:val="none" w:sz="0" w:space="0" w:color="auto"/>
                    <w:bottom w:val="none" w:sz="0" w:space="0" w:color="auto"/>
                    <w:right w:val="none" w:sz="0" w:space="0" w:color="auto"/>
                  </w:divBdr>
                </w:div>
              </w:divsChild>
            </w:div>
            <w:div w:id="2080131812">
              <w:marLeft w:val="0"/>
              <w:marRight w:val="0"/>
              <w:marTop w:val="0"/>
              <w:marBottom w:val="0"/>
              <w:divBdr>
                <w:top w:val="none" w:sz="0" w:space="0" w:color="auto"/>
                <w:left w:val="none" w:sz="0" w:space="0" w:color="auto"/>
                <w:bottom w:val="none" w:sz="0" w:space="0" w:color="auto"/>
                <w:right w:val="none" w:sz="0" w:space="0" w:color="auto"/>
              </w:divBdr>
              <w:divsChild>
                <w:div w:id="638538244">
                  <w:marLeft w:val="0"/>
                  <w:marRight w:val="0"/>
                  <w:marTop w:val="0"/>
                  <w:marBottom w:val="0"/>
                  <w:divBdr>
                    <w:top w:val="none" w:sz="0" w:space="0" w:color="auto"/>
                    <w:left w:val="none" w:sz="0" w:space="0" w:color="auto"/>
                    <w:bottom w:val="none" w:sz="0" w:space="0" w:color="auto"/>
                    <w:right w:val="none" w:sz="0" w:space="0" w:color="auto"/>
                  </w:divBdr>
                </w:div>
              </w:divsChild>
            </w:div>
            <w:div w:id="2080445710">
              <w:marLeft w:val="0"/>
              <w:marRight w:val="0"/>
              <w:marTop w:val="0"/>
              <w:marBottom w:val="0"/>
              <w:divBdr>
                <w:top w:val="none" w:sz="0" w:space="0" w:color="auto"/>
                <w:left w:val="none" w:sz="0" w:space="0" w:color="auto"/>
                <w:bottom w:val="none" w:sz="0" w:space="0" w:color="auto"/>
                <w:right w:val="none" w:sz="0" w:space="0" w:color="auto"/>
              </w:divBdr>
              <w:divsChild>
                <w:div w:id="135993562">
                  <w:marLeft w:val="0"/>
                  <w:marRight w:val="0"/>
                  <w:marTop w:val="0"/>
                  <w:marBottom w:val="0"/>
                  <w:divBdr>
                    <w:top w:val="none" w:sz="0" w:space="0" w:color="auto"/>
                    <w:left w:val="none" w:sz="0" w:space="0" w:color="auto"/>
                    <w:bottom w:val="none" w:sz="0" w:space="0" w:color="auto"/>
                    <w:right w:val="none" w:sz="0" w:space="0" w:color="auto"/>
                  </w:divBdr>
                </w:div>
              </w:divsChild>
            </w:div>
            <w:div w:id="2080663876">
              <w:marLeft w:val="0"/>
              <w:marRight w:val="0"/>
              <w:marTop w:val="0"/>
              <w:marBottom w:val="0"/>
              <w:divBdr>
                <w:top w:val="none" w:sz="0" w:space="0" w:color="auto"/>
                <w:left w:val="none" w:sz="0" w:space="0" w:color="auto"/>
                <w:bottom w:val="none" w:sz="0" w:space="0" w:color="auto"/>
                <w:right w:val="none" w:sz="0" w:space="0" w:color="auto"/>
              </w:divBdr>
              <w:divsChild>
                <w:div w:id="147022544">
                  <w:marLeft w:val="0"/>
                  <w:marRight w:val="0"/>
                  <w:marTop w:val="0"/>
                  <w:marBottom w:val="0"/>
                  <w:divBdr>
                    <w:top w:val="none" w:sz="0" w:space="0" w:color="auto"/>
                    <w:left w:val="none" w:sz="0" w:space="0" w:color="auto"/>
                    <w:bottom w:val="none" w:sz="0" w:space="0" w:color="auto"/>
                    <w:right w:val="none" w:sz="0" w:space="0" w:color="auto"/>
                  </w:divBdr>
                </w:div>
              </w:divsChild>
            </w:div>
            <w:div w:id="2080902155">
              <w:marLeft w:val="0"/>
              <w:marRight w:val="0"/>
              <w:marTop w:val="0"/>
              <w:marBottom w:val="0"/>
              <w:divBdr>
                <w:top w:val="none" w:sz="0" w:space="0" w:color="auto"/>
                <w:left w:val="none" w:sz="0" w:space="0" w:color="auto"/>
                <w:bottom w:val="none" w:sz="0" w:space="0" w:color="auto"/>
                <w:right w:val="none" w:sz="0" w:space="0" w:color="auto"/>
              </w:divBdr>
              <w:divsChild>
                <w:div w:id="890113528">
                  <w:marLeft w:val="0"/>
                  <w:marRight w:val="0"/>
                  <w:marTop w:val="0"/>
                  <w:marBottom w:val="0"/>
                  <w:divBdr>
                    <w:top w:val="none" w:sz="0" w:space="0" w:color="auto"/>
                    <w:left w:val="none" w:sz="0" w:space="0" w:color="auto"/>
                    <w:bottom w:val="none" w:sz="0" w:space="0" w:color="auto"/>
                    <w:right w:val="none" w:sz="0" w:space="0" w:color="auto"/>
                  </w:divBdr>
                </w:div>
              </w:divsChild>
            </w:div>
            <w:div w:id="2082294240">
              <w:marLeft w:val="0"/>
              <w:marRight w:val="0"/>
              <w:marTop w:val="300"/>
              <w:marBottom w:val="300"/>
              <w:divBdr>
                <w:top w:val="none" w:sz="0" w:space="0" w:color="auto"/>
                <w:left w:val="none" w:sz="0" w:space="0" w:color="auto"/>
                <w:bottom w:val="none" w:sz="0" w:space="0" w:color="auto"/>
                <w:right w:val="none" w:sz="0" w:space="0" w:color="auto"/>
              </w:divBdr>
            </w:div>
            <w:div w:id="2083521771">
              <w:marLeft w:val="0"/>
              <w:marRight w:val="0"/>
              <w:marTop w:val="0"/>
              <w:marBottom w:val="0"/>
              <w:divBdr>
                <w:top w:val="none" w:sz="0" w:space="0" w:color="auto"/>
                <w:left w:val="none" w:sz="0" w:space="0" w:color="auto"/>
                <w:bottom w:val="none" w:sz="0" w:space="0" w:color="auto"/>
                <w:right w:val="none" w:sz="0" w:space="0" w:color="auto"/>
              </w:divBdr>
              <w:divsChild>
                <w:div w:id="785999979">
                  <w:marLeft w:val="0"/>
                  <w:marRight w:val="0"/>
                  <w:marTop w:val="0"/>
                  <w:marBottom w:val="0"/>
                  <w:divBdr>
                    <w:top w:val="none" w:sz="0" w:space="0" w:color="auto"/>
                    <w:left w:val="none" w:sz="0" w:space="0" w:color="auto"/>
                    <w:bottom w:val="none" w:sz="0" w:space="0" w:color="auto"/>
                    <w:right w:val="none" w:sz="0" w:space="0" w:color="auto"/>
                  </w:divBdr>
                </w:div>
              </w:divsChild>
            </w:div>
            <w:div w:id="2084713445">
              <w:marLeft w:val="0"/>
              <w:marRight w:val="0"/>
              <w:marTop w:val="300"/>
              <w:marBottom w:val="300"/>
              <w:divBdr>
                <w:top w:val="none" w:sz="0" w:space="0" w:color="auto"/>
                <w:left w:val="none" w:sz="0" w:space="0" w:color="auto"/>
                <w:bottom w:val="none" w:sz="0" w:space="0" w:color="auto"/>
                <w:right w:val="none" w:sz="0" w:space="0" w:color="auto"/>
              </w:divBdr>
            </w:div>
            <w:div w:id="2085489962">
              <w:marLeft w:val="0"/>
              <w:marRight w:val="0"/>
              <w:marTop w:val="0"/>
              <w:marBottom w:val="0"/>
              <w:divBdr>
                <w:top w:val="none" w:sz="0" w:space="0" w:color="auto"/>
                <w:left w:val="none" w:sz="0" w:space="0" w:color="auto"/>
                <w:bottom w:val="none" w:sz="0" w:space="0" w:color="auto"/>
                <w:right w:val="none" w:sz="0" w:space="0" w:color="auto"/>
              </w:divBdr>
              <w:divsChild>
                <w:div w:id="1604846715">
                  <w:marLeft w:val="0"/>
                  <w:marRight w:val="0"/>
                  <w:marTop w:val="0"/>
                  <w:marBottom w:val="0"/>
                  <w:divBdr>
                    <w:top w:val="none" w:sz="0" w:space="0" w:color="auto"/>
                    <w:left w:val="none" w:sz="0" w:space="0" w:color="auto"/>
                    <w:bottom w:val="none" w:sz="0" w:space="0" w:color="auto"/>
                    <w:right w:val="none" w:sz="0" w:space="0" w:color="auto"/>
                  </w:divBdr>
                </w:div>
              </w:divsChild>
            </w:div>
            <w:div w:id="2087026013">
              <w:marLeft w:val="0"/>
              <w:marRight w:val="0"/>
              <w:marTop w:val="300"/>
              <w:marBottom w:val="300"/>
              <w:divBdr>
                <w:top w:val="none" w:sz="0" w:space="0" w:color="auto"/>
                <w:left w:val="none" w:sz="0" w:space="0" w:color="auto"/>
                <w:bottom w:val="none" w:sz="0" w:space="0" w:color="auto"/>
                <w:right w:val="none" w:sz="0" w:space="0" w:color="auto"/>
              </w:divBdr>
            </w:div>
            <w:div w:id="2088576032">
              <w:marLeft w:val="0"/>
              <w:marRight w:val="0"/>
              <w:marTop w:val="0"/>
              <w:marBottom w:val="0"/>
              <w:divBdr>
                <w:top w:val="none" w:sz="0" w:space="0" w:color="auto"/>
                <w:left w:val="none" w:sz="0" w:space="0" w:color="auto"/>
                <w:bottom w:val="none" w:sz="0" w:space="0" w:color="auto"/>
                <w:right w:val="none" w:sz="0" w:space="0" w:color="auto"/>
              </w:divBdr>
              <w:divsChild>
                <w:div w:id="1979262541">
                  <w:marLeft w:val="0"/>
                  <w:marRight w:val="0"/>
                  <w:marTop w:val="0"/>
                  <w:marBottom w:val="0"/>
                  <w:divBdr>
                    <w:top w:val="none" w:sz="0" w:space="0" w:color="auto"/>
                    <w:left w:val="none" w:sz="0" w:space="0" w:color="auto"/>
                    <w:bottom w:val="none" w:sz="0" w:space="0" w:color="auto"/>
                    <w:right w:val="none" w:sz="0" w:space="0" w:color="auto"/>
                  </w:divBdr>
                </w:div>
              </w:divsChild>
            </w:div>
            <w:div w:id="2090273836">
              <w:marLeft w:val="0"/>
              <w:marRight w:val="0"/>
              <w:marTop w:val="0"/>
              <w:marBottom w:val="0"/>
              <w:divBdr>
                <w:top w:val="none" w:sz="0" w:space="0" w:color="auto"/>
                <w:left w:val="none" w:sz="0" w:space="0" w:color="auto"/>
                <w:bottom w:val="none" w:sz="0" w:space="0" w:color="auto"/>
                <w:right w:val="none" w:sz="0" w:space="0" w:color="auto"/>
              </w:divBdr>
              <w:divsChild>
                <w:div w:id="1313100669">
                  <w:marLeft w:val="0"/>
                  <w:marRight w:val="0"/>
                  <w:marTop w:val="0"/>
                  <w:marBottom w:val="0"/>
                  <w:divBdr>
                    <w:top w:val="none" w:sz="0" w:space="0" w:color="auto"/>
                    <w:left w:val="none" w:sz="0" w:space="0" w:color="auto"/>
                    <w:bottom w:val="none" w:sz="0" w:space="0" w:color="auto"/>
                    <w:right w:val="none" w:sz="0" w:space="0" w:color="auto"/>
                  </w:divBdr>
                </w:div>
              </w:divsChild>
            </w:div>
            <w:div w:id="2090617746">
              <w:marLeft w:val="0"/>
              <w:marRight w:val="0"/>
              <w:marTop w:val="0"/>
              <w:marBottom w:val="0"/>
              <w:divBdr>
                <w:top w:val="none" w:sz="0" w:space="0" w:color="auto"/>
                <w:left w:val="none" w:sz="0" w:space="0" w:color="auto"/>
                <w:bottom w:val="none" w:sz="0" w:space="0" w:color="auto"/>
                <w:right w:val="none" w:sz="0" w:space="0" w:color="auto"/>
              </w:divBdr>
              <w:divsChild>
                <w:div w:id="125045524">
                  <w:marLeft w:val="0"/>
                  <w:marRight w:val="0"/>
                  <w:marTop w:val="0"/>
                  <w:marBottom w:val="0"/>
                  <w:divBdr>
                    <w:top w:val="none" w:sz="0" w:space="0" w:color="auto"/>
                    <w:left w:val="none" w:sz="0" w:space="0" w:color="auto"/>
                    <w:bottom w:val="none" w:sz="0" w:space="0" w:color="auto"/>
                    <w:right w:val="none" w:sz="0" w:space="0" w:color="auto"/>
                  </w:divBdr>
                </w:div>
              </w:divsChild>
            </w:div>
            <w:div w:id="2092700951">
              <w:marLeft w:val="0"/>
              <w:marRight w:val="0"/>
              <w:marTop w:val="0"/>
              <w:marBottom w:val="0"/>
              <w:divBdr>
                <w:top w:val="none" w:sz="0" w:space="0" w:color="auto"/>
                <w:left w:val="none" w:sz="0" w:space="0" w:color="auto"/>
                <w:bottom w:val="none" w:sz="0" w:space="0" w:color="auto"/>
                <w:right w:val="none" w:sz="0" w:space="0" w:color="auto"/>
              </w:divBdr>
              <w:divsChild>
                <w:div w:id="832455788">
                  <w:marLeft w:val="0"/>
                  <w:marRight w:val="0"/>
                  <w:marTop w:val="0"/>
                  <w:marBottom w:val="0"/>
                  <w:divBdr>
                    <w:top w:val="none" w:sz="0" w:space="0" w:color="auto"/>
                    <w:left w:val="none" w:sz="0" w:space="0" w:color="auto"/>
                    <w:bottom w:val="none" w:sz="0" w:space="0" w:color="auto"/>
                    <w:right w:val="none" w:sz="0" w:space="0" w:color="auto"/>
                  </w:divBdr>
                </w:div>
              </w:divsChild>
            </w:div>
            <w:div w:id="2094817322">
              <w:marLeft w:val="0"/>
              <w:marRight w:val="0"/>
              <w:marTop w:val="0"/>
              <w:marBottom w:val="0"/>
              <w:divBdr>
                <w:top w:val="none" w:sz="0" w:space="0" w:color="auto"/>
                <w:left w:val="none" w:sz="0" w:space="0" w:color="auto"/>
                <w:bottom w:val="none" w:sz="0" w:space="0" w:color="auto"/>
                <w:right w:val="none" w:sz="0" w:space="0" w:color="auto"/>
              </w:divBdr>
              <w:divsChild>
                <w:div w:id="1310093857">
                  <w:marLeft w:val="0"/>
                  <w:marRight w:val="0"/>
                  <w:marTop w:val="0"/>
                  <w:marBottom w:val="0"/>
                  <w:divBdr>
                    <w:top w:val="none" w:sz="0" w:space="0" w:color="auto"/>
                    <w:left w:val="none" w:sz="0" w:space="0" w:color="auto"/>
                    <w:bottom w:val="none" w:sz="0" w:space="0" w:color="auto"/>
                    <w:right w:val="none" w:sz="0" w:space="0" w:color="auto"/>
                  </w:divBdr>
                </w:div>
              </w:divsChild>
            </w:div>
            <w:div w:id="2094886052">
              <w:marLeft w:val="0"/>
              <w:marRight w:val="0"/>
              <w:marTop w:val="0"/>
              <w:marBottom w:val="0"/>
              <w:divBdr>
                <w:top w:val="none" w:sz="0" w:space="0" w:color="auto"/>
                <w:left w:val="none" w:sz="0" w:space="0" w:color="auto"/>
                <w:bottom w:val="none" w:sz="0" w:space="0" w:color="auto"/>
                <w:right w:val="none" w:sz="0" w:space="0" w:color="auto"/>
              </w:divBdr>
              <w:divsChild>
                <w:div w:id="1588079148">
                  <w:marLeft w:val="0"/>
                  <w:marRight w:val="0"/>
                  <w:marTop w:val="0"/>
                  <w:marBottom w:val="0"/>
                  <w:divBdr>
                    <w:top w:val="none" w:sz="0" w:space="0" w:color="auto"/>
                    <w:left w:val="none" w:sz="0" w:space="0" w:color="auto"/>
                    <w:bottom w:val="none" w:sz="0" w:space="0" w:color="auto"/>
                    <w:right w:val="none" w:sz="0" w:space="0" w:color="auto"/>
                  </w:divBdr>
                </w:div>
              </w:divsChild>
            </w:div>
            <w:div w:id="2096049532">
              <w:marLeft w:val="0"/>
              <w:marRight w:val="0"/>
              <w:marTop w:val="0"/>
              <w:marBottom w:val="0"/>
              <w:divBdr>
                <w:top w:val="none" w:sz="0" w:space="0" w:color="auto"/>
                <w:left w:val="none" w:sz="0" w:space="0" w:color="auto"/>
                <w:bottom w:val="none" w:sz="0" w:space="0" w:color="auto"/>
                <w:right w:val="none" w:sz="0" w:space="0" w:color="auto"/>
              </w:divBdr>
              <w:divsChild>
                <w:div w:id="2143381191">
                  <w:marLeft w:val="0"/>
                  <w:marRight w:val="0"/>
                  <w:marTop w:val="0"/>
                  <w:marBottom w:val="0"/>
                  <w:divBdr>
                    <w:top w:val="none" w:sz="0" w:space="0" w:color="auto"/>
                    <w:left w:val="none" w:sz="0" w:space="0" w:color="auto"/>
                    <w:bottom w:val="none" w:sz="0" w:space="0" w:color="auto"/>
                    <w:right w:val="none" w:sz="0" w:space="0" w:color="auto"/>
                  </w:divBdr>
                </w:div>
              </w:divsChild>
            </w:div>
            <w:div w:id="2096510620">
              <w:marLeft w:val="0"/>
              <w:marRight w:val="0"/>
              <w:marTop w:val="0"/>
              <w:marBottom w:val="0"/>
              <w:divBdr>
                <w:top w:val="none" w:sz="0" w:space="0" w:color="auto"/>
                <w:left w:val="none" w:sz="0" w:space="0" w:color="auto"/>
                <w:bottom w:val="none" w:sz="0" w:space="0" w:color="auto"/>
                <w:right w:val="none" w:sz="0" w:space="0" w:color="auto"/>
              </w:divBdr>
              <w:divsChild>
                <w:div w:id="833495459">
                  <w:marLeft w:val="0"/>
                  <w:marRight w:val="0"/>
                  <w:marTop w:val="0"/>
                  <w:marBottom w:val="0"/>
                  <w:divBdr>
                    <w:top w:val="none" w:sz="0" w:space="0" w:color="auto"/>
                    <w:left w:val="none" w:sz="0" w:space="0" w:color="auto"/>
                    <w:bottom w:val="none" w:sz="0" w:space="0" w:color="auto"/>
                    <w:right w:val="none" w:sz="0" w:space="0" w:color="auto"/>
                  </w:divBdr>
                </w:div>
              </w:divsChild>
            </w:div>
            <w:div w:id="2099399946">
              <w:marLeft w:val="0"/>
              <w:marRight w:val="0"/>
              <w:marTop w:val="0"/>
              <w:marBottom w:val="0"/>
              <w:divBdr>
                <w:top w:val="none" w:sz="0" w:space="0" w:color="auto"/>
                <w:left w:val="none" w:sz="0" w:space="0" w:color="auto"/>
                <w:bottom w:val="none" w:sz="0" w:space="0" w:color="auto"/>
                <w:right w:val="none" w:sz="0" w:space="0" w:color="auto"/>
              </w:divBdr>
              <w:divsChild>
                <w:div w:id="520359867">
                  <w:marLeft w:val="0"/>
                  <w:marRight w:val="0"/>
                  <w:marTop w:val="0"/>
                  <w:marBottom w:val="0"/>
                  <w:divBdr>
                    <w:top w:val="none" w:sz="0" w:space="0" w:color="auto"/>
                    <w:left w:val="none" w:sz="0" w:space="0" w:color="auto"/>
                    <w:bottom w:val="none" w:sz="0" w:space="0" w:color="auto"/>
                    <w:right w:val="none" w:sz="0" w:space="0" w:color="auto"/>
                  </w:divBdr>
                </w:div>
              </w:divsChild>
            </w:div>
            <w:div w:id="2100439799">
              <w:marLeft w:val="0"/>
              <w:marRight w:val="0"/>
              <w:marTop w:val="0"/>
              <w:marBottom w:val="0"/>
              <w:divBdr>
                <w:top w:val="none" w:sz="0" w:space="0" w:color="auto"/>
                <w:left w:val="none" w:sz="0" w:space="0" w:color="auto"/>
                <w:bottom w:val="none" w:sz="0" w:space="0" w:color="auto"/>
                <w:right w:val="none" w:sz="0" w:space="0" w:color="auto"/>
              </w:divBdr>
              <w:divsChild>
                <w:div w:id="1137259580">
                  <w:marLeft w:val="0"/>
                  <w:marRight w:val="0"/>
                  <w:marTop w:val="0"/>
                  <w:marBottom w:val="0"/>
                  <w:divBdr>
                    <w:top w:val="none" w:sz="0" w:space="0" w:color="auto"/>
                    <w:left w:val="none" w:sz="0" w:space="0" w:color="auto"/>
                    <w:bottom w:val="none" w:sz="0" w:space="0" w:color="auto"/>
                    <w:right w:val="none" w:sz="0" w:space="0" w:color="auto"/>
                  </w:divBdr>
                </w:div>
              </w:divsChild>
            </w:div>
            <w:div w:id="2102749223">
              <w:marLeft w:val="0"/>
              <w:marRight w:val="0"/>
              <w:marTop w:val="0"/>
              <w:marBottom w:val="0"/>
              <w:divBdr>
                <w:top w:val="none" w:sz="0" w:space="0" w:color="auto"/>
                <w:left w:val="none" w:sz="0" w:space="0" w:color="auto"/>
                <w:bottom w:val="none" w:sz="0" w:space="0" w:color="auto"/>
                <w:right w:val="none" w:sz="0" w:space="0" w:color="auto"/>
              </w:divBdr>
              <w:divsChild>
                <w:div w:id="107313324">
                  <w:marLeft w:val="0"/>
                  <w:marRight w:val="0"/>
                  <w:marTop w:val="0"/>
                  <w:marBottom w:val="0"/>
                  <w:divBdr>
                    <w:top w:val="none" w:sz="0" w:space="0" w:color="auto"/>
                    <w:left w:val="none" w:sz="0" w:space="0" w:color="auto"/>
                    <w:bottom w:val="none" w:sz="0" w:space="0" w:color="auto"/>
                    <w:right w:val="none" w:sz="0" w:space="0" w:color="auto"/>
                  </w:divBdr>
                </w:div>
              </w:divsChild>
            </w:div>
            <w:div w:id="2104301168">
              <w:marLeft w:val="0"/>
              <w:marRight w:val="0"/>
              <w:marTop w:val="0"/>
              <w:marBottom w:val="0"/>
              <w:divBdr>
                <w:top w:val="none" w:sz="0" w:space="0" w:color="auto"/>
                <w:left w:val="none" w:sz="0" w:space="0" w:color="auto"/>
                <w:bottom w:val="none" w:sz="0" w:space="0" w:color="auto"/>
                <w:right w:val="none" w:sz="0" w:space="0" w:color="auto"/>
              </w:divBdr>
              <w:divsChild>
                <w:div w:id="2120833824">
                  <w:marLeft w:val="0"/>
                  <w:marRight w:val="0"/>
                  <w:marTop w:val="0"/>
                  <w:marBottom w:val="0"/>
                  <w:divBdr>
                    <w:top w:val="none" w:sz="0" w:space="0" w:color="auto"/>
                    <w:left w:val="none" w:sz="0" w:space="0" w:color="auto"/>
                    <w:bottom w:val="none" w:sz="0" w:space="0" w:color="auto"/>
                    <w:right w:val="none" w:sz="0" w:space="0" w:color="auto"/>
                  </w:divBdr>
                </w:div>
              </w:divsChild>
            </w:div>
            <w:div w:id="2106417175">
              <w:marLeft w:val="0"/>
              <w:marRight w:val="0"/>
              <w:marTop w:val="0"/>
              <w:marBottom w:val="0"/>
              <w:divBdr>
                <w:top w:val="none" w:sz="0" w:space="0" w:color="auto"/>
                <w:left w:val="none" w:sz="0" w:space="0" w:color="auto"/>
                <w:bottom w:val="none" w:sz="0" w:space="0" w:color="auto"/>
                <w:right w:val="none" w:sz="0" w:space="0" w:color="auto"/>
              </w:divBdr>
              <w:divsChild>
                <w:div w:id="1226839942">
                  <w:marLeft w:val="0"/>
                  <w:marRight w:val="0"/>
                  <w:marTop w:val="0"/>
                  <w:marBottom w:val="0"/>
                  <w:divBdr>
                    <w:top w:val="none" w:sz="0" w:space="0" w:color="auto"/>
                    <w:left w:val="none" w:sz="0" w:space="0" w:color="auto"/>
                    <w:bottom w:val="none" w:sz="0" w:space="0" w:color="auto"/>
                    <w:right w:val="none" w:sz="0" w:space="0" w:color="auto"/>
                  </w:divBdr>
                </w:div>
              </w:divsChild>
            </w:div>
            <w:div w:id="2107533890">
              <w:marLeft w:val="0"/>
              <w:marRight w:val="0"/>
              <w:marTop w:val="0"/>
              <w:marBottom w:val="0"/>
              <w:divBdr>
                <w:top w:val="none" w:sz="0" w:space="0" w:color="auto"/>
                <w:left w:val="none" w:sz="0" w:space="0" w:color="auto"/>
                <w:bottom w:val="none" w:sz="0" w:space="0" w:color="auto"/>
                <w:right w:val="none" w:sz="0" w:space="0" w:color="auto"/>
              </w:divBdr>
              <w:divsChild>
                <w:div w:id="1559631807">
                  <w:marLeft w:val="0"/>
                  <w:marRight w:val="0"/>
                  <w:marTop w:val="0"/>
                  <w:marBottom w:val="0"/>
                  <w:divBdr>
                    <w:top w:val="none" w:sz="0" w:space="0" w:color="auto"/>
                    <w:left w:val="none" w:sz="0" w:space="0" w:color="auto"/>
                    <w:bottom w:val="none" w:sz="0" w:space="0" w:color="auto"/>
                    <w:right w:val="none" w:sz="0" w:space="0" w:color="auto"/>
                  </w:divBdr>
                </w:div>
              </w:divsChild>
            </w:div>
            <w:div w:id="2107772418">
              <w:marLeft w:val="0"/>
              <w:marRight w:val="0"/>
              <w:marTop w:val="0"/>
              <w:marBottom w:val="0"/>
              <w:divBdr>
                <w:top w:val="none" w:sz="0" w:space="0" w:color="auto"/>
                <w:left w:val="none" w:sz="0" w:space="0" w:color="auto"/>
                <w:bottom w:val="none" w:sz="0" w:space="0" w:color="auto"/>
                <w:right w:val="none" w:sz="0" w:space="0" w:color="auto"/>
              </w:divBdr>
              <w:divsChild>
                <w:div w:id="1358001480">
                  <w:marLeft w:val="0"/>
                  <w:marRight w:val="0"/>
                  <w:marTop w:val="0"/>
                  <w:marBottom w:val="0"/>
                  <w:divBdr>
                    <w:top w:val="none" w:sz="0" w:space="0" w:color="auto"/>
                    <w:left w:val="none" w:sz="0" w:space="0" w:color="auto"/>
                    <w:bottom w:val="none" w:sz="0" w:space="0" w:color="auto"/>
                    <w:right w:val="none" w:sz="0" w:space="0" w:color="auto"/>
                  </w:divBdr>
                </w:div>
              </w:divsChild>
            </w:div>
            <w:div w:id="2108964497">
              <w:marLeft w:val="0"/>
              <w:marRight w:val="0"/>
              <w:marTop w:val="0"/>
              <w:marBottom w:val="0"/>
              <w:divBdr>
                <w:top w:val="none" w:sz="0" w:space="0" w:color="auto"/>
                <w:left w:val="none" w:sz="0" w:space="0" w:color="auto"/>
                <w:bottom w:val="none" w:sz="0" w:space="0" w:color="auto"/>
                <w:right w:val="none" w:sz="0" w:space="0" w:color="auto"/>
              </w:divBdr>
              <w:divsChild>
                <w:div w:id="1117456374">
                  <w:marLeft w:val="0"/>
                  <w:marRight w:val="0"/>
                  <w:marTop w:val="0"/>
                  <w:marBottom w:val="0"/>
                  <w:divBdr>
                    <w:top w:val="none" w:sz="0" w:space="0" w:color="auto"/>
                    <w:left w:val="none" w:sz="0" w:space="0" w:color="auto"/>
                    <w:bottom w:val="none" w:sz="0" w:space="0" w:color="auto"/>
                    <w:right w:val="none" w:sz="0" w:space="0" w:color="auto"/>
                  </w:divBdr>
                </w:div>
              </w:divsChild>
            </w:div>
            <w:div w:id="2109158437">
              <w:marLeft w:val="0"/>
              <w:marRight w:val="0"/>
              <w:marTop w:val="0"/>
              <w:marBottom w:val="0"/>
              <w:divBdr>
                <w:top w:val="none" w:sz="0" w:space="0" w:color="auto"/>
                <w:left w:val="none" w:sz="0" w:space="0" w:color="auto"/>
                <w:bottom w:val="none" w:sz="0" w:space="0" w:color="auto"/>
                <w:right w:val="none" w:sz="0" w:space="0" w:color="auto"/>
              </w:divBdr>
              <w:divsChild>
                <w:div w:id="326448071">
                  <w:marLeft w:val="0"/>
                  <w:marRight w:val="0"/>
                  <w:marTop w:val="0"/>
                  <w:marBottom w:val="0"/>
                  <w:divBdr>
                    <w:top w:val="none" w:sz="0" w:space="0" w:color="auto"/>
                    <w:left w:val="none" w:sz="0" w:space="0" w:color="auto"/>
                    <w:bottom w:val="none" w:sz="0" w:space="0" w:color="auto"/>
                    <w:right w:val="none" w:sz="0" w:space="0" w:color="auto"/>
                  </w:divBdr>
                </w:div>
              </w:divsChild>
            </w:div>
            <w:div w:id="2109616545">
              <w:marLeft w:val="0"/>
              <w:marRight w:val="0"/>
              <w:marTop w:val="0"/>
              <w:marBottom w:val="0"/>
              <w:divBdr>
                <w:top w:val="none" w:sz="0" w:space="0" w:color="auto"/>
                <w:left w:val="none" w:sz="0" w:space="0" w:color="auto"/>
                <w:bottom w:val="none" w:sz="0" w:space="0" w:color="auto"/>
                <w:right w:val="none" w:sz="0" w:space="0" w:color="auto"/>
              </w:divBdr>
              <w:divsChild>
                <w:div w:id="1993899444">
                  <w:marLeft w:val="0"/>
                  <w:marRight w:val="0"/>
                  <w:marTop w:val="0"/>
                  <w:marBottom w:val="0"/>
                  <w:divBdr>
                    <w:top w:val="none" w:sz="0" w:space="0" w:color="auto"/>
                    <w:left w:val="none" w:sz="0" w:space="0" w:color="auto"/>
                    <w:bottom w:val="none" w:sz="0" w:space="0" w:color="auto"/>
                    <w:right w:val="none" w:sz="0" w:space="0" w:color="auto"/>
                  </w:divBdr>
                </w:div>
              </w:divsChild>
            </w:div>
            <w:div w:id="2110541829">
              <w:marLeft w:val="0"/>
              <w:marRight w:val="0"/>
              <w:marTop w:val="300"/>
              <w:marBottom w:val="300"/>
              <w:divBdr>
                <w:top w:val="none" w:sz="0" w:space="0" w:color="auto"/>
                <w:left w:val="none" w:sz="0" w:space="0" w:color="auto"/>
                <w:bottom w:val="none" w:sz="0" w:space="0" w:color="auto"/>
                <w:right w:val="none" w:sz="0" w:space="0" w:color="auto"/>
              </w:divBdr>
            </w:div>
            <w:div w:id="2112823433">
              <w:marLeft w:val="0"/>
              <w:marRight w:val="0"/>
              <w:marTop w:val="0"/>
              <w:marBottom w:val="0"/>
              <w:divBdr>
                <w:top w:val="none" w:sz="0" w:space="0" w:color="auto"/>
                <w:left w:val="none" w:sz="0" w:space="0" w:color="auto"/>
                <w:bottom w:val="none" w:sz="0" w:space="0" w:color="auto"/>
                <w:right w:val="none" w:sz="0" w:space="0" w:color="auto"/>
              </w:divBdr>
              <w:divsChild>
                <w:div w:id="1110050356">
                  <w:marLeft w:val="0"/>
                  <w:marRight w:val="0"/>
                  <w:marTop w:val="0"/>
                  <w:marBottom w:val="0"/>
                  <w:divBdr>
                    <w:top w:val="none" w:sz="0" w:space="0" w:color="auto"/>
                    <w:left w:val="none" w:sz="0" w:space="0" w:color="auto"/>
                    <w:bottom w:val="none" w:sz="0" w:space="0" w:color="auto"/>
                    <w:right w:val="none" w:sz="0" w:space="0" w:color="auto"/>
                  </w:divBdr>
                </w:div>
              </w:divsChild>
            </w:div>
            <w:div w:id="2113890557">
              <w:marLeft w:val="0"/>
              <w:marRight w:val="0"/>
              <w:marTop w:val="0"/>
              <w:marBottom w:val="0"/>
              <w:divBdr>
                <w:top w:val="none" w:sz="0" w:space="0" w:color="auto"/>
                <w:left w:val="none" w:sz="0" w:space="0" w:color="auto"/>
                <w:bottom w:val="none" w:sz="0" w:space="0" w:color="auto"/>
                <w:right w:val="none" w:sz="0" w:space="0" w:color="auto"/>
              </w:divBdr>
              <w:divsChild>
                <w:div w:id="4140859">
                  <w:marLeft w:val="0"/>
                  <w:marRight w:val="0"/>
                  <w:marTop w:val="0"/>
                  <w:marBottom w:val="0"/>
                  <w:divBdr>
                    <w:top w:val="none" w:sz="0" w:space="0" w:color="auto"/>
                    <w:left w:val="none" w:sz="0" w:space="0" w:color="auto"/>
                    <w:bottom w:val="none" w:sz="0" w:space="0" w:color="auto"/>
                    <w:right w:val="none" w:sz="0" w:space="0" w:color="auto"/>
                  </w:divBdr>
                </w:div>
              </w:divsChild>
            </w:div>
            <w:div w:id="2114476279">
              <w:marLeft w:val="0"/>
              <w:marRight w:val="0"/>
              <w:marTop w:val="0"/>
              <w:marBottom w:val="0"/>
              <w:divBdr>
                <w:top w:val="none" w:sz="0" w:space="0" w:color="auto"/>
                <w:left w:val="none" w:sz="0" w:space="0" w:color="auto"/>
                <w:bottom w:val="none" w:sz="0" w:space="0" w:color="auto"/>
                <w:right w:val="none" w:sz="0" w:space="0" w:color="auto"/>
              </w:divBdr>
              <w:divsChild>
                <w:div w:id="1060714546">
                  <w:marLeft w:val="0"/>
                  <w:marRight w:val="0"/>
                  <w:marTop w:val="0"/>
                  <w:marBottom w:val="0"/>
                  <w:divBdr>
                    <w:top w:val="none" w:sz="0" w:space="0" w:color="auto"/>
                    <w:left w:val="none" w:sz="0" w:space="0" w:color="auto"/>
                    <w:bottom w:val="none" w:sz="0" w:space="0" w:color="auto"/>
                    <w:right w:val="none" w:sz="0" w:space="0" w:color="auto"/>
                  </w:divBdr>
                </w:div>
              </w:divsChild>
            </w:div>
            <w:div w:id="2115511082">
              <w:marLeft w:val="0"/>
              <w:marRight w:val="0"/>
              <w:marTop w:val="0"/>
              <w:marBottom w:val="0"/>
              <w:divBdr>
                <w:top w:val="none" w:sz="0" w:space="0" w:color="auto"/>
                <w:left w:val="none" w:sz="0" w:space="0" w:color="auto"/>
                <w:bottom w:val="none" w:sz="0" w:space="0" w:color="auto"/>
                <w:right w:val="none" w:sz="0" w:space="0" w:color="auto"/>
              </w:divBdr>
              <w:divsChild>
                <w:div w:id="1461338266">
                  <w:marLeft w:val="0"/>
                  <w:marRight w:val="0"/>
                  <w:marTop w:val="0"/>
                  <w:marBottom w:val="0"/>
                  <w:divBdr>
                    <w:top w:val="none" w:sz="0" w:space="0" w:color="auto"/>
                    <w:left w:val="none" w:sz="0" w:space="0" w:color="auto"/>
                    <w:bottom w:val="none" w:sz="0" w:space="0" w:color="auto"/>
                    <w:right w:val="none" w:sz="0" w:space="0" w:color="auto"/>
                  </w:divBdr>
                </w:div>
              </w:divsChild>
            </w:div>
            <w:div w:id="2115516245">
              <w:marLeft w:val="0"/>
              <w:marRight w:val="0"/>
              <w:marTop w:val="0"/>
              <w:marBottom w:val="0"/>
              <w:divBdr>
                <w:top w:val="none" w:sz="0" w:space="0" w:color="auto"/>
                <w:left w:val="none" w:sz="0" w:space="0" w:color="auto"/>
                <w:bottom w:val="none" w:sz="0" w:space="0" w:color="auto"/>
                <w:right w:val="none" w:sz="0" w:space="0" w:color="auto"/>
              </w:divBdr>
              <w:divsChild>
                <w:div w:id="1871916252">
                  <w:marLeft w:val="0"/>
                  <w:marRight w:val="0"/>
                  <w:marTop w:val="0"/>
                  <w:marBottom w:val="0"/>
                  <w:divBdr>
                    <w:top w:val="none" w:sz="0" w:space="0" w:color="auto"/>
                    <w:left w:val="none" w:sz="0" w:space="0" w:color="auto"/>
                    <w:bottom w:val="none" w:sz="0" w:space="0" w:color="auto"/>
                    <w:right w:val="none" w:sz="0" w:space="0" w:color="auto"/>
                  </w:divBdr>
                </w:div>
              </w:divsChild>
            </w:div>
            <w:div w:id="2115590281">
              <w:marLeft w:val="0"/>
              <w:marRight w:val="0"/>
              <w:marTop w:val="0"/>
              <w:marBottom w:val="0"/>
              <w:divBdr>
                <w:top w:val="none" w:sz="0" w:space="0" w:color="auto"/>
                <w:left w:val="none" w:sz="0" w:space="0" w:color="auto"/>
                <w:bottom w:val="none" w:sz="0" w:space="0" w:color="auto"/>
                <w:right w:val="none" w:sz="0" w:space="0" w:color="auto"/>
              </w:divBdr>
              <w:divsChild>
                <w:div w:id="2052723063">
                  <w:marLeft w:val="0"/>
                  <w:marRight w:val="0"/>
                  <w:marTop w:val="0"/>
                  <w:marBottom w:val="0"/>
                  <w:divBdr>
                    <w:top w:val="none" w:sz="0" w:space="0" w:color="auto"/>
                    <w:left w:val="none" w:sz="0" w:space="0" w:color="auto"/>
                    <w:bottom w:val="none" w:sz="0" w:space="0" w:color="auto"/>
                    <w:right w:val="none" w:sz="0" w:space="0" w:color="auto"/>
                  </w:divBdr>
                </w:div>
              </w:divsChild>
            </w:div>
            <w:div w:id="2115786045">
              <w:marLeft w:val="0"/>
              <w:marRight w:val="0"/>
              <w:marTop w:val="300"/>
              <w:marBottom w:val="300"/>
              <w:divBdr>
                <w:top w:val="none" w:sz="0" w:space="0" w:color="auto"/>
                <w:left w:val="none" w:sz="0" w:space="0" w:color="auto"/>
                <w:bottom w:val="none" w:sz="0" w:space="0" w:color="auto"/>
                <w:right w:val="none" w:sz="0" w:space="0" w:color="auto"/>
              </w:divBdr>
            </w:div>
            <w:div w:id="2116517117">
              <w:marLeft w:val="0"/>
              <w:marRight w:val="0"/>
              <w:marTop w:val="0"/>
              <w:marBottom w:val="0"/>
              <w:divBdr>
                <w:top w:val="none" w:sz="0" w:space="0" w:color="auto"/>
                <w:left w:val="none" w:sz="0" w:space="0" w:color="auto"/>
                <w:bottom w:val="none" w:sz="0" w:space="0" w:color="auto"/>
                <w:right w:val="none" w:sz="0" w:space="0" w:color="auto"/>
              </w:divBdr>
              <w:divsChild>
                <w:div w:id="1284112644">
                  <w:marLeft w:val="0"/>
                  <w:marRight w:val="0"/>
                  <w:marTop w:val="0"/>
                  <w:marBottom w:val="0"/>
                  <w:divBdr>
                    <w:top w:val="none" w:sz="0" w:space="0" w:color="auto"/>
                    <w:left w:val="none" w:sz="0" w:space="0" w:color="auto"/>
                    <w:bottom w:val="none" w:sz="0" w:space="0" w:color="auto"/>
                    <w:right w:val="none" w:sz="0" w:space="0" w:color="auto"/>
                  </w:divBdr>
                </w:div>
              </w:divsChild>
            </w:div>
            <w:div w:id="2118521422">
              <w:marLeft w:val="0"/>
              <w:marRight w:val="0"/>
              <w:marTop w:val="0"/>
              <w:marBottom w:val="0"/>
              <w:divBdr>
                <w:top w:val="none" w:sz="0" w:space="0" w:color="auto"/>
                <w:left w:val="none" w:sz="0" w:space="0" w:color="auto"/>
                <w:bottom w:val="none" w:sz="0" w:space="0" w:color="auto"/>
                <w:right w:val="none" w:sz="0" w:space="0" w:color="auto"/>
              </w:divBdr>
              <w:divsChild>
                <w:div w:id="1159156151">
                  <w:marLeft w:val="0"/>
                  <w:marRight w:val="0"/>
                  <w:marTop w:val="0"/>
                  <w:marBottom w:val="0"/>
                  <w:divBdr>
                    <w:top w:val="none" w:sz="0" w:space="0" w:color="auto"/>
                    <w:left w:val="none" w:sz="0" w:space="0" w:color="auto"/>
                    <w:bottom w:val="none" w:sz="0" w:space="0" w:color="auto"/>
                    <w:right w:val="none" w:sz="0" w:space="0" w:color="auto"/>
                  </w:divBdr>
                </w:div>
              </w:divsChild>
            </w:div>
            <w:div w:id="2118594328">
              <w:marLeft w:val="0"/>
              <w:marRight w:val="0"/>
              <w:marTop w:val="0"/>
              <w:marBottom w:val="0"/>
              <w:divBdr>
                <w:top w:val="none" w:sz="0" w:space="0" w:color="auto"/>
                <w:left w:val="none" w:sz="0" w:space="0" w:color="auto"/>
                <w:bottom w:val="none" w:sz="0" w:space="0" w:color="auto"/>
                <w:right w:val="none" w:sz="0" w:space="0" w:color="auto"/>
              </w:divBdr>
              <w:divsChild>
                <w:div w:id="198321191">
                  <w:marLeft w:val="0"/>
                  <w:marRight w:val="0"/>
                  <w:marTop w:val="0"/>
                  <w:marBottom w:val="0"/>
                  <w:divBdr>
                    <w:top w:val="none" w:sz="0" w:space="0" w:color="auto"/>
                    <w:left w:val="none" w:sz="0" w:space="0" w:color="auto"/>
                    <w:bottom w:val="none" w:sz="0" w:space="0" w:color="auto"/>
                    <w:right w:val="none" w:sz="0" w:space="0" w:color="auto"/>
                  </w:divBdr>
                </w:div>
              </w:divsChild>
            </w:div>
            <w:div w:id="2118867676">
              <w:marLeft w:val="0"/>
              <w:marRight w:val="0"/>
              <w:marTop w:val="0"/>
              <w:marBottom w:val="0"/>
              <w:divBdr>
                <w:top w:val="none" w:sz="0" w:space="0" w:color="auto"/>
                <w:left w:val="none" w:sz="0" w:space="0" w:color="auto"/>
                <w:bottom w:val="none" w:sz="0" w:space="0" w:color="auto"/>
                <w:right w:val="none" w:sz="0" w:space="0" w:color="auto"/>
              </w:divBdr>
              <w:divsChild>
                <w:div w:id="1496796112">
                  <w:marLeft w:val="0"/>
                  <w:marRight w:val="0"/>
                  <w:marTop w:val="0"/>
                  <w:marBottom w:val="0"/>
                  <w:divBdr>
                    <w:top w:val="none" w:sz="0" w:space="0" w:color="auto"/>
                    <w:left w:val="none" w:sz="0" w:space="0" w:color="auto"/>
                    <w:bottom w:val="none" w:sz="0" w:space="0" w:color="auto"/>
                    <w:right w:val="none" w:sz="0" w:space="0" w:color="auto"/>
                  </w:divBdr>
                </w:div>
              </w:divsChild>
            </w:div>
            <w:div w:id="2118980456">
              <w:marLeft w:val="0"/>
              <w:marRight w:val="0"/>
              <w:marTop w:val="0"/>
              <w:marBottom w:val="0"/>
              <w:divBdr>
                <w:top w:val="none" w:sz="0" w:space="0" w:color="auto"/>
                <w:left w:val="none" w:sz="0" w:space="0" w:color="auto"/>
                <w:bottom w:val="none" w:sz="0" w:space="0" w:color="auto"/>
                <w:right w:val="none" w:sz="0" w:space="0" w:color="auto"/>
              </w:divBdr>
              <w:divsChild>
                <w:div w:id="1260143881">
                  <w:marLeft w:val="0"/>
                  <w:marRight w:val="0"/>
                  <w:marTop w:val="0"/>
                  <w:marBottom w:val="0"/>
                  <w:divBdr>
                    <w:top w:val="none" w:sz="0" w:space="0" w:color="auto"/>
                    <w:left w:val="none" w:sz="0" w:space="0" w:color="auto"/>
                    <w:bottom w:val="none" w:sz="0" w:space="0" w:color="auto"/>
                    <w:right w:val="none" w:sz="0" w:space="0" w:color="auto"/>
                  </w:divBdr>
                </w:div>
              </w:divsChild>
            </w:div>
            <w:div w:id="2119907303">
              <w:marLeft w:val="0"/>
              <w:marRight w:val="0"/>
              <w:marTop w:val="0"/>
              <w:marBottom w:val="0"/>
              <w:divBdr>
                <w:top w:val="none" w:sz="0" w:space="0" w:color="auto"/>
                <w:left w:val="none" w:sz="0" w:space="0" w:color="auto"/>
                <w:bottom w:val="none" w:sz="0" w:space="0" w:color="auto"/>
                <w:right w:val="none" w:sz="0" w:space="0" w:color="auto"/>
              </w:divBdr>
              <w:divsChild>
                <w:div w:id="1331716907">
                  <w:marLeft w:val="0"/>
                  <w:marRight w:val="0"/>
                  <w:marTop w:val="0"/>
                  <w:marBottom w:val="0"/>
                  <w:divBdr>
                    <w:top w:val="none" w:sz="0" w:space="0" w:color="auto"/>
                    <w:left w:val="none" w:sz="0" w:space="0" w:color="auto"/>
                    <w:bottom w:val="none" w:sz="0" w:space="0" w:color="auto"/>
                    <w:right w:val="none" w:sz="0" w:space="0" w:color="auto"/>
                  </w:divBdr>
                </w:div>
              </w:divsChild>
            </w:div>
            <w:div w:id="2120761784">
              <w:marLeft w:val="0"/>
              <w:marRight w:val="0"/>
              <w:marTop w:val="0"/>
              <w:marBottom w:val="0"/>
              <w:divBdr>
                <w:top w:val="none" w:sz="0" w:space="0" w:color="auto"/>
                <w:left w:val="none" w:sz="0" w:space="0" w:color="auto"/>
                <w:bottom w:val="none" w:sz="0" w:space="0" w:color="auto"/>
                <w:right w:val="none" w:sz="0" w:space="0" w:color="auto"/>
              </w:divBdr>
              <w:divsChild>
                <w:div w:id="890188043">
                  <w:marLeft w:val="0"/>
                  <w:marRight w:val="0"/>
                  <w:marTop w:val="0"/>
                  <w:marBottom w:val="0"/>
                  <w:divBdr>
                    <w:top w:val="none" w:sz="0" w:space="0" w:color="auto"/>
                    <w:left w:val="none" w:sz="0" w:space="0" w:color="auto"/>
                    <w:bottom w:val="none" w:sz="0" w:space="0" w:color="auto"/>
                    <w:right w:val="none" w:sz="0" w:space="0" w:color="auto"/>
                  </w:divBdr>
                </w:div>
              </w:divsChild>
            </w:div>
            <w:div w:id="2122799837">
              <w:marLeft w:val="0"/>
              <w:marRight w:val="0"/>
              <w:marTop w:val="0"/>
              <w:marBottom w:val="0"/>
              <w:divBdr>
                <w:top w:val="none" w:sz="0" w:space="0" w:color="auto"/>
                <w:left w:val="none" w:sz="0" w:space="0" w:color="auto"/>
                <w:bottom w:val="none" w:sz="0" w:space="0" w:color="auto"/>
                <w:right w:val="none" w:sz="0" w:space="0" w:color="auto"/>
              </w:divBdr>
              <w:divsChild>
                <w:div w:id="458762346">
                  <w:marLeft w:val="0"/>
                  <w:marRight w:val="0"/>
                  <w:marTop w:val="0"/>
                  <w:marBottom w:val="0"/>
                  <w:divBdr>
                    <w:top w:val="none" w:sz="0" w:space="0" w:color="auto"/>
                    <w:left w:val="none" w:sz="0" w:space="0" w:color="auto"/>
                    <w:bottom w:val="none" w:sz="0" w:space="0" w:color="auto"/>
                    <w:right w:val="none" w:sz="0" w:space="0" w:color="auto"/>
                  </w:divBdr>
                </w:div>
              </w:divsChild>
            </w:div>
            <w:div w:id="2123694256">
              <w:marLeft w:val="0"/>
              <w:marRight w:val="0"/>
              <w:marTop w:val="300"/>
              <w:marBottom w:val="300"/>
              <w:divBdr>
                <w:top w:val="none" w:sz="0" w:space="0" w:color="auto"/>
                <w:left w:val="none" w:sz="0" w:space="0" w:color="auto"/>
                <w:bottom w:val="none" w:sz="0" w:space="0" w:color="auto"/>
                <w:right w:val="none" w:sz="0" w:space="0" w:color="auto"/>
              </w:divBdr>
            </w:div>
            <w:div w:id="2124416366">
              <w:marLeft w:val="0"/>
              <w:marRight w:val="0"/>
              <w:marTop w:val="0"/>
              <w:marBottom w:val="0"/>
              <w:divBdr>
                <w:top w:val="none" w:sz="0" w:space="0" w:color="auto"/>
                <w:left w:val="none" w:sz="0" w:space="0" w:color="auto"/>
                <w:bottom w:val="none" w:sz="0" w:space="0" w:color="auto"/>
                <w:right w:val="none" w:sz="0" w:space="0" w:color="auto"/>
              </w:divBdr>
              <w:divsChild>
                <w:div w:id="492569670">
                  <w:marLeft w:val="0"/>
                  <w:marRight w:val="0"/>
                  <w:marTop w:val="0"/>
                  <w:marBottom w:val="0"/>
                  <w:divBdr>
                    <w:top w:val="none" w:sz="0" w:space="0" w:color="auto"/>
                    <w:left w:val="none" w:sz="0" w:space="0" w:color="auto"/>
                    <w:bottom w:val="none" w:sz="0" w:space="0" w:color="auto"/>
                    <w:right w:val="none" w:sz="0" w:space="0" w:color="auto"/>
                  </w:divBdr>
                </w:div>
              </w:divsChild>
            </w:div>
            <w:div w:id="2126339804">
              <w:marLeft w:val="0"/>
              <w:marRight w:val="0"/>
              <w:marTop w:val="0"/>
              <w:marBottom w:val="0"/>
              <w:divBdr>
                <w:top w:val="none" w:sz="0" w:space="0" w:color="auto"/>
                <w:left w:val="none" w:sz="0" w:space="0" w:color="auto"/>
                <w:bottom w:val="none" w:sz="0" w:space="0" w:color="auto"/>
                <w:right w:val="none" w:sz="0" w:space="0" w:color="auto"/>
              </w:divBdr>
              <w:divsChild>
                <w:div w:id="1677027989">
                  <w:marLeft w:val="0"/>
                  <w:marRight w:val="0"/>
                  <w:marTop w:val="0"/>
                  <w:marBottom w:val="0"/>
                  <w:divBdr>
                    <w:top w:val="none" w:sz="0" w:space="0" w:color="auto"/>
                    <w:left w:val="none" w:sz="0" w:space="0" w:color="auto"/>
                    <w:bottom w:val="none" w:sz="0" w:space="0" w:color="auto"/>
                    <w:right w:val="none" w:sz="0" w:space="0" w:color="auto"/>
                  </w:divBdr>
                </w:div>
              </w:divsChild>
            </w:div>
            <w:div w:id="2127313713">
              <w:marLeft w:val="0"/>
              <w:marRight w:val="0"/>
              <w:marTop w:val="300"/>
              <w:marBottom w:val="300"/>
              <w:divBdr>
                <w:top w:val="none" w:sz="0" w:space="0" w:color="auto"/>
                <w:left w:val="none" w:sz="0" w:space="0" w:color="auto"/>
                <w:bottom w:val="none" w:sz="0" w:space="0" w:color="auto"/>
                <w:right w:val="none" w:sz="0" w:space="0" w:color="auto"/>
              </w:divBdr>
            </w:div>
            <w:div w:id="2129035102">
              <w:marLeft w:val="0"/>
              <w:marRight w:val="0"/>
              <w:marTop w:val="0"/>
              <w:marBottom w:val="0"/>
              <w:divBdr>
                <w:top w:val="none" w:sz="0" w:space="0" w:color="auto"/>
                <w:left w:val="none" w:sz="0" w:space="0" w:color="auto"/>
                <w:bottom w:val="none" w:sz="0" w:space="0" w:color="auto"/>
                <w:right w:val="none" w:sz="0" w:space="0" w:color="auto"/>
              </w:divBdr>
              <w:divsChild>
                <w:div w:id="1194925338">
                  <w:marLeft w:val="0"/>
                  <w:marRight w:val="0"/>
                  <w:marTop w:val="0"/>
                  <w:marBottom w:val="0"/>
                  <w:divBdr>
                    <w:top w:val="none" w:sz="0" w:space="0" w:color="auto"/>
                    <w:left w:val="none" w:sz="0" w:space="0" w:color="auto"/>
                    <w:bottom w:val="none" w:sz="0" w:space="0" w:color="auto"/>
                    <w:right w:val="none" w:sz="0" w:space="0" w:color="auto"/>
                  </w:divBdr>
                </w:div>
              </w:divsChild>
            </w:div>
            <w:div w:id="2132703413">
              <w:marLeft w:val="0"/>
              <w:marRight w:val="0"/>
              <w:marTop w:val="0"/>
              <w:marBottom w:val="0"/>
              <w:divBdr>
                <w:top w:val="none" w:sz="0" w:space="0" w:color="auto"/>
                <w:left w:val="none" w:sz="0" w:space="0" w:color="auto"/>
                <w:bottom w:val="none" w:sz="0" w:space="0" w:color="auto"/>
                <w:right w:val="none" w:sz="0" w:space="0" w:color="auto"/>
              </w:divBdr>
              <w:divsChild>
                <w:div w:id="1459185454">
                  <w:marLeft w:val="0"/>
                  <w:marRight w:val="0"/>
                  <w:marTop w:val="0"/>
                  <w:marBottom w:val="0"/>
                  <w:divBdr>
                    <w:top w:val="none" w:sz="0" w:space="0" w:color="auto"/>
                    <w:left w:val="none" w:sz="0" w:space="0" w:color="auto"/>
                    <w:bottom w:val="none" w:sz="0" w:space="0" w:color="auto"/>
                    <w:right w:val="none" w:sz="0" w:space="0" w:color="auto"/>
                  </w:divBdr>
                </w:div>
              </w:divsChild>
            </w:div>
            <w:div w:id="2133211743">
              <w:marLeft w:val="0"/>
              <w:marRight w:val="0"/>
              <w:marTop w:val="0"/>
              <w:marBottom w:val="0"/>
              <w:divBdr>
                <w:top w:val="none" w:sz="0" w:space="0" w:color="auto"/>
                <w:left w:val="none" w:sz="0" w:space="0" w:color="auto"/>
                <w:bottom w:val="none" w:sz="0" w:space="0" w:color="auto"/>
                <w:right w:val="none" w:sz="0" w:space="0" w:color="auto"/>
              </w:divBdr>
              <w:divsChild>
                <w:div w:id="561020089">
                  <w:marLeft w:val="0"/>
                  <w:marRight w:val="0"/>
                  <w:marTop w:val="0"/>
                  <w:marBottom w:val="0"/>
                  <w:divBdr>
                    <w:top w:val="none" w:sz="0" w:space="0" w:color="auto"/>
                    <w:left w:val="none" w:sz="0" w:space="0" w:color="auto"/>
                    <w:bottom w:val="none" w:sz="0" w:space="0" w:color="auto"/>
                    <w:right w:val="none" w:sz="0" w:space="0" w:color="auto"/>
                  </w:divBdr>
                  <w:divsChild>
                    <w:div w:id="1625430989">
                      <w:marLeft w:val="0"/>
                      <w:marRight w:val="0"/>
                      <w:marTop w:val="0"/>
                      <w:marBottom w:val="0"/>
                      <w:divBdr>
                        <w:top w:val="none" w:sz="0" w:space="0" w:color="auto"/>
                        <w:left w:val="none" w:sz="0" w:space="0" w:color="auto"/>
                        <w:bottom w:val="none" w:sz="0" w:space="0" w:color="auto"/>
                        <w:right w:val="none" w:sz="0" w:space="0" w:color="auto"/>
                      </w:divBdr>
                      <w:divsChild>
                        <w:div w:id="107003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556036">
              <w:marLeft w:val="0"/>
              <w:marRight w:val="0"/>
              <w:marTop w:val="0"/>
              <w:marBottom w:val="0"/>
              <w:divBdr>
                <w:top w:val="none" w:sz="0" w:space="0" w:color="auto"/>
                <w:left w:val="none" w:sz="0" w:space="0" w:color="auto"/>
                <w:bottom w:val="none" w:sz="0" w:space="0" w:color="auto"/>
                <w:right w:val="none" w:sz="0" w:space="0" w:color="auto"/>
              </w:divBdr>
              <w:divsChild>
                <w:div w:id="93326587">
                  <w:marLeft w:val="0"/>
                  <w:marRight w:val="0"/>
                  <w:marTop w:val="0"/>
                  <w:marBottom w:val="0"/>
                  <w:divBdr>
                    <w:top w:val="none" w:sz="0" w:space="0" w:color="auto"/>
                    <w:left w:val="none" w:sz="0" w:space="0" w:color="auto"/>
                    <w:bottom w:val="none" w:sz="0" w:space="0" w:color="auto"/>
                    <w:right w:val="none" w:sz="0" w:space="0" w:color="auto"/>
                  </w:divBdr>
                </w:div>
              </w:divsChild>
            </w:div>
            <w:div w:id="2133859598">
              <w:marLeft w:val="0"/>
              <w:marRight w:val="0"/>
              <w:marTop w:val="0"/>
              <w:marBottom w:val="0"/>
              <w:divBdr>
                <w:top w:val="none" w:sz="0" w:space="0" w:color="auto"/>
                <w:left w:val="none" w:sz="0" w:space="0" w:color="auto"/>
                <w:bottom w:val="none" w:sz="0" w:space="0" w:color="auto"/>
                <w:right w:val="none" w:sz="0" w:space="0" w:color="auto"/>
              </w:divBdr>
              <w:divsChild>
                <w:div w:id="550731404">
                  <w:marLeft w:val="0"/>
                  <w:marRight w:val="0"/>
                  <w:marTop w:val="0"/>
                  <w:marBottom w:val="0"/>
                  <w:divBdr>
                    <w:top w:val="none" w:sz="0" w:space="0" w:color="auto"/>
                    <w:left w:val="none" w:sz="0" w:space="0" w:color="auto"/>
                    <w:bottom w:val="none" w:sz="0" w:space="0" w:color="auto"/>
                    <w:right w:val="none" w:sz="0" w:space="0" w:color="auto"/>
                  </w:divBdr>
                </w:div>
              </w:divsChild>
            </w:div>
            <w:div w:id="2135981279">
              <w:marLeft w:val="0"/>
              <w:marRight w:val="0"/>
              <w:marTop w:val="0"/>
              <w:marBottom w:val="0"/>
              <w:divBdr>
                <w:top w:val="none" w:sz="0" w:space="0" w:color="auto"/>
                <w:left w:val="none" w:sz="0" w:space="0" w:color="auto"/>
                <w:bottom w:val="none" w:sz="0" w:space="0" w:color="auto"/>
                <w:right w:val="none" w:sz="0" w:space="0" w:color="auto"/>
              </w:divBdr>
              <w:divsChild>
                <w:div w:id="527721933">
                  <w:marLeft w:val="0"/>
                  <w:marRight w:val="0"/>
                  <w:marTop w:val="0"/>
                  <w:marBottom w:val="0"/>
                  <w:divBdr>
                    <w:top w:val="none" w:sz="0" w:space="0" w:color="auto"/>
                    <w:left w:val="none" w:sz="0" w:space="0" w:color="auto"/>
                    <w:bottom w:val="none" w:sz="0" w:space="0" w:color="auto"/>
                    <w:right w:val="none" w:sz="0" w:space="0" w:color="auto"/>
                  </w:divBdr>
                </w:div>
              </w:divsChild>
            </w:div>
            <w:div w:id="2136480888">
              <w:marLeft w:val="0"/>
              <w:marRight w:val="0"/>
              <w:marTop w:val="0"/>
              <w:marBottom w:val="0"/>
              <w:divBdr>
                <w:top w:val="none" w:sz="0" w:space="0" w:color="auto"/>
                <w:left w:val="none" w:sz="0" w:space="0" w:color="auto"/>
                <w:bottom w:val="none" w:sz="0" w:space="0" w:color="auto"/>
                <w:right w:val="none" w:sz="0" w:space="0" w:color="auto"/>
              </w:divBdr>
              <w:divsChild>
                <w:div w:id="2022976081">
                  <w:marLeft w:val="0"/>
                  <w:marRight w:val="0"/>
                  <w:marTop w:val="0"/>
                  <w:marBottom w:val="0"/>
                  <w:divBdr>
                    <w:top w:val="none" w:sz="0" w:space="0" w:color="auto"/>
                    <w:left w:val="none" w:sz="0" w:space="0" w:color="auto"/>
                    <w:bottom w:val="none" w:sz="0" w:space="0" w:color="auto"/>
                    <w:right w:val="none" w:sz="0" w:space="0" w:color="auto"/>
                  </w:divBdr>
                </w:div>
              </w:divsChild>
            </w:div>
            <w:div w:id="2137404322">
              <w:marLeft w:val="0"/>
              <w:marRight w:val="0"/>
              <w:marTop w:val="0"/>
              <w:marBottom w:val="0"/>
              <w:divBdr>
                <w:top w:val="none" w:sz="0" w:space="0" w:color="auto"/>
                <w:left w:val="none" w:sz="0" w:space="0" w:color="auto"/>
                <w:bottom w:val="none" w:sz="0" w:space="0" w:color="auto"/>
                <w:right w:val="none" w:sz="0" w:space="0" w:color="auto"/>
              </w:divBdr>
              <w:divsChild>
                <w:div w:id="2043742172">
                  <w:marLeft w:val="0"/>
                  <w:marRight w:val="0"/>
                  <w:marTop w:val="0"/>
                  <w:marBottom w:val="0"/>
                  <w:divBdr>
                    <w:top w:val="none" w:sz="0" w:space="0" w:color="auto"/>
                    <w:left w:val="none" w:sz="0" w:space="0" w:color="auto"/>
                    <w:bottom w:val="none" w:sz="0" w:space="0" w:color="auto"/>
                    <w:right w:val="none" w:sz="0" w:space="0" w:color="auto"/>
                  </w:divBdr>
                </w:div>
              </w:divsChild>
            </w:div>
            <w:div w:id="2142380171">
              <w:marLeft w:val="0"/>
              <w:marRight w:val="0"/>
              <w:marTop w:val="300"/>
              <w:marBottom w:val="300"/>
              <w:divBdr>
                <w:top w:val="none" w:sz="0" w:space="0" w:color="auto"/>
                <w:left w:val="none" w:sz="0" w:space="0" w:color="auto"/>
                <w:bottom w:val="none" w:sz="0" w:space="0" w:color="auto"/>
                <w:right w:val="none" w:sz="0" w:space="0" w:color="auto"/>
              </w:divBdr>
            </w:div>
            <w:div w:id="2145003707">
              <w:marLeft w:val="0"/>
              <w:marRight w:val="0"/>
              <w:marTop w:val="0"/>
              <w:marBottom w:val="0"/>
              <w:divBdr>
                <w:top w:val="none" w:sz="0" w:space="0" w:color="auto"/>
                <w:left w:val="none" w:sz="0" w:space="0" w:color="auto"/>
                <w:bottom w:val="none" w:sz="0" w:space="0" w:color="auto"/>
                <w:right w:val="none" w:sz="0" w:space="0" w:color="auto"/>
              </w:divBdr>
              <w:divsChild>
                <w:div w:id="308635939">
                  <w:marLeft w:val="0"/>
                  <w:marRight w:val="0"/>
                  <w:marTop w:val="0"/>
                  <w:marBottom w:val="0"/>
                  <w:divBdr>
                    <w:top w:val="none" w:sz="0" w:space="0" w:color="auto"/>
                    <w:left w:val="none" w:sz="0" w:space="0" w:color="auto"/>
                    <w:bottom w:val="none" w:sz="0" w:space="0" w:color="auto"/>
                    <w:right w:val="none" w:sz="0" w:space="0" w:color="auto"/>
                  </w:divBdr>
                </w:div>
              </w:divsChild>
            </w:div>
            <w:div w:id="2145737466">
              <w:marLeft w:val="0"/>
              <w:marRight w:val="0"/>
              <w:marTop w:val="0"/>
              <w:marBottom w:val="0"/>
              <w:divBdr>
                <w:top w:val="none" w:sz="0" w:space="0" w:color="auto"/>
                <w:left w:val="none" w:sz="0" w:space="0" w:color="auto"/>
                <w:bottom w:val="none" w:sz="0" w:space="0" w:color="auto"/>
                <w:right w:val="none" w:sz="0" w:space="0" w:color="auto"/>
              </w:divBdr>
              <w:divsChild>
                <w:div w:id="1178695581">
                  <w:marLeft w:val="0"/>
                  <w:marRight w:val="0"/>
                  <w:marTop w:val="0"/>
                  <w:marBottom w:val="0"/>
                  <w:divBdr>
                    <w:top w:val="none" w:sz="0" w:space="0" w:color="auto"/>
                    <w:left w:val="none" w:sz="0" w:space="0" w:color="auto"/>
                    <w:bottom w:val="none" w:sz="0" w:space="0" w:color="auto"/>
                    <w:right w:val="none" w:sz="0" w:space="0" w:color="auto"/>
                  </w:divBdr>
                </w:div>
              </w:divsChild>
            </w:div>
            <w:div w:id="2146198344">
              <w:marLeft w:val="0"/>
              <w:marRight w:val="0"/>
              <w:marTop w:val="0"/>
              <w:marBottom w:val="0"/>
              <w:divBdr>
                <w:top w:val="none" w:sz="0" w:space="0" w:color="auto"/>
                <w:left w:val="none" w:sz="0" w:space="0" w:color="auto"/>
                <w:bottom w:val="none" w:sz="0" w:space="0" w:color="auto"/>
                <w:right w:val="none" w:sz="0" w:space="0" w:color="auto"/>
              </w:divBdr>
              <w:divsChild>
                <w:div w:id="150028716">
                  <w:marLeft w:val="0"/>
                  <w:marRight w:val="0"/>
                  <w:marTop w:val="0"/>
                  <w:marBottom w:val="0"/>
                  <w:divBdr>
                    <w:top w:val="none" w:sz="0" w:space="0" w:color="auto"/>
                    <w:left w:val="none" w:sz="0" w:space="0" w:color="auto"/>
                    <w:bottom w:val="none" w:sz="0" w:space="0" w:color="auto"/>
                    <w:right w:val="none" w:sz="0" w:space="0" w:color="auto"/>
                  </w:divBdr>
                </w:div>
              </w:divsChild>
            </w:div>
            <w:div w:id="2146727373">
              <w:marLeft w:val="0"/>
              <w:marRight w:val="0"/>
              <w:marTop w:val="300"/>
              <w:marBottom w:val="300"/>
              <w:divBdr>
                <w:top w:val="none" w:sz="0" w:space="0" w:color="auto"/>
                <w:left w:val="none" w:sz="0" w:space="0" w:color="auto"/>
                <w:bottom w:val="none" w:sz="0" w:space="0" w:color="auto"/>
                <w:right w:val="none" w:sz="0" w:space="0" w:color="auto"/>
              </w:divBdr>
            </w:div>
          </w:divsChild>
        </w:div>
        <w:div w:id="736437840">
          <w:marLeft w:val="0"/>
          <w:marRight w:val="0"/>
          <w:marTop w:val="0"/>
          <w:marBottom w:val="0"/>
          <w:divBdr>
            <w:top w:val="none" w:sz="0" w:space="0" w:color="auto"/>
            <w:left w:val="none" w:sz="0" w:space="0" w:color="auto"/>
            <w:bottom w:val="none" w:sz="0" w:space="0" w:color="auto"/>
            <w:right w:val="none" w:sz="0" w:space="0" w:color="auto"/>
          </w:divBdr>
        </w:div>
        <w:div w:id="839084146">
          <w:marLeft w:val="0"/>
          <w:marRight w:val="0"/>
          <w:marTop w:val="0"/>
          <w:marBottom w:val="0"/>
          <w:divBdr>
            <w:top w:val="none" w:sz="0" w:space="0" w:color="auto"/>
            <w:left w:val="none" w:sz="0" w:space="0" w:color="auto"/>
            <w:bottom w:val="none" w:sz="0" w:space="0" w:color="auto"/>
            <w:right w:val="none" w:sz="0" w:space="0" w:color="auto"/>
          </w:divBdr>
        </w:div>
        <w:div w:id="1564683336">
          <w:marLeft w:val="0"/>
          <w:marRight w:val="0"/>
          <w:marTop w:val="0"/>
          <w:marBottom w:val="150"/>
          <w:divBdr>
            <w:top w:val="none" w:sz="0" w:space="0" w:color="auto"/>
            <w:left w:val="none" w:sz="0" w:space="0" w:color="auto"/>
            <w:bottom w:val="none" w:sz="0" w:space="0" w:color="auto"/>
            <w:right w:val="none" w:sz="0" w:space="0" w:color="auto"/>
          </w:divBdr>
        </w:div>
        <w:div w:id="1829512021">
          <w:marLeft w:val="0"/>
          <w:marRight w:val="0"/>
          <w:marTop w:val="0"/>
          <w:marBottom w:val="150"/>
          <w:divBdr>
            <w:top w:val="none" w:sz="0" w:space="0" w:color="auto"/>
            <w:left w:val="none" w:sz="0" w:space="0" w:color="auto"/>
            <w:bottom w:val="none" w:sz="0" w:space="0" w:color="auto"/>
            <w:right w:val="none" w:sz="0" w:space="0" w:color="auto"/>
          </w:divBdr>
        </w:div>
      </w:divsChild>
    </w:div>
    <w:div w:id="1565335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hyperlink" Target="http://relatoria.colombiacompra.gov.co/ficha/C-065%20%20de%202020" TargetMode="External"/><Relationship Id="rId26" Type="http://schemas.openxmlformats.org/officeDocument/2006/relationships/image" Target="media/image17.jpg"/><Relationship Id="rId39" Type="http://schemas.openxmlformats.org/officeDocument/2006/relationships/hyperlink" Target="http://relatoria.colombiacompra.gov.co/ficha/C-190%20de%202020" TargetMode="External"/><Relationship Id="rId21" Type="http://schemas.openxmlformats.org/officeDocument/2006/relationships/image" Target="media/image12.jpg"/><Relationship Id="rId34" Type="http://schemas.openxmlformats.org/officeDocument/2006/relationships/hyperlink" Target="http://relatoria.colombiacompra.gov.co/ficha/C-190%20de%202020" TargetMode="External"/><Relationship Id="rId42" Type="http://schemas.openxmlformats.org/officeDocument/2006/relationships/image" Target="media/image26.jpg"/><Relationship Id="rId47" Type="http://schemas.openxmlformats.org/officeDocument/2006/relationships/image" Target="media/image31.jpg"/><Relationship Id="rId50"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9.jpg"/><Relationship Id="rId29" Type="http://schemas.openxmlformats.org/officeDocument/2006/relationships/image" Target="media/image20.jpg"/><Relationship Id="rId11" Type="http://schemas.openxmlformats.org/officeDocument/2006/relationships/image" Target="media/image4.jpg"/><Relationship Id="rId24" Type="http://schemas.openxmlformats.org/officeDocument/2006/relationships/image" Target="media/image15.jpg"/><Relationship Id="rId32" Type="http://schemas.openxmlformats.org/officeDocument/2006/relationships/image" Target="media/image23.jpg"/><Relationship Id="rId37" Type="http://schemas.openxmlformats.org/officeDocument/2006/relationships/hyperlink" Target="http://relatoria.colombiacompra.gov.co/ficha/C-190%20de%202020" TargetMode="External"/><Relationship Id="rId40" Type="http://schemas.openxmlformats.org/officeDocument/2006/relationships/hyperlink" Target="http://relatoria.colombiacompra.gov.co/ficha/C-190%20de%202020" TargetMode="External"/><Relationship Id="rId45" Type="http://schemas.openxmlformats.org/officeDocument/2006/relationships/image" Target="media/image29.jpg"/><Relationship Id="rId5" Type="http://schemas.openxmlformats.org/officeDocument/2006/relationships/styles" Target="styles.xml"/><Relationship Id="rId15" Type="http://schemas.openxmlformats.org/officeDocument/2006/relationships/image" Target="media/image8.jpg"/><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hyperlink" Target="http://relatoria.colombiacompra.gov.co/ficha/C-190%20de%202020" TargetMode="External"/><Relationship Id="rId49"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0.jpg"/><Relationship Id="rId31" Type="http://schemas.openxmlformats.org/officeDocument/2006/relationships/image" Target="media/image22.jpg"/><Relationship Id="rId44" Type="http://schemas.openxmlformats.org/officeDocument/2006/relationships/image" Target="media/image28.jpg"/><Relationship Id="rId4" Type="http://schemas.openxmlformats.org/officeDocument/2006/relationships/numbering" Target="numbering.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hyperlink" Target="http://relatoria.colombiacompra.gov.co/ficha/C-190%20de%202020" TargetMode="External"/><Relationship Id="rId43" Type="http://schemas.openxmlformats.org/officeDocument/2006/relationships/image" Target="media/image27.jpg"/><Relationship Id="rId48" Type="http://schemas.openxmlformats.org/officeDocument/2006/relationships/image" Target="media/image32.jpg"/><Relationship Id="rId8" Type="http://schemas.openxmlformats.org/officeDocument/2006/relationships/image" Target="media/image1.jpg"/><Relationship Id="rId3" Type="http://schemas.openxmlformats.org/officeDocument/2006/relationships/customXml" Target="../customXml/item3.xml"/><Relationship Id="rId12" Type="http://schemas.openxmlformats.org/officeDocument/2006/relationships/image" Target="media/image5.jpg"/><Relationship Id="rId17" Type="http://schemas.openxmlformats.org/officeDocument/2006/relationships/hyperlink" Target="http://relatoria.colombiacompra.gov.co/ficha/4201912000007614" TargetMode="External"/><Relationship Id="rId25" Type="http://schemas.openxmlformats.org/officeDocument/2006/relationships/image" Target="media/image16.jpg"/><Relationship Id="rId33" Type="http://schemas.openxmlformats.org/officeDocument/2006/relationships/image" Target="media/image24.jpg"/><Relationship Id="rId38" Type="http://schemas.openxmlformats.org/officeDocument/2006/relationships/hyperlink" Target="http://relatoria.colombiacompra.gov.co/ficha/C-190%20de%202020" TargetMode="External"/><Relationship Id="rId46" Type="http://schemas.openxmlformats.org/officeDocument/2006/relationships/image" Target="media/image30.jpg"/><Relationship Id="rId20" Type="http://schemas.openxmlformats.org/officeDocument/2006/relationships/image" Target="media/image11.jpg"/><Relationship Id="rId41" Type="http://schemas.openxmlformats.org/officeDocument/2006/relationships/image" Target="media/image25.jpg"/><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No xmlns="9d85dbaf-23eb-4e57-a637-93dcacc8b1a1" xsi:nil="true"/>
    <TaxCatchAll xmlns="a6cb9e4b-f1d1-4245-83ec-6cad768d538a" xsi:nil="true"/>
    <lcf76f155ced4ddcb4097134ff3c332f xmlns="9d85dbaf-23eb-4e57-a637-93dcacc8b1a1">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F2E0F32964D9B84EA054B84E5D4157A0" ma:contentTypeVersion="16" ma:contentTypeDescription="Crear nuevo documento." ma:contentTypeScope="" ma:versionID="4d0aff64a573d8785e6a72518a5ad9d8">
  <xsd:schema xmlns:xsd="http://www.w3.org/2001/XMLSchema" xmlns:xs="http://www.w3.org/2001/XMLSchema" xmlns:p="http://schemas.microsoft.com/office/2006/metadata/properties" xmlns:ns2="9d85dbaf-23eb-4e57-a637-93dcacc8b1a1" xmlns:ns3="a6cb9e4b-f1d1-4245-83ec-6cad768d538a" targetNamespace="http://schemas.microsoft.com/office/2006/metadata/properties" ma:root="true" ma:fieldsID="f36a2f457a6205ac8ec841d28bbb076c" ns2:_="" ns3:_="">
    <xsd:import namespace="9d85dbaf-23eb-4e57-a637-93dcacc8b1a1"/>
    <xsd:import namespace="a6cb9e4b-f1d1-4245-83ec-6cad768d538a"/>
    <xsd:element name="properties">
      <xsd:complexType>
        <xsd:sequence>
          <xsd:element name="documentManagement">
            <xsd:complexType>
              <xsd:all>
                <xsd:element ref="ns2:MediaServiceMetadata" minOccurs="0"/>
                <xsd:element ref="ns2:MediaServiceFastMetadata" minOccurs="0"/>
                <xsd:element ref="ns2:MediaServiceEventHashCode" minOccurs="0"/>
                <xsd:element ref="ns2:MediaServiceGenerationTime" minOccurs="0"/>
                <xsd:element ref="ns3:SharedWithUsers" minOccurs="0"/>
                <xsd:element ref="ns3:SharedWithDetails" minOccurs="0"/>
                <xsd:element ref="ns2:MediaServiceAutoTags" minOccurs="0"/>
                <xsd:element ref="ns2:MediaServiceOCR" minOccurs="0"/>
                <xsd:element ref="ns2:MediaServiceDateTaken" minOccurs="0"/>
                <xsd:element ref="ns2:MediaServiceAutoKeyPoints" minOccurs="0"/>
                <xsd:element ref="ns2:MediaServiceKeyPoints" minOccurs="0"/>
                <xsd:element ref="ns2:No"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85dbaf-23eb-4e57-a637-93dcacc8b1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No" ma:index="19" nillable="true" ma:displayName="No" ma:format="Dropdown" ma:internalName="No" ma:percentage="FALSE">
      <xsd:simpleType>
        <xsd:restriction base="dms:Number"/>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d11a0eb6-ad86-4071-a759-4f0356bdcc6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6cb9e4b-f1d1-4245-83ec-6cad768d538a"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1105a6f2-09f1-4f7d-bab9-e03f1dc4ac6e}" ma:internalName="TaxCatchAll" ma:showField="CatchAllData" ma:web="a6cb9e4b-f1d1-4245-83ec-6cad768d538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68F95FC-D7F7-4661-85DC-3303C0A86686}">
  <ds:schemaRefs>
    <ds:schemaRef ds:uri="http://schemas.microsoft.com/office/2006/metadata/properties"/>
    <ds:schemaRef ds:uri="http://schemas.microsoft.com/office/infopath/2007/PartnerControls"/>
    <ds:schemaRef ds:uri="9d85dbaf-23eb-4e57-a637-93dcacc8b1a1"/>
    <ds:schemaRef ds:uri="a6cb9e4b-f1d1-4245-83ec-6cad768d538a"/>
  </ds:schemaRefs>
</ds:datastoreItem>
</file>

<file path=customXml/itemProps2.xml><?xml version="1.0" encoding="utf-8"?>
<ds:datastoreItem xmlns:ds="http://schemas.openxmlformats.org/officeDocument/2006/customXml" ds:itemID="{6326F68A-6102-496B-88DA-8A13215EA4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85dbaf-23eb-4e57-a637-93dcacc8b1a1"/>
    <ds:schemaRef ds:uri="a6cb9e4b-f1d1-4245-83ec-6cad768d53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5CAAE42-B79A-47CA-96BB-339511936D0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694</Pages>
  <Words>333352</Words>
  <Characters>1833436</Characters>
  <Application>Microsoft Office Word</Application>
  <DocSecurity>0</DocSecurity>
  <Lines>15278</Lines>
  <Paragraphs>4324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2162464</CharactersWithSpaces>
  <SharedDoc>false</SharedDoc>
  <HLinks>
    <vt:vector size="54" baseType="variant">
      <vt:variant>
        <vt:i4>6750330</vt:i4>
      </vt:variant>
      <vt:variant>
        <vt:i4>24</vt:i4>
      </vt:variant>
      <vt:variant>
        <vt:i4>0</vt:i4>
      </vt:variant>
      <vt:variant>
        <vt:i4>5</vt:i4>
      </vt:variant>
      <vt:variant>
        <vt:lpwstr>http://relatoria.colombiacompra.gov.co/ficha/C-190 de 2020</vt:lpwstr>
      </vt:variant>
      <vt:variant>
        <vt:lpwstr/>
      </vt:variant>
      <vt:variant>
        <vt:i4>6750330</vt:i4>
      </vt:variant>
      <vt:variant>
        <vt:i4>21</vt:i4>
      </vt:variant>
      <vt:variant>
        <vt:i4>0</vt:i4>
      </vt:variant>
      <vt:variant>
        <vt:i4>5</vt:i4>
      </vt:variant>
      <vt:variant>
        <vt:lpwstr>http://relatoria.colombiacompra.gov.co/ficha/C-190 de 2020</vt:lpwstr>
      </vt:variant>
      <vt:variant>
        <vt:lpwstr/>
      </vt:variant>
      <vt:variant>
        <vt:i4>6750330</vt:i4>
      </vt:variant>
      <vt:variant>
        <vt:i4>18</vt:i4>
      </vt:variant>
      <vt:variant>
        <vt:i4>0</vt:i4>
      </vt:variant>
      <vt:variant>
        <vt:i4>5</vt:i4>
      </vt:variant>
      <vt:variant>
        <vt:lpwstr>http://relatoria.colombiacompra.gov.co/ficha/C-190 de 2020</vt:lpwstr>
      </vt:variant>
      <vt:variant>
        <vt:lpwstr/>
      </vt:variant>
      <vt:variant>
        <vt:i4>6750330</vt:i4>
      </vt:variant>
      <vt:variant>
        <vt:i4>15</vt:i4>
      </vt:variant>
      <vt:variant>
        <vt:i4>0</vt:i4>
      </vt:variant>
      <vt:variant>
        <vt:i4>5</vt:i4>
      </vt:variant>
      <vt:variant>
        <vt:lpwstr>http://relatoria.colombiacompra.gov.co/ficha/C-190 de 2020</vt:lpwstr>
      </vt:variant>
      <vt:variant>
        <vt:lpwstr/>
      </vt:variant>
      <vt:variant>
        <vt:i4>6750330</vt:i4>
      </vt:variant>
      <vt:variant>
        <vt:i4>12</vt:i4>
      </vt:variant>
      <vt:variant>
        <vt:i4>0</vt:i4>
      </vt:variant>
      <vt:variant>
        <vt:i4>5</vt:i4>
      </vt:variant>
      <vt:variant>
        <vt:lpwstr>http://relatoria.colombiacompra.gov.co/ficha/C-190 de 2020</vt:lpwstr>
      </vt:variant>
      <vt:variant>
        <vt:lpwstr/>
      </vt:variant>
      <vt:variant>
        <vt:i4>6750330</vt:i4>
      </vt:variant>
      <vt:variant>
        <vt:i4>9</vt:i4>
      </vt:variant>
      <vt:variant>
        <vt:i4>0</vt:i4>
      </vt:variant>
      <vt:variant>
        <vt:i4>5</vt:i4>
      </vt:variant>
      <vt:variant>
        <vt:lpwstr>http://relatoria.colombiacompra.gov.co/ficha/C-190 de 2020</vt:lpwstr>
      </vt:variant>
      <vt:variant>
        <vt:lpwstr/>
      </vt:variant>
      <vt:variant>
        <vt:i4>6750330</vt:i4>
      </vt:variant>
      <vt:variant>
        <vt:i4>6</vt:i4>
      </vt:variant>
      <vt:variant>
        <vt:i4>0</vt:i4>
      </vt:variant>
      <vt:variant>
        <vt:i4>5</vt:i4>
      </vt:variant>
      <vt:variant>
        <vt:lpwstr>http://relatoria.colombiacompra.gov.co/ficha/C-190 de 2020</vt:lpwstr>
      </vt:variant>
      <vt:variant>
        <vt:lpwstr/>
      </vt:variant>
      <vt:variant>
        <vt:i4>6422628</vt:i4>
      </vt:variant>
      <vt:variant>
        <vt:i4>3</vt:i4>
      </vt:variant>
      <vt:variant>
        <vt:i4>0</vt:i4>
      </vt:variant>
      <vt:variant>
        <vt:i4>5</vt:i4>
      </vt:variant>
      <vt:variant>
        <vt:lpwstr>http://relatoria.colombiacompra.gov.co/ficha/C-065  de 2020</vt:lpwstr>
      </vt:variant>
      <vt:variant>
        <vt:lpwstr/>
      </vt:variant>
      <vt:variant>
        <vt:i4>4718623</vt:i4>
      </vt:variant>
      <vt:variant>
        <vt:i4>0</vt:i4>
      </vt:variant>
      <vt:variant>
        <vt:i4>0</vt:i4>
      </vt:variant>
      <vt:variant>
        <vt:i4>5</vt:i4>
      </vt:variant>
      <vt:variant>
        <vt:lpwstr>http://relatoria.colombiacompra.gov.co/ficha/4201912000007614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Mario Castrillón Endo</dc:creator>
  <cp:keywords/>
  <dc:description/>
  <cp:lastModifiedBy>Edwin Johan Chocontá Quintero</cp:lastModifiedBy>
  <cp:revision>2</cp:revision>
  <dcterms:created xsi:type="dcterms:W3CDTF">2022-08-08T14:59:00Z</dcterms:created>
  <dcterms:modified xsi:type="dcterms:W3CDTF">2022-08-08T14:59:00Z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0x010100F2E0F32964D9B84EA054B84E5D4157A0</vt:lpwstr>
  </property>
  <property fmtid="{D5CDD505-2E9C-101B-9397-08002B2CF9AE}" pid="3" name="MediaServiceImageTags">
    <vt:lpwstr/>
  </property>
</Properties>
</file>