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DA70" w14:textId="68DC380D" w:rsidR="009B0BCE" w:rsidRDefault="009B0BCE" w:rsidP="009B0BCE">
      <w:pPr>
        <w:spacing w:after="0" w:line="240" w:lineRule="auto"/>
        <w:ind w:left="1701" w:right="1581"/>
        <w:jc w:val="both"/>
        <w:rPr>
          <w:rFonts w:ascii="Arial" w:eastAsia="Arial" w:hAnsi="Arial" w:cs="Arial"/>
          <w:color w:val="FF0000"/>
          <w:sz w:val="20"/>
          <w:szCs w:val="20"/>
        </w:rPr>
      </w:pPr>
      <w:bookmarkStart w:id="0" w:name="_Hlk48988720"/>
      <w:r w:rsidRPr="00CD3860">
        <w:rPr>
          <w:rFonts w:ascii="Arial" w:eastAsia="Arial" w:hAnsi="Arial" w:cs="Arial"/>
          <w:b/>
          <w:bCs/>
          <w:color w:val="FF0000"/>
          <w:sz w:val="20"/>
          <w:szCs w:val="20"/>
        </w:rPr>
        <w:t>Nota:</w:t>
      </w:r>
      <w:r w:rsidRPr="000B24CB">
        <w:rPr>
          <w:rFonts w:ascii="Arial" w:eastAsia="Arial" w:hAnsi="Arial" w:cs="Arial"/>
          <w:color w:val="FF0000"/>
          <w:sz w:val="20"/>
          <w:szCs w:val="20"/>
        </w:rPr>
        <w:t xml:space="preserve"> </w:t>
      </w:r>
      <w:r>
        <w:rPr>
          <w:rFonts w:ascii="Arial" w:eastAsia="Arial" w:hAnsi="Arial" w:cs="Arial"/>
          <w:color w:val="FF0000"/>
          <w:sz w:val="20"/>
          <w:szCs w:val="20"/>
        </w:rPr>
        <w:t xml:space="preserve">la siguiente norma se trascribe completa, pero de ella </w:t>
      </w:r>
      <w:r w:rsidRPr="00CD3860">
        <w:rPr>
          <w:rFonts w:ascii="Arial" w:eastAsia="Arial" w:hAnsi="Arial" w:cs="Arial"/>
          <w:color w:val="FF0000"/>
          <w:sz w:val="20"/>
          <w:szCs w:val="20"/>
        </w:rPr>
        <w:t>la Agencia Nacional</w:t>
      </w:r>
      <w:r>
        <w:rPr>
          <w:rFonts w:ascii="Arial" w:eastAsia="Arial" w:hAnsi="Arial" w:cs="Arial"/>
          <w:color w:val="FF0000"/>
          <w:sz w:val="20"/>
          <w:szCs w:val="20"/>
        </w:rPr>
        <w:t xml:space="preserve"> </w:t>
      </w:r>
      <w:r w:rsidRPr="00CD3860">
        <w:rPr>
          <w:rFonts w:ascii="Arial" w:eastAsia="Arial" w:hAnsi="Arial" w:cs="Arial"/>
          <w:color w:val="FF0000"/>
          <w:sz w:val="20"/>
          <w:szCs w:val="20"/>
        </w:rPr>
        <w:t>de Contratación Pública </w:t>
      </w:r>
      <w:r>
        <w:rPr>
          <w:rFonts w:ascii="Arial" w:eastAsia="Arial" w:hAnsi="Arial" w:cs="Arial"/>
          <w:color w:val="FF0000"/>
          <w:sz w:val="20"/>
          <w:szCs w:val="20"/>
        </w:rPr>
        <w:t>–</w:t>
      </w:r>
      <w:r w:rsidRPr="00CD3860">
        <w:rPr>
          <w:rFonts w:ascii="Arial" w:eastAsia="Arial" w:hAnsi="Arial" w:cs="Arial"/>
          <w:color w:val="FF0000"/>
          <w:sz w:val="20"/>
          <w:szCs w:val="20"/>
        </w:rPr>
        <w:t>Colombia Compra Eficiente</w:t>
      </w:r>
      <w:r>
        <w:rPr>
          <w:rFonts w:ascii="Arial" w:eastAsia="Arial" w:hAnsi="Arial" w:cs="Arial"/>
          <w:color w:val="FF0000"/>
          <w:sz w:val="20"/>
          <w:szCs w:val="20"/>
        </w:rPr>
        <w:t xml:space="preserve">– solo </w:t>
      </w:r>
      <w:r w:rsidRPr="00CD3860">
        <w:rPr>
          <w:rFonts w:ascii="Arial" w:eastAsia="Arial" w:hAnsi="Arial" w:cs="Arial"/>
          <w:color w:val="FF0000"/>
          <w:sz w:val="20"/>
          <w:szCs w:val="20"/>
        </w:rPr>
        <w:t>ha emitido conceptos</w:t>
      </w:r>
      <w:r>
        <w:rPr>
          <w:rFonts w:ascii="Arial" w:eastAsia="Arial" w:hAnsi="Arial" w:cs="Arial"/>
          <w:color w:val="FF0000"/>
          <w:sz w:val="20"/>
          <w:szCs w:val="20"/>
        </w:rPr>
        <w:t xml:space="preserve"> que interpretan</w:t>
      </w:r>
      <w:r w:rsidRPr="00CD3860">
        <w:rPr>
          <w:rFonts w:ascii="Arial" w:eastAsia="Arial" w:hAnsi="Arial" w:cs="Arial"/>
          <w:color w:val="FF0000"/>
          <w:sz w:val="20"/>
          <w:szCs w:val="20"/>
        </w:rPr>
        <w:t> </w:t>
      </w:r>
      <w:r>
        <w:rPr>
          <w:rFonts w:ascii="Arial" w:eastAsia="Arial" w:hAnsi="Arial" w:cs="Arial"/>
          <w:color w:val="FF0000"/>
          <w:sz w:val="20"/>
          <w:szCs w:val="20"/>
        </w:rPr>
        <w:t>las siguientes disposiciones relacionadas con la contratación estatal: 26.</w:t>
      </w:r>
    </w:p>
    <w:p w14:paraId="4186B20F" w14:textId="77777777" w:rsidR="009B0BCE" w:rsidRDefault="009B0BCE" w:rsidP="009B0BCE">
      <w:pPr>
        <w:spacing w:after="0" w:line="240" w:lineRule="auto"/>
        <w:ind w:left="1701" w:right="1581"/>
        <w:jc w:val="both"/>
        <w:rPr>
          <w:rFonts w:ascii="Arial" w:eastAsia="Arial" w:hAnsi="Arial" w:cs="Arial"/>
          <w:color w:val="FF0000"/>
          <w:sz w:val="20"/>
          <w:szCs w:val="20"/>
        </w:rPr>
      </w:pPr>
    </w:p>
    <w:p w14:paraId="6769CC34" w14:textId="77777777" w:rsidR="009B0BCE" w:rsidRPr="00987585" w:rsidRDefault="009B0BCE" w:rsidP="009B0BCE">
      <w:pPr>
        <w:spacing w:after="0" w:line="240" w:lineRule="auto"/>
        <w:ind w:left="1701" w:right="1581"/>
        <w:jc w:val="both"/>
        <w:rPr>
          <w:rFonts w:ascii="Arial" w:eastAsia="Arial" w:hAnsi="Arial" w:cs="Arial"/>
          <w:color w:val="FF0000"/>
          <w:sz w:val="20"/>
          <w:szCs w:val="20"/>
        </w:rPr>
      </w:pPr>
      <w:r>
        <w:rPr>
          <w:rFonts w:ascii="Arial" w:eastAsia="Arial" w:hAnsi="Arial" w:cs="Arial"/>
          <w:color w:val="FF0000"/>
          <w:sz w:val="20"/>
          <w:szCs w:val="20"/>
        </w:rPr>
        <w:t>Los conceptos se relacionan al pie de cada disposición, y abren dando “clic” en el hipervínculo.</w:t>
      </w:r>
    </w:p>
    <w:bookmarkEnd w:id="0"/>
    <w:p w14:paraId="7A7BA17E" w14:textId="4D39241C" w:rsidR="0049286F" w:rsidRDefault="0049286F" w:rsidP="00A177B6">
      <w:pPr>
        <w:spacing w:after="0" w:line="240" w:lineRule="auto"/>
        <w:jc w:val="center"/>
        <w:rPr>
          <w:rFonts w:ascii="Arial" w:eastAsia="Times New Roman" w:hAnsi="Arial" w:cs="Arial"/>
          <w:b/>
          <w:bCs/>
          <w:lang w:eastAsia="es-CO"/>
        </w:rPr>
      </w:pPr>
    </w:p>
    <w:p w14:paraId="242B35BE" w14:textId="77777777" w:rsidR="00677FD0" w:rsidRDefault="00677FD0" w:rsidP="00A177B6">
      <w:pPr>
        <w:spacing w:after="0" w:line="240" w:lineRule="auto"/>
        <w:jc w:val="center"/>
        <w:rPr>
          <w:rFonts w:ascii="Arial" w:eastAsia="Times New Roman" w:hAnsi="Arial" w:cs="Arial"/>
          <w:b/>
          <w:bCs/>
          <w:lang w:eastAsia="es-CO"/>
        </w:rPr>
      </w:pPr>
    </w:p>
    <w:p w14:paraId="0E007645" w14:textId="28B97F42" w:rsidR="00366D2B" w:rsidRPr="00B22E12" w:rsidRDefault="00366D2B" w:rsidP="00A177B6">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LEY 1393 DE 2010</w:t>
      </w:r>
    </w:p>
    <w:p w14:paraId="0DABF8FD" w14:textId="77777777" w:rsidR="00677FD0" w:rsidRPr="00B22E12" w:rsidRDefault="00677FD0" w:rsidP="00A177B6">
      <w:pPr>
        <w:spacing w:after="0" w:line="240" w:lineRule="auto"/>
        <w:jc w:val="center"/>
        <w:rPr>
          <w:rFonts w:ascii="Arial" w:eastAsia="Times New Roman" w:hAnsi="Arial" w:cs="Arial"/>
          <w:b/>
          <w:bCs/>
          <w:lang w:eastAsia="es-CO"/>
        </w:rPr>
      </w:pPr>
    </w:p>
    <w:p w14:paraId="2301812D" w14:textId="030B805E" w:rsidR="00366D2B" w:rsidRPr="00B22E12" w:rsidRDefault="00366D2B" w:rsidP="00A177B6">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Por la cual se definen rentas de destinación específica para la salud, se adoptan medidas para promover actividades generadoras de recursos para la salud, para evitar la evasión y la elusión de aportes a la salud, se redireccionan recursos al interior del sistema de salud y se dictan otras disposiciones.</w:t>
      </w:r>
    </w:p>
    <w:p w14:paraId="6B483C49" w14:textId="77777777" w:rsidR="00B07D28" w:rsidRPr="00B22E12" w:rsidRDefault="00B07D28" w:rsidP="00A177B6">
      <w:pPr>
        <w:spacing w:after="0" w:line="240" w:lineRule="auto"/>
        <w:jc w:val="center"/>
        <w:rPr>
          <w:rFonts w:ascii="Arial" w:eastAsia="Times New Roman" w:hAnsi="Arial" w:cs="Arial"/>
          <w:b/>
          <w:bCs/>
          <w:lang w:eastAsia="es-CO"/>
        </w:rPr>
      </w:pPr>
    </w:p>
    <w:p w14:paraId="3420F7A8" w14:textId="4FB8DA67" w:rsidR="00366D2B" w:rsidRPr="00B22E12" w:rsidRDefault="00B07D28" w:rsidP="00A177B6">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EL CONGRESO DE COLOMBIA,</w:t>
      </w:r>
    </w:p>
    <w:p w14:paraId="544D2061" w14:textId="77777777" w:rsidR="004720E6" w:rsidRPr="00B22E12" w:rsidRDefault="004720E6" w:rsidP="00A177B6">
      <w:pPr>
        <w:spacing w:after="0" w:line="240" w:lineRule="auto"/>
        <w:jc w:val="center"/>
        <w:rPr>
          <w:rFonts w:ascii="Arial" w:eastAsia="Times New Roman" w:hAnsi="Arial" w:cs="Arial"/>
          <w:b/>
          <w:bCs/>
          <w:lang w:eastAsia="es-CO"/>
        </w:rPr>
      </w:pPr>
    </w:p>
    <w:p w14:paraId="6FC9C70A" w14:textId="197BA8A7" w:rsidR="00366D2B" w:rsidRPr="00B22E12" w:rsidRDefault="00366D2B" w:rsidP="00A177B6">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DECRETA:</w:t>
      </w:r>
    </w:p>
    <w:p w14:paraId="3801BE9F" w14:textId="77777777" w:rsidR="00677FD0" w:rsidRPr="00B22E12" w:rsidRDefault="00677FD0" w:rsidP="00A177B6">
      <w:pPr>
        <w:spacing w:after="0" w:line="240" w:lineRule="auto"/>
        <w:jc w:val="center"/>
        <w:rPr>
          <w:rFonts w:ascii="Arial" w:eastAsia="Times New Roman" w:hAnsi="Arial" w:cs="Arial"/>
          <w:b/>
          <w:bCs/>
          <w:lang w:eastAsia="es-CO"/>
        </w:rPr>
      </w:pPr>
    </w:p>
    <w:p w14:paraId="2AE5B0C3" w14:textId="50ACFEAE" w:rsidR="00366D2B" w:rsidRPr="00B22E12" w:rsidRDefault="00366D2B" w:rsidP="00A177B6">
      <w:pPr>
        <w:spacing w:after="0" w:line="240" w:lineRule="auto"/>
        <w:jc w:val="center"/>
        <w:rPr>
          <w:rFonts w:ascii="Arial" w:eastAsia="Times New Roman" w:hAnsi="Arial" w:cs="Arial"/>
          <w:b/>
          <w:bCs/>
          <w:lang w:eastAsia="es-CO"/>
        </w:rPr>
      </w:pPr>
      <w:bookmarkStart w:id="1" w:name="CAPÍTULO_I"/>
      <w:r w:rsidRPr="00B22E12">
        <w:rPr>
          <w:rFonts w:ascii="Arial" w:eastAsia="Times New Roman" w:hAnsi="Arial" w:cs="Arial"/>
          <w:b/>
          <w:bCs/>
          <w:lang w:eastAsia="es-CO"/>
        </w:rPr>
        <w:t>CAPÍTULO I</w:t>
      </w:r>
      <w:bookmarkEnd w:id="1"/>
    </w:p>
    <w:p w14:paraId="48BAF27F" w14:textId="651DFE81" w:rsidR="00366D2B" w:rsidRPr="00B22E12" w:rsidRDefault="00366D2B" w:rsidP="00A177B6">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RECURSOS TRIBUTARIOS</w:t>
      </w:r>
    </w:p>
    <w:p w14:paraId="09AA5FEA" w14:textId="77777777" w:rsidR="002B58EB" w:rsidRPr="00B22E12" w:rsidRDefault="002B58EB" w:rsidP="002B58EB">
      <w:pPr>
        <w:spacing w:after="0" w:line="240" w:lineRule="auto"/>
        <w:jc w:val="center"/>
        <w:rPr>
          <w:rFonts w:ascii="Arial" w:eastAsia="Times New Roman" w:hAnsi="Arial" w:cs="Arial"/>
          <w:b/>
          <w:bCs/>
          <w:lang w:eastAsia="es-CO"/>
        </w:rPr>
      </w:pPr>
    </w:p>
    <w:p w14:paraId="46F5BAD1" w14:textId="5599CBE2" w:rsidR="00366D2B" w:rsidRPr="00B22E12" w:rsidRDefault="00366D2B" w:rsidP="002B58EB">
      <w:pPr>
        <w:spacing w:after="0" w:line="240" w:lineRule="auto"/>
        <w:jc w:val="both"/>
        <w:rPr>
          <w:rFonts w:ascii="Arial" w:eastAsia="Times New Roman" w:hAnsi="Arial" w:cs="Arial"/>
          <w:lang w:eastAsia="es-CO"/>
        </w:rPr>
      </w:pPr>
      <w:bookmarkStart w:id="2" w:name="1"/>
      <w:r w:rsidRPr="00B22E12">
        <w:rPr>
          <w:rFonts w:ascii="Arial" w:eastAsia="Times New Roman" w:hAnsi="Arial" w:cs="Arial"/>
          <w:lang w:eastAsia="es-CO"/>
        </w:rPr>
        <w:t>ARTÍCULO 1o.</w:t>
      </w:r>
      <w:bookmarkEnd w:id="2"/>
      <w:r w:rsidRPr="00B22E12">
        <w:rPr>
          <w:rFonts w:ascii="Arial" w:eastAsia="Times New Roman" w:hAnsi="Arial" w:cs="Arial"/>
          <w:lang w:eastAsia="es-CO"/>
        </w:rPr>
        <w:t> Modifícase el parágrafo del artículo </w:t>
      </w:r>
      <w:hyperlink r:id="rId8" w:anchor="190" w:history="1">
        <w:r w:rsidRPr="00B22E12">
          <w:rPr>
            <w:rFonts w:ascii="Arial" w:eastAsia="Times New Roman" w:hAnsi="Arial" w:cs="Arial"/>
            <w:lang w:eastAsia="es-CO"/>
          </w:rPr>
          <w:t>190</w:t>
        </w:r>
      </w:hyperlink>
      <w:r w:rsidRPr="00B22E12">
        <w:rPr>
          <w:rFonts w:ascii="Arial" w:eastAsia="Times New Roman" w:hAnsi="Arial" w:cs="Arial"/>
          <w:lang w:eastAsia="es-CO"/>
        </w:rPr>
        <w:t> de la Ley 223 de 1995 el cual queda así:</w:t>
      </w:r>
    </w:p>
    <w:p w14:paraId="082F85DB" w14:textId="77777777" w:rsidR="002B58EB" w:rsidRPr="00B22E12" w:rsidRDefault="002B58EB" w:rsidP="002B58EB">
      <w:pPr>
        <w:spacing w:after="0" w:line="240" w:lineRule="auto"/>
        <w:jc w:val="both"/>
        <w:rPr>
          <w:rFonts w:ascii="Arial" w:eastAsia="Times New Roman" w:hAnsi="Arial" w:cs="Arial"/>
          <w:lang w:eastAsia="es-CO"/>
        </w:rPr>
      </w:pPr>
    </w:p>
    <w:p w14:paraId="5C0CC51B" w14:textId="78FC2EA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De la tarifa del 48% aplicable a las cervezas y sifones, ocho (8) puntos porcentuales se destinarán a financiar la universalización en el aseguramiento, la unificación de los planes obligatorios de salud de los regímenes contributivo y subsidiado, los servicios prestados a la población pobre en lo no cubierto por subsidios a la demanda y a la población vinculada que se atienda a través de la red hospitalaria pública, de acuerdo con las condiciones y prioridades que para tal efecto defina la entidad territorial.</w:t>
      </w:r>
    </w:p>
    <w:p w14:paraId="7D96CAF4" w14:textId="77777777" w:rsidR="002B58EB" w:rsidRPr="00B22E12" w:rsidRDefault="002B58EB" w:rsidP="002B58EB">
      <w:pPr>
        <w:spacing w:after="0" w:line="240" w:lineRule="auto"/>
        <w:jc w:val="both"/>
        <w:rPr>
          <w:rFonts w:ascii="Arial" w:eastAsia="Times New Roman" w:hAnsi="Arial" w:cs="Arial"/>
          <w:lang w:eastAsia="es-CO"/>
        </w:rPr>
      </w:pPr>
    </w:p>
    <w:p w14:paraId="70F28D33"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Los productores nacionales y el Fondo Cuenta de Impuestos al consumo de Productos Extranjeros girarán directamente a los Fondos o Direcciones Seccionales de Salud y al Fondo Distrital de Salud, según el caso, el porcentaje mencionado dentro de los quince (15) días calendario siguientes al vencimiento de cada periodo gravable”.</w:t>
      </w:r>
    </w:p>
    <w:p w14:paraId="1D9F16AC" w14:textId="77777777" w:rsidR="00B22E12" w:rsidRPr="00B22E12" w:rsidRDefault="00B22E12" w:rsidP="002B58EB">
      <w:pPr>
        <w:spacing w:after="0" w:line="240" w:lineRule="auto"/>
        <w:jc w:val="both"/>
        <w:rPr>
          <w:rFonts w:ascii="Arial" w:hAnsi="Arial" w:cs="Arial"/>
        </w:rPr>
      </w:pPr>
      <w:bookmarkStart w:id="3" w:name="2"/>
    </w:p>
    <w:p w14:paraId="7270C45F" w14:textId="1A50822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2o.</w:t>
      </w:r>
      <w:bookmarkEnd w:id="3"/>
      <w:r w:rsidRPr="00B22E12">
        <w:rPr>
          <w:rFonts w:ascii="Arial" w:eastAsia="Times New Roman" w:hAnsi="Arial" w:cs="Arial"/>
          <w:lang w:eastAsia="es-CO"/>
        </w:rPr>
        <w:t> </w:t>
      </w:r>
      <w:proofErr w:type="spellStart"/>
      <w:r w:rsidRPr="00B22E12">
        <w:rPr>
          <w:rFonts w:ascii="Arial" w:eastAsia="Times New Roman" w:hAnsi="Arial" w:cs="Arial"/>
          <w:lang w:eastAsia="es-CO"/>
        </w:rPr>
        <w:t>Modifícase</w:t>
      </w:r>
      <w:proofErr w:type="spellEnd"/>
      <w:r w:rsidRPr="00B22E12">
        <w:rPr>
          <w:rFonts w:ascii="Arial" w:eastAsia="Times New Roman" w:hAnsi="Arial" w:cs="Arial"/>
          <w:lang w:eastAsia="es-CO"/>
        </w:rPr>
        <w:t xml:space="preserve"> el artículo </w:t>
      </w:r>
      <w:hyperlink r:id="rId9" w:anchor="475" w:history="1">
        <w:r w:rsidRPr="00B22E12">
          <w:rPr>
            <w:rFonts w:ascii="Arial" w:eastAsia="Times New Roman" w:hAnsi="Arial" w:cs="Arial"/>
            <w:lang w:eastAsia="es-CO"/>
          </w:rPr>
          <w:t>475</w:t>
        </w:r>
      </w:hyperlink>
      <w:r w:rsidRPr="00B22E12">
        <w:rPr>
          <w:rFonts w:ascii="Arial" w:eastAsia="Times New Roman" w:hAnsi="Arial" w:cs="Arial"/>
          <w:lang w:eastAsia="es-CO"/>
        </w:rPr>
        <w:t> del Estatuto Tributario el cual queda así:</w:t>
      </w:r>
    </w:p>
    <w:p w14:paraId="07CE53D7" w14:textId="77777777" w:rsidR="002B58EB" w:rsidRPr="00B22E12" w:rsidRDefault="002B58EB" w:rsidP="002B58EB">
      <w:pPr>
        <w:spacing w:after="0" w:line="240" w:lineRule="auto"/>
        <w:jc w:val="both"/>
        <w:rPr>
          <w:rFonts w:ascii="Arial" w:eastAsia="Times New Roman" w:hAnsi="Arial" w:cs="Arial"/>
          <w:lang w:eastAsia="es-CO"/>
        </w:rPr>
      </w:pPr>
    </w:p>
    <w:p w14:paraId="6B2A69BE" w14:textId="4BACB51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10" w:anchor="475" w:history="1">
        <w:r w:rsidRPr="00B22E12">
          <w:rPr>
            <w:rFonts w:ascii="Arial" w:eastAsia="Times New Roman" w:hAnsi="Arial" w:cs="Arial"/>
            <w:lang w:eastAsia="es-CO"/>
          </w:rPr>
          <w:t>475</w:t>
        </w:r>
      </w:hyperlink>
      <w:r w:rsidRPr="00B22E12">
        <w:rPr>
          <w:rFonts w:ascii="Arial" w:eastAsia="Times New Roman" w:hAnsi="Arial" w:cs="Arial"/>
          <w:lang w:eastAsia="es-CO"/>
        </w:rPr>
        <w:t>. Tarifa para las Cervezas. A partir de la vigencia de la presente ley y hasta el 31 de diciembre de 2010, la tarifa del impuesto sobre las ventas para las cervezas de producción nacional y para las importadas será del 14%. A partir del 1o de enero de 2011 se aplicará la tarifa general prevista en este Estatuto. El impuesto será liquidado por los productores en el formulario de declaración bimestral de IVA, establecido por la Dirección de Impuestos y Aduanas Nacionales.</w:t>
      </w:r>
    </w:p>
    <w:p w14:paraId="3BAD1DB6" w14:textId="77777777" w:rsidR="002B58EB" w:rsidRPr="00B22E12" w:rsidRDefault="002B58EB" w:rsidP="002B58EB">
      <w:pPr>
        <w:spacing w:after="0" w:line="240" w:lineRule="auto"/>
        <w:jc w:val="both"/>
        <w:rPr>
          <w:rFonts w:ascii="Arial" w:eastAsia="Times New Roman" w:hAnsi="Arial" w:cs="Arial"/>
          <w:lang w:eastAsia="es-CO"/>
        </w:rPr>
      </w:pPr>
    </w:p>
    <w:p w14:paraId="55279A54" w14:textId="7B59927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impuesto generado dará derecho a impuestos descontables en los términos del artículo </w:t>
      </w:r>
      <w:hyperlink r:id="rId11" w:anchor="485" w:history="1">
        <w:r w:rsidRPr="00B22E12">
          <w:rPr>
            <w:rFonts w:ascii="Arial" w:eastAsia="Times New Roman" w:hAnsi="Arial" w:cs="Arial"/>
            <w:lang w:eastAsia="es-CO"/>
          </w:rPr>
          <w:t>485</w:t>
        </w:r>
      </w:hyperlink>
      <w:r w:rsidRPr="00B22E12">
        <w:rPr>
          <w:rFonts w:ascii="Arial" w:eastAsia="Times New Roman" w:hAnsi="Arial" w:cs="Arial"/>
          <w:lang w:eastAsia="es-CO"/>
        </w:rPr>
        <w:t>.</w:t>
      </w:r>
    </w:p>
    <w:p w14:paraId="36553779" w14:textId="77777777" w:rsidR="002B58EB" w:rsidRPr="00B22E12" w:rsidRDefault="002B58EB" w:rsidP="002B58EB">
      <w:pPr>
        <w:spacing w:after="0" w:line="240" w:lineRule="auto"/>
        <w:jc w:val="both"/>
        <w:rPr>
          <w:rFonts w:ascii="Arial" w:eastAsia="Times New Roman" w:hAnsi="Arial" w:cs="Arial"/>
          <w:lang w:eastAsia="es-CO"/>
        </w:rPr>
      </w:pPr>
    </w:p>
    <w:p w14:paraId="6B586F8A" w14:textId="7E3DFF2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Los importadores de cervezas declararán y pagarán el impuesto en el formulario de la declaración de importación que prescriba la Dirección de Impuestos y Aduanas Nacionales junto con los demás tributos aduaneros.</w:t>
      </w:r>
    </w:p>
    <w:p w14:paraId="2B73B34C" w14:textId="77777777" w:rsidR="002B58EB" w:rsidRPr="00B22E12" w:rsidRDefault="002B58EB" w:rsidP="002B58EB">
      <w:pPr>
        <w:spacing w:after="0" w:line="240" w:lineRule="auto"/>
        <w:jc w:val="both"/>
        <w:rPr>
          <w:rFonts w:ascii="Arial" w:eastAsia="Times New Roman" w:hAnsi="Arial" w:cs="Arial"/>
          <w:lang w:eastAsia="es-CO"/>
        </w:rPr>
      </w:pPr>
    </w:p>
    <w:p w14:paraId="3ABBF7F8" w14:textId="10B242F4"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Para la liquidación del impuesto se aplicará la base gravable establecida en el artículo </w:t>
      </w:r>
      <w:hyperlink r:id="rId12" w:anchor="189" w:history="1">
        <w:r w:rsidRPr="00B22E12">
          <w:rPr>
            <w:rFonts w:ascii="Arial" w:eastAsia="Times New Roman" w:hAnsi="Arial" w:cs="Arial"/>
            <w:lang w:eastAsia="es-CO"/>
          </w:rPr>
          <w:t>189</w:t>
        </w:r>
      </w:hyperlink>
      <w:r w:rsidRPr="00B22E12">
        <w:rPr>
          <w:rFonts w:ascii="Arial" w:eastAsia="Times New Roman" w:hAnsi="Arial" w:cs="Arial"/>
          <w:lang w:eastAsia="es-CO"/>
        </w:rPr>
        <w:t> de la Ley 223 de 1995.</w:t>
      </w:r>
    </w:p>
    <w:p w14:paraId="21BF440A" w14:textId="77777777" w:rsidR="002B58EB" w:rsidRPr="00B22E12" w:rsidRDefault="002B58EB" w:rsidP="002B58EB">
      <w:pPr>
        <w:spacing w:after="0" w:line="240" w:lineRule="auto"/>
        <w:jc w:val="both"/>
        <w:rPr>
          <w:rFonts w:ascii="Arial" w:eastAsia="Times New Roman" w:hAnsi="Arial" w:cs="Arial"/>
          <w:lang w:eastAsia="es-CO"/>
        </w:rPr>
      </w:pPr>
    </w:p>
    <w:p w14:paraId="5824C23A"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Se exceptúa del impuesto a que se refiere este artículo el Departamento de San Andrés, Providencia y Santa Catalina”</w:t>
      </w:r>
    </w:p>
    <w:p w14:paraId="6ABE7D69" w14:textId="77777777" w:rsidR="00B22E12" w:rsidRPr="00B22E12" w:rsidRDefault="00B22E12" w:rsidP="002B58EB">
      <w:pPr>
        <w:spacing w:after="0" w:line="240" w:lineRule="auto"/>
        <w:jc w:val="both"/>
        <w:rPr>
          <w:rFonts w:ascii="Arial" w:hAnsi="Arial" w:cs="Arial"/>
        </w:rPr>
      </w:pPr>
      <w:bookmarkStart w:id="4" w:name="3"/>
    </w:p>
    <w:p w14:paraId="3F101CB7" w14:textId="75FFA08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3o.</w:t>
      </w:r>
      <w:bookmarkEnd w:id="4"/>
      <w:r w:rsidRPr="00B22E12">
        <w:rPr>
          <w:rFonts w:ascii="Arial" w:eastAsia="Times New Roman" w:hAnsi="Arial" w:cs="Arial"/>
          <w:lang w:eastAsia="es-CO"/>
        </w:rPr>
        <w:t> </w:t>
      </w:r>
      <w:proofErr w:type="spellStart"/>
      <w:r w:rsidRPr="00B22E12">
        <w:rPr>
          <w:rFonts w:ascii="Arial" w:eastAsia="Times New Roman" w:hAnsi="Arial" w:cs="Arial"/>
          <w:lang w:eastAsia="es-CO"/>
        </w:rPr>
        <w:t>Modifícase</w:t>
      </w:r>
      <w:proofErr w:type="spellEnd"/>
      <w:r w:rsidRPr="00B22E12">
        <w:rPr>
          <w:rFonts w:ascii="Arial" w:eastAsia="Times New Roman" w:hAnsi="Arial" w:cs="Arial"/>
          <w:lang w:eastAsia="es-CO"/>
        </w:rPr>
        <w:t xml:space="preserve"> el inciso 4o del literal d) del artículo </w:t>
      </w:r>
      <w:hyperlink r:id="rId13" w:anchor="420" w:history="1">
        <w:r w:rsidRPr="00B22E12">
          <w:rPr>
            <w:rFonts w:ascii="Arial" w:eastAsia="Times New Roman" w:hAnsi="Arial" w:cs="Arial"/>
            <w:lang w:eastAsia="es-CO"/>
          </w:rPr>
          <w:t>420</w:t>
        </w:r>
      </w:hyperlink>
      <w:r w:rsidRPr="00B22E12">
        <w:rPr>
          <w:rFonts w:ascii="Arial" w:eastAsia="Times New Roman" w:hAnsi="Arial" w:cs="Arial"/>
          <w:lang w:eastAsia="es-CO"/>
        </w:rPr>
        <w:t> del Estatuto Tributario, el cual queda así:</w:t>
      </w:r>
    </w:p>
    <w:p w14:paraId="06B7A235" w14:textId="77777777" w:rsidR="002B58EB" w:rsidRPr="00B22E12" w:rsidRDefault="002B58EB" w:rsidP="002B58EB">
      <w:pPr>
        <w:spacing w:after="0" w:line="240" w:lineRule="auto"/>
        <w:jc w:val="both"/>
        <w:rPr>
          <w:rFonts w:ascii="Arial" w:eastAsia="Times New Roman" w:hAnsi="Arial" w:cs="Arial"/>
          <w:lang w:eastAsia="es-CO"/>
        </w:rPr>
      </w:pPr>
    </w:p>
    <w:p w14:paraId="682A7730"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“En los juegos de suerte y azar se aplicará la tarifa general prevista en este Estatuto”.</w:t>
      </w:r>
    </w:p>
    <w:p w14:paraId="0439C421" w14:textId="77777777" w:rsidR="00B22E12" w:rsidRPr="00B22E12" w:rsidRDefault="00B22E12" w:rsidP="002B58EB">
      <w:pPr>
        <w:spacing w:after="0" w:line="240" w:lineRule="auto"/>
        <w:jc w:val="both"/>
        <w:rPr>
          <w:rFonts w:ascii="Arial" w:hAnsi="Arial" w:cs="Arial"/>
        </w:rPr>
      </w:pPr>
      <w:bookmarkStart w:id="5" w:name="4"/>
    </w:p>
    <w:p w14:paraId="5A9DBC26" w14:textId="12F2B5E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4o.</w:t>
      </w:r>
      <w:bookmarkEnd w:id="5"/>
      <w:r w:rsidRPr="00B22E12">
        <w:rPr>
          <w:rFonts w:ascii="Arial" w:eastAsia="Times New Roman" w:hAnsi="Arial" w:cs="Arial"/>
          <w:lang w:eastAsia="es-CO"/>
        </w:rPr>
        <w:t> Los ingresos adicionales recaudados durante el año 2010, por efecto del aumento de la tarifa del impuesto sobre las ventas, aplicable a la cerveza y a los juegos de suerte y azar, a que se refiere la presente ley, se destinarán por la Nación a la unificación de los planes obligatorios de salud de los regímenes contributivo y subsidiado.</w:t>
      </w:r>
    </w:p>
    <w:p w14:paraId="4973E6B0" w14:textId="77777777" w:rsidR="002B58EB" w:rsidRPr="00B22E12" w:rsidRDefault="002B58EB" w:rsidP="002B58EB">
      <w:pPr>
        <w:spacing w:after="0" w:line="240" w:lineRule="auto"/>
        <w:jc w:val="both"/>
        <w:rPr>
          <w:rFonts w:ascii="Arial" w:eastAsia="Times New Roman" w:hAnsi="Arial" w:cs="Arial"/>
          <w:lang w:eastAsia="es-CO"/>
        </w:rPr>
      </w:pPr>
    </w:p>
    <w:p w14:paraId="7047E461" w14:textId="3624ACC0"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 partir del 1o de enero del año 2011 la totalidad de los ingresos recaudados por concepto del impuesto sobre las ventas a la cerveza y a los juegos de suerte y azar tendrán la misma destinación. Para dicho efecto, en ambos casos, no aplicará lo dispuesto en el artículo </w:t>
      </w:r>
      <w:hyperlink r:id="rId14" w:anchor="7" w:history="1">
        <w:r w:rsidRPr="00B22E12">
          <w:rPr>
            <w:rFonts w:ascii="Arial" w:eastAsia="Times New Roman" w:hAnsi="Arial" w:cs="Arial"/>
            <w:u w:val="single"/>
            <w:lang w:eastAsia="es-CO"/>
          </w:rPr>
          <w:t>7</w:t>
        </w:r>
      </w:hyperlink>
      <w:r w:rsidRPr="00B22E12">
        <w:rPr>
          <w:rFonts w:ascii="Arial" w:eastAsia="Times New Roman" w:hAnsi="Arial" w:cs="Arial"/>
          <w:lang w:eastAsia="es-CO"/>
        </w:rPr>
        <w:t>o de la Ley 225 de 1995.</w:t>
      </w:r>
    </w:p>
    <w:p w14:paraId="38041047" w14:textId="77777777" w:rsidR="002B58EB" w:rsidRPr="00B22E12" w:rsidRDefault="002B58EB" w:rsidP="002B58EB">
      <w:pPr>
        <w:spacing w:after="0" w:line="240" w:lineRule="auto"/>
        <w:jc w:val="both"/>
        <w:rPr>
          <w:rFonts w:ascii="Arial" w:eastAsia="Times New Roman" w:hAnsi="Arial" w:cs="Arial"/>
          <w:lang w:eastAsia="es-CO"/>
        </w:rPr>
      </w:pPr>
    </w:p>
    <w:p w14:paraId="111150A2" w14:textId="5D6D5AE4"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Artículo derogado</w:t>
      </w:r>
      <w:r w:rsidR="00B07D28" w:rsidRPr="00B22E12">
        <w:rPr>
          <w:rFonts w:ascii="Arial" w:eastAsia="Times New Roman" w:hAnsi="Arial" w:cs="Arial"/>
          <w:lang w:eastAsia="es-CO"/>
        </w:rPr>
        <w:t>.</w:t>
      </w:r>
    </w:p>
    <w:p w14:paraId="0659F6DE" w14:textId="77777777" w:rsidR="00B22E12" w:rsidRPr="00B22E12" w:rsidRDefault="00B22E12" w:rsidP="002B58EB">
      <w:pPr>
        <w:spacing w:after="0" w:line="240" w:lineRule="auto"/>
        <w:jc w:val="both"/>
        <w:rPr>
          <w:rFonts w:ascii="Arial" w:hAnsi="Arial" w:cs="Arial"/>
        </w:rPr>
      </w:pPr>
      <w:bookmarkStart w:id="6" w:name="5"/>
    </w:p>
    <w:p w14:paraId="36096110" w14:textId="3720F4B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5o.</w:t>
      </w:r>
      <w:bookmarkEnd w:id="6"/>
      <w:r w:rsidRPr="00B22E12">
        <w:rPr>
          <w:rFonts w:ascii="Arial" w:eastAsia="Times New Roman" w:hAnsi="Arial" w:cs="Arial"/>
          <w:lang w:eastAsia="es-CO"/>
        </w:rPr>
        <w:t> </w:t>
      </w:r>
      <w:proofErr w:type="spellStart"/>
      <w:r w:rsidRPr="00B22E12">
        <w:rPr>
          <w:rFonts w:ascii="Arial" w:eastAsia="Times New Roman" w:hAnsi="Arial" w:cs="Arial"/>
          <w:lang w:eastAsia="es-CO"/>
        </w:rPr>
        <w:t>Modifícase</w:t>
      </w:r>
      <w:proofErr w:type="spellEnd"/>
      <w:r w:rsidRPr="00B22E12">
        <w:rPr>
          <w:rFonts w:ascii="Arial" w:eastAsia="Times New Roman" w:hAnsi="Arial" w:cs="Arial"/>
          <w:lang w:eastAsia="es-CO"/>
        </w:rPr>
        <w:t xml:space="preserve"> el artículo </w:t>
      </w:r>
      <w:hyperlink r:id="rId15" w:anchor="211" w:history="1">
        <w:r w:rsidRPr="00B22E12">
          <w:rPr>
            <w:rFonts w:ascii="Arial" w:eastAsia="Times New Roman" w:hAnsi="Arial" w:cs="Arial"/>
            <w:lang w:eastAsia="es-CO"/>
          </w:rPr>
          <w:t>211</w:t>
        </w:r>
      </w:hyperlink>
      <w:r w:rsidRPr="00B22E12">
        <w:rPr>
          <w:rFonts w:ascii="Arial" w:eastAsia="Times New Roman" w:hAnsi="Arial" w:cs="Arial"/>
          <w:lang w:eastAsia="es-CO"/>
        </w:rPr>
        <w:t> de la Ley 223 de 1995, modificado por el artículo </w:t>
      </w:r>
      <w:hyperlink r:id="rId16" w:anchor="76" w:history="1">
        <w:r w:rsidRPr="00B22E12">
          <w:rPr>
            <w:rFonts w:ascii="Arial" w:eastAsia="Times New Roman" w:hAnsi="Arial" w:cs="Arial"/>
            <w:lang w:eastAsia="es-CO"/>
          </w:rPr>
          <w:t>76</w:t>
        </w:r>
      </w:hyperlink>
      <w:r w:rsidRPr="00B22E12">
        <w:rPr>
          <w:rFonts w:ascii="Arial" w:eastAsia="Times New Roman" w:hAnsi="Arial" w:cs="Arial"/>
          <w:lang w:eastAsia="es-CO"/>
        </w:rPr>
        <w:t> de la Ley 1111 de 2006, el cual queda así:</w:t>
      </w:r>
    </w:p>
    <w:p w14:paraId="7E8CA897" w14:textId="77777777" w:rsidR="002B58EB" w:rsidRPr="00B22E12" w:rsidRDefault="002B58EB" w:rsidP="002B58EB">
      <w:pPr>
        <w:spacing w:after="0" w:line="240" w:lineRule="auto"/>
        <w:jc w:val="both"/>
        <w:rPr>
          <w:rFonts w:ascii="Arial" w:eastAsia="Times New Roman" w:hAnsi="Arial" w:cs="Arial"/>
          <w:lang w:eastAsia="es-CO"/>
        </w:rPr>
      </w:pPr>
    </w:p>
    <w:p w14:paraId="20DD778F" w14:textId="53769C0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17" w:anchor="211" w:history="1">
        <w:r w:rsidRPr="00B22E12">
          <w:rPr>
            <w:rFonts w:ascii="Arial" w:eastAsia="Times New Roman" w:hAnsi="Arial" w:cs="Arial"/>
            <w:lang w:eastAsia="es-CO"/>
          </w:rPr>
          <w:t>211</w:t>
        </w:r>
      </w:hyperlink>
      <w:r w:rsidRPr="00B22E12">
        <w:rPr>
          <w:rFonts w:ascii="Arial" w:eastAsia="Times New Roman" w:hAnsi="Arial" w:cs="Arial"/>
          <w:lang w:eastAsia="es-CO"/>
        </w:rPr>
        <w:t>. Tarifas del impuesto al consumo de cigarrillos y tabaco elaborado. Las tarifas del impuesto al consumo de cigarrillos y tabaco elaborado serán las siguientes:</w:t>
      </w:r>
    </w:p>
    <w:p w14:paraId="084BB32D" w14:textId="77777777" w:rsidR="002B58EB" w:rsidRPr="00B22E12" w:rsidRDefault="002B58EB" w:rsidP="002B58EB">
      <w:pPr>
        <w:spacing w:after="0" w:line="240" w:lineRule="auto"/>
        <w:jc w:val="both"/>
        <w:rPr>
          <w:rFonts w:ascii="Arial" w:eastAsia="Times New Roman" w:hAnsi="Arial" w:cs="Arial"/>
          <w:lang w:eastAsia="es-CO"/>
        </w:rPr>
      </w:pPr>
    </w:p>
    <w:p w14:paraId="6B406D22" w14:textId="5B256C8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1. Para los cigarrillos, tabacos, cigarros y cigarritos, quinientos setenta pesos ($570.00) por cada cajetilla de veinte (20) unidades o proporcionalmente a su contenido.</w:t>
      </w:r>
    </w:p>
    <w:p w14:paraId="45C19D89" w14:textId="77777777" w:rsidR="002B58EB" w:rsidRPr="00B22E12" w:rsidRDefault="002B58EB" w:rsidP="002B58EB">
      <w:pPr>
        <w:spacing w:after="0" w:line="240" w:lineRule="auto"/>
        <w:jc w:val="both"/>
        <w:rPr>
          <w:rFonts w:ascii="Arial" w:eastAsia="Times New Roman" w:hAnsi="Arial" w:cs="Arial"/>
          <w:lang w:eastAsia="es-CO"/>
        </w:rPr>
      </w:pPr>
    </w:p>
    <w:p w14:paraId="21A7966F"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2. La tarifa por cada gramo de picadura, rapé o </w:t>
      </w:r>
      <w:proofErr w:type="spellStart"/>
      <w:r w:rsidRPr="00B22E12">
        <w:rPr>
          <w:rFonts w:ascii="Arial" w:eastAsia="Times New Roman" w:hAnsi="Arial" w:cs="Arial"/>
          <w:lang w:eastAsia="es-CO"/>
        </w:rPr>
        <w:t>chinú</w:t>
      </w:r>
      <w:proofErr w:type="spellEnd"/>
      <w:r w:rsidRPr="00B22E12">
        <w:rPr>
          <w:rFonts w:ascii="Arial" w:eastAsia="Times New Roman" w:hAnsi="Arial" w:cs="Arial"/>
          <w:lang w:eastAsia="es-CO"/>
        </w:rPr>
        <w:t xml:space="preserve"> será de treinta y seis pesos ($36.00).</w:t>
      </w:r>
    </w:p>
    <w:p w14:paraId="435CFA87" w14:textId="77777777" w:rsidR="002C1F23" w:rsidRPr="00B22E12" w:rsidRDefault="002C1F23" w:rsidP="002C1F23">
      <w:pPr>
        <w:spacing w:after="0" w:line="240" w:lineRule="auto"/>
        <w:jc w:val="both"/>
        <w:rPr>
          <w:rFonts w:ascii="Arial" w:eastAsia="Times New Roman" w:hAnsi="Arial" w:cs="Arial"/>
          <w:lang w:eastAsia="es-CO"/>
        </w:rPr>
      </w:pPr>
    </w:p>
    <w:p w14:paraId="3542D526" w14:textId="5A6A9D6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Las anteriores tarifas se actualizarán anualmente, a partir del año 2011, en un porcentaje equivalente al del crecimiento del índice de precios al consumidor certificado por el DANE. La Dirección de Apoyo Fiscal del Ministerio de Hacienda y Crédito Público, certificará y publicará antes del 1 de enero de cada año las tarifas actualizadas.</w:t>
      </w:r>
    </w:p>
    <w:p w14:paraId="1B1EB7B0" w14:textId="77777777" w:rsidR="002B58EB" w:rsidRPr="00B22E12" w:rsidRDefault="002B58EB" w:rsidP="002B58EB">
      <w:pPr>
        <w:spacing w:after="0" w:line="240" w:lineRule="auto"/>
        <w:jc w:val="both"/>
        <w:rPr>
          <w:rFonts w:ascii="Arial" w:eastAsia="Times New Roman" w:hAnsi="Arial" w:cs="Arial"/>
          <w:lang w:eastAsia="es-CO"/>
        </w:rPr>
      </w:pPr>
    </w:p>
    <w:p w14:paraId="5FF7EED1" w14:textId="04799E9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1o. Dentro de las anteriores tarifas se encuentra incorporado el impuesto con destino al deporte creado por la Ley 30 de 1971, en un porcentaje del 16% del valor liquidado por concepto de impuesto al consumo”.</w:t>
      </w:r>
    </w:p>
    <w:p w14:paraId="48C62E3F" w14:textId="77777777" w:rsidR="002B58EB" w:rsidRPr="00B22E12" w:rsidRDefault="002B58EB" w:rsidP="002B58EB">
      <w:pPr>
        <w:spacing w:after="0" w:line="240" w:lineRule="auto"/>
        <w:jc w:val="both"/>
        <w:rPr>
          <w:rFonts w:ascii="Arial" w:eastAsia="Times New Roman" w:hAnsi="Arial" w:cs="Arial"/>
          <w:lang w:eastAsia="es-CO"/>
        </w:rPr>
      </w:pPr>
    </w:p>
    <w:p w14:paraId="4591A3DD" w14:textId="4744C7AD" w:rsidR="00366D2B" w:rsidRPr="00B22E12" w:rsidRDefault="00366D2B" w:rsidP="002B58EB">
      <w:pPr>
        <w:spacing w:after="0" w:line="240" w:lineRule="auto"/>
        <w:jc w:val="both"/>
        <w:rPr>
          <w:rFonts w:ascii="Arial" w:eastAsia="Times New Roman" w:hAnsi="Arial" w:cs="Arial"/>
          <w:lang w:eastAsia="es-CO"/>
        </w:rPr>
      </w:pPr>
      <w:bookmarkStart w:id="7" w:name="6"/>
      <w:r w:rsidRPr="00B22E12">
        <w:rPr>
          <w:rFonts w:ascii="Arial" w:eastAsia="Times New Roman" w:hAnsi="Arial" w:cs="Arial"/>
          <w:lang w:eastAsia="es-CO"/>
        </w:rPr>
        <w:t>ARTÍCULO 6o. COMPONENTE AD VALÓREM DEL IMPUESTO AL CONSUMO DE CIGARRILLOS Y TABACO ELABORADO.</w:t>
      </w:r>
      <w:bookmarkEnd w:id="7"/>
      <w:r w:rsidRPr="00B22E12">
        <w:rPr>
          <w:rFonts w:ascii="Arial" w:eastAsia="Times New Roman" w:hAnsi="Arial" w:cs="Arial"/>
          <w:lang w:eastAsia="es-CO"/>
        </w:rPr>
        <w:t xml:space="preserve">  El impuesto al consumo de cigarrillos y tabaco elaborado se adiciona con un componente ad </w:t>
      </w:r>
      <w:proofErr w:type="spellStart"/>
      <w:r w:rsidRPr="00B22E12">
        <w:rPr>
          <w:rFonts w:ascii="Arial" w:eastAsia="Times New Roman" w:hAnsi="Arial" w:cs="Arial"/>
          <w:lang w:eastAsia="es-CO"/>
        </w:rPr>
        <w:t>valórem</w:t>
      </w:r>
      <w:proofErr w:type="spellEnd"/>
      <w:r w:rsidRPr="00B22E12">
        <w:rPr>
          <w:rFonts w:ascii="Arial" w:eastAsia="Times New Roman" w:hAnsi="Arial" w:cs="Arial"/>
          <w:lang w:eastAsia="es-CO"/>
        </w:rPr>
        <w:t xml:space="preserve"> equivalente al 10% de la base gravable, que será el precio de venta al público efectivamente cobrado en los canales de distribución clasificados por el DANE como grandes almacenes e hipermercados minoristas, certificado por el DANE, según reglamentación del Gobierno nacional, actualizado en todos sus componentes en un porcentaje equivalente al del crecimiento del índice de precios al consumidor.</w:t>
      </w:r>
    </w:p>
    <w:p w14:paraId="05917F79" w14:textId="77777777" w:rsidR="002B58EB" w:rsidRPr="00B22E12" w:rsidRDefault="002B58EB" w:rsidP="002B58EB">
      <w:pPr>
        <w:spacing w:after="0" w:line="240" w:lineRule="auto"/>
        <w:jc w:val="both"/>
        <w:rPr>
          <w:rFonts w:ascii="Arial" w:eastAsia="Times New Roman" w:hAnsi="Arial" w:cs="Arial"/>
          <w:lang w:eastAsia="es-CO"/>
        </w:rPr>
      </w:pPr>
    </w:p>
    <w:p w14:paraId="7F482A40" w14:textId="2DE00B7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 xml:space="preserve">Este componente ad </w:t>
      </w:r>
      <w:proofErr w:type="spellStart"/>
      <w:r w:rsidRPr="00B22E12">
        <w:rPr>
          <w:rFonts w:ascii="Arial" w:eastAsia="Times New Roman" w:hAnsi="Arial" w:cs="Arial"/>
          <w:lang w:eastAsia="es-CO"/>
        </w:rPr>
        <w:t>valórem</w:t>
      </w:r>
      <w:proofErr w:type="spellEnd"/>
      <w:r w:rsidRPr="00B22E12">
        <w:rPr>
          <w:rFonts w:ascii="Arial" w:eastAsia="Times New Roman" w:hAnsi="Arial" w:cs="Arial"/>
          <w:lang w:eastAsia="es-CO"/>
        </w:rPr>
        <w:t xml:space="preserve"> será liquidado y pagado por cada cajetilla de veinte (20) unidades o proporcionalmente a su contenido, por los responsables del impuesto en la respectiva declaración y se regirá por las normas del impuesto al consumo de cigarrillos y tabaco elaborado.</w:t>
      </w:r>
    </w:p>
    <w:p w14:paraId="0724D975" w14:textId="77777777" w:rsidR="004720E6" w:rsidRPr="00B22E12" w:rsidRDefault="004720E6" w:rsidP="002B58EB">
      <w:pPr>
        <w:spacing w:after="0" w:line="240" w:lineRule="auto"/>
        <w:jc w:val="both"/>
        <w:rPr>
          <w:rFonts w:ascii="Arial" w:eastAsia="Times New Roman" w:hAnsi="Arial" w:cs="Arial"/>
          <w:lang w:eastAsia="es-CO"/>
        </w:rPr>
      </w:pPr>
    </w:p>
    <w:p w14:paraId="0E89D8B5" w14:textId="2DFC31F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PARÁGRAFO 1o. Para la picadura, rapé y chimú, el ad </w:t>
      </w:r>
      <w:proofErr w:type="spellStart"/>
      <w:r w:rsidRPr="00B22E12">
        <w:rPr>
          <w:rFonts w:ascii="Arial" w:eastAsia="Times New Roman" w:hAnsi="Arial" w:cs="Arial"/>
          <w:lang w:eastAsia="es-CO"/>
        </w:rPr>
        <w:t>valórem</w:t>
      </w:r>
      <w:proofErr w:type="spellEnd"/>
      <w:r w:rsidRPr="00B22E12">
        <w:rPr>
          <w:rFonts w:ascii="Arial" w:eastAsia="Times New Roman" w:hAnsi="Arial" w:cs="Arial"/>
          <w:lang w:eastAsia="es-CO"/>
        </w:rPr>
        <w:t xml:space="preserve"> del 10% se liquidará sobre el valor del impuesto al consumo específico de este producto, al que se refiere el artículo </w:t>
      </w:r>
      <w:hyperlink r:id="rId18" w:anchor="211" w:history="1">
        <w:r w:rsidRPr="00B22E12">
          <w:rPr>
            <w:rFonts w:ascii="Arial" w:eastAsia="Times New Roman" w:hAnsi="Arial" w:cs="Arial"/>
            <w:lang w:eastAsia="es-CO"/>
          </w:rPr>
          <w:t>211</w:t>
        </w:r>
      </w:hyperlink>
      <w:r w:rsidRPr="00B22E12">
        <w:rPr>
          <w:rFonts w:ascii="Arial" w:eastAsia="Times New Roman" w:hAnsi="Arial" w:cs="Arial"/>
          <w:lang w:eastAsia="es-CO"/>
        </w:rPr>
        <w:t> de la Ley </w:t>
      </w:r>
      <w:hyperlink r:id="rId19" w:anchor="Inicio" w:history="1">
        <w:r w:rsidRPr="00B22E12">
          <w:rPr>
            <w:rFonts w:ascii="Arial" w:eastAsia="Times New Roman" w:hAnsi="Arial" w:cs="Arial"/>
            <w:lang w:eastAsia="es-CO"/>
          </w:rPr>
          <w:t>223</w:t>
        </w:r>
      </w:hyperlink>
      <w:r w:rsidRPr="00B22E12">
        <w:rPr>
          <w:rFonts w:ascii="Arial" w:eastAsia="Times New Roman" w:hAnsi="Arial" w:cs="Arial"/>
          <w:lang w:eastAsia="es-CO"/>
        </w:rPr>
        <w:t> de 1995.</w:t>
      </w:r>
    </w:p>
    <w:p w14:paraId="3F15797E" w14:textId="77777777" w:rsidR="002B58EB" w:rsidRPr="00B22E12" w:rsidRDefault="002B58EB" w:rsidP="002B58EB">
      <w:pPr>
        <w:spacing w:after="0" w:line="240" w:lineRule="auto"/>
        <w:jc w:val="both"/>
        <w:rPr>
          <w:rFonts w:ascii="Arial" w:eastAsia="Times New Roman" w:hAnsi="Arial" w:cs="Arial"/>
          <w:lang w:eastAsia="es-CO"/>
        </w:rPr>
      </w:pPr>
    </w:p>
    <w:p w14:paraId="594B4A2E" w14:textId="35E2A96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PARÁGRAFO 2o. El componente ad </w:t>
      </w:r>
      <w:proofErr w:type="spellStart"/>
      <w:r w:rsidRPr="00B22E12">
        <w:rPr>
          <w:rFonts w:ascii="Arial" w:eastAsia="Times New Roman" w:hAnsi="Arial" w:cs="Arial"/>
          <w:lang w:eastAsia="es-CO"/>
        </w:rPr>
        <w:t>valórem</w:t>
      </w:r>
      <w:proofErr w:type="spellEnd"/>
      <w:r w:rsidRPr="00B22E12">
        <w:rPr>
          <w:rFonts w:ascii="Arial" w:eastAsia="Times New Roman" w:hAnsi="Arial" w:cs="Arial"/>
          <w:lang w:eastAsia="es-CO"/>
        </w:rPr>
        <w:t xml:space="preserve"> también se causará en relación con los productos nacionales que ingresen al departamento Archipiélago de San Andrés, Providencia y Santa Catalina.</w:t>
      </w:r>
    </w:p>
    <w:p w14:paraId="538A551F" w14:textId="77777777" w:rsidR="002B58EB" w:rsidRPr="00B22E12" w:rsidRDefault="002B58EB" w:rsidP="002B58EB">
      <w:pPr>
        <w:spacing w:after="0" w:line="240" w:lineRule="auto"/>
        <w:jc w:val="both"/>
        <w:rPr>
          <w:rFonts w:ascii="Arial" w:eastAsia="Times New Roman" w:hAnsi="Arial" w:cs="Arial"/>
          <w:lang w:eastAsia="es-CO"/>
        </w:rPr>
      </w:pPr>
    </w:p>
    <w:p w14:paraId="3869A9EB" w14:textId="34AD1270"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3o. La participación del Distrito Capital del impuesto al consumo de cigarrillos y tabaco elaborado a que se refiere el artículo </w:t>
      </w:r>
      <w:hyperlink r:id="rId20" w:anchor="212" w:history="1">
        <w:r w:rsidRPr="00B22E12">
          <w:rPr>
            <w:rFonts w:ascii="Arial" w:eastAsia="Times New Roman" w:hAnsi="Arial" w:cs="Arial"/>
            <w:lang w:eastAsia="es-CO"/>
          </w:rPr>
          <w:t>212</w:t>
        </w:r>
      </w:hyperlink>
      <w:r w:rsidRPr="00B22E12">
        <w:rPr>
          <w:rFonts w:ascii="Arial" w:eastAsia="Times New Roman" w:hAnsi="Arial" w:cs="Arial"/>
          <w:lang w:eastAsia="es-CO"/>
        </w:rPr>
        <w:t> de la Ley </w:t>
      </w:r>
      <w:hyperlink r:id="rId21" w:anchor="Inicio" w:history="1">
        <w:r w:rsidRPr="00B22E12">
          <w:rPr>
            <w:rFonts w:ascii="Arial" w:eastAsia="Times New Roman" w:hAnsi="Arial" w:cs="Arial"/>
            <w:lang w:eastAsia="es-CO"/>
          </w:rPr>
          <w:t>223</w:t>
        </w:r>
      </w:hyperlink>
      <w:r w:rsidRPr="00B22E12">
        <w:rPr>
          <w:rFonts w:ascii="Arial" w:eastAsia="Times New Roman" w:hAnsi="Arial" w:cs="Arial"/>
          <w:lang w:eastAsia="es-CO"/>
        </w:rPr>
        <w:t xml:space="preserve"> de 1995, también será aplicable en relación con el componente ad </w:t>
      </w:r>
      <w:proofErr w:type="spellStart"/>
      <w:r w:rsidRPr="00B22E12">
        <w:rPr>
          <w:rFonts w:ascii="Arial" w:eastAsia="Times New Roman" w:hAnsi="Arial" w:cs="Arial"/>
          <w:lang w:eastAsia="es-CO"/>
        </w:rPr>
        <w:t>valórem</w:t>
      </w:r>
      <w:proofErr w:type="spellEnd"/>
      <w:r w:rsidRPr="00B22E12">
        <w:rPr>
          <w:rFonts w:ascii="Arial" w:eastAsia="Times New Roman" w:hAnsi="Arial" w:cs="Arial"/>
          <w:lang w:eastAsia="es-CO"/>
        </w:rPr>
        <w:t xml:space="preserve"> que se regula en este artículo.</w:t>
      </w:r>
    </w:p>
    <w:p w14:paraId="6EA91D50" w14:textId="77777777" w:rsidR="00B07D28" w:rsidRPr="00B22E12" w:rsidRDefault="00B07D28" w:rsidP="002B58EB">
      <w:pPr>
        <w:spacing w:after="0" w:line="240" w:lineRule="auto"/>
        <w:jc w:val="both"/>
        <w:rPr>
          <w:rFonts w:ascii="Arial" w:eastAsia="Times New Roman" w:hAnsi="Arial" w:cs="Arial"/>
          <w:lang w:eastAsia="es-CO"/>
        </w:rPr>
      </w:pPr>
    </w:p>
    <w:p w14:paraId="48A862BB" w14:textId="7CF06BA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PARÁGRAFO 4o. La destinación de este componente ad </w:t>
      </w:r>
      <w:proofErr w:type="spellStart"/>
      <w:r w:rsidRPr="00B22E12">
        <w:rPr>
          <w:rFonts w:ascii="Arial" w:eastAsia="Times New Roman" w:hAnsi="Arial" w:cs="Arial"/>
          <w:lang w:eastAsia="es-CO"/>
        </w:rPr>
        <w:t>valórem</w:t>
      </w:r>
      <w:proofErr w:type="spellEnd"/>
      <w:r w:rsidRPr="00B22E12">
        <w:rPr>
          <w:rFonts w:ascii="Arial" w:eastAsia="Times New Roman" w:hAnsi="Arial" w:cs="Arial"/>
          <w:lang w:eastAsia="es-CO"/>
        </w:rPr>
        <w:t xml:space="preserve"> será la prevista en el artículo </w:t>
      </w:r>
      <w:hyperlink r:id="rId22" w:anchor="7" w:history="1">
        <w:r w:rsidRPr="00B22E12">
          <w:rPr>
            <w:rFonts w:ascii="Arial" w:eastAsia="Times New Roman" w:hAnsi="Arial" w:cs="Arial"/>
            <w:lang w:eastAsia="es-CO"/>
          </w:rPr>
          <w:t>7</w:t>
        </w:r>
      </w:hyperlink>
      <w:r w:rsidRPr="00B22E12">
        <w:rPr>
          <w:rFonts w:ascii="Arial" w:eastAsia="Times New Roman" w:hAnsi="Arial" w:cs="Arial"/>
          <w:lang w:eastAsia="es-CO"/>
        </w:rPr>
        <w:t>o de la Ley </w:t>
      </w:r>
      <w:hyperlink r:id="rId23" w:anchor="Inicio" w:history="1">
        <w:r w:rsidRPr="00B22E12">
          <w:rPr>
            <w:rFonts w:ascii="Arial" w:eastAsia="Times New Roman" w:hAnsi="Arial" w:cs="Arial"/>
            <w:lang w:eastAsia="es-CO"/>
          </w:rPr>
          <w:t>1393</w:t>
        </w:r>
      </w:hyperlink>
      <w:r w:rsidRPr="00B22E12">
        <w:rPr>
          <w:rFonts w:ascii="Arial" w:eastAsia="Times New Roman" w:hAnsi="Arial" w:cs="Arial"/>
          <w:lang w:eastAsia="es-CO"/>
        </w:rPr>
        <w:t> de 2010.</w:t>
      </w:r>
    </w:p>
    <w:p w14:paraId="133F5C33" w14:textId="77777777" w:rsidR="00EB1BA7" w:rsidRPr="00B22E12" w:rsidRDefault="00EB1BA7" w:rsidP="002B58EB">
      <w:pPr>
        <w:spacing w:after="0" w:line="240" w:lineRule="auto"/>
        <w:jc w:val="both"/>
        <w:rPr>
          <w:rFonts w:ascii="Arial" w:hAnsi="Arial" w:cs="Arial"/>
        </w:rPr>
      </w:pPr>
      <w:bookmarkStart w:id="8" w:name="7"/>
    </w:p>
    <w:p w14:paraId="56A47433" w14:textId="033B412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7o. DESTINACIÓN.</w:t>
      </w:r>
      <w:bookmarkEnd w:id="8"/>
      <w:r w:rsidRPr="00B22E12">
        <w:rPr>
          <w:rFonts w:ascii="Arial" w:eastAsia="Times New Roman" w:hAnsi="Arial" w:cs="Arial"/>
          <w:lang w:eastAsia="es-CO"/>
        </w:rPr>
        <w:t> Los recursos que se generen con ocasión de la sobretasa a que se refiere el artículo anterior, serán destinados por los Departamentos y el Distrito Capital, en primer lugar, a la universalización en el aseguramiento, incluyendo la primera atención a los vinculados según la reglamentación que para el efecto expida el Gobierno Nacional; en segundo lugar, a la unificación de los planes obligatorios de salud de los regímenes contributivo y subsidiado. En caso de que quedaran excedentes, estos se destinarán a la financiación de servicios prestados a la población pobre en lo no cubierto por subsidios a la demanda, la cual deberá sujetarse a las condiciones que establezca el Gobierno Nacional para el pago de estas prestaciones en salud.</w:t>
      </w:r>
    </w:p>
    <w:p w14:paraId="329E5FA1" w14:textId="77777777" w:rsidR="00EB1BA7" w:rsidRPr="00B22E12" w:rsidRDefault="00EB1BA7" w:rsidP="002B58EB">
      <w:pPr>
        <w:spacing w:after="0" w:line="240" w:lineRule="auto"/>
        <w:jc w:val="both"/>
        <w:rPr>
          <w:rFonts w:ascii="Arial" w:hAnsi="Arial" w:cs="Arial"/>
        </w:rPr>
      </w:pPr>
      <w:bookmarkStart w:id="9" w:name="8"/>
    </w:p>
    <w:p w14:paraId="7893A6DC" w14:textId="082FF38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8o.</w:t>
      </w:r>
      <w:bookmarkEnd w:id="9"/>
      <w:r w:rsidRPr="00B22E12">
        <w:rPr>
          <w:rFonts w:ascii="Arial" w:eastAsia="Times New Roman" w:hAnsi="Arial" w:cs="Arial"/>
          <w:lang w:eastAsia="es-CO"/>
        </w:rPr>
        <w:t> </w:t>
      </w:r>
      <w:proofErr w:type="spellStart"/>
      <w:r w:rsidRPr="00B22E12">
        <w:rPr>
          <w:rFonts w:ascii="Arial" w:eastAsia="Times New Roman" w:hAnsi="Arial" w:cs="Arial"/>
          <w:lang w:eastAsia="es-CO"/>
        </w:rPr>
        <w:t>Modifícase</w:t>
      </w:r>
      <w:proofErr w:type="spellEnd"/>
      <w:r w:rsidRPr="00B22E12">
        <w:rPr>
          <w:rFonts w:ascii="Arial" w:eastAsia="Times New Roman" w:hAnsi="Arial" w:cs="Arial"/>
          <w:lang w:eastAsia="es-CO"/>
        </w:rPr>
        <w:t xml:space="preserve"> el primer inciso, sus numerales, y el parágrafo 1o del artículo </w:t>
      </w:r>
      <w:hyperlink r:id="rId24" w:anchor="50" w:history="1">
        <w:r w:rsidRPr="00B22E12">
          <w:rPr>
            <w:rFonts w:ascii="Arial" w:eastAsia="Times New Roman" w:hAnsi="Arial" w:cs="Arial"/>
            <w:lang w:eastAsia="es-CO"/>
          </w:rPr>
          <w:t>50</w:t>
        </w:r>
      </w:hyperlink>
      <w:r w:rsidRPr="00B22E12">
        <w:rPr>
          <w:rFonts w:ascii="Arial" w:eastAsia="Times New Roman" w:hAnsi="Arial" w:cs="Arial"/>
          <w:lang w:eastAsia="es-CO"/>
        </w:rPr>
        <w:t> de la Ley 788 de 2002, los cuales quedan así:</w:t>
      </w:r>
    </w:p>
    <w:p w14:paraId="3B1B089C" w14:textId="77777777" w:rsidR="002B58EB" w:rsidRPr="00B22E12" w:rsidRDefault="002B58EB" w:rsidP="002B58EB">
      <w:pPr>
        <w:spacing w:after="0" w:line="240" w:lineRule="auto"/>
        <w:jc w:val="both"/>
        <w:rPr>
          <w:rFonts w:ascii="Arial" w:eastAsia="Times New Roman" w:hAnsi="Arial" w:cs="Arial"/>
          <w:lang w:eastAsia="es-CO"/>
        </w:rPr>
      </w:pPr>
    </w:p>
    <w:p w14:paraId="53754D04" w14:textId="53A34C72"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25" w:anchor="50" w:history="1">
        <w:r w:rsidRPr="00B22E12">
          <w:rPr>
            <w:rFonts w:ascii="Arial" w:eastAsia="Times New Roman" w:hAnsi="Arial" w:cs="Arial"/>
            <w:lang w:eastAsia="es-CO"/>
          </w:rPr>
          <w:t>50</w:t>
        </w:r>
      </w:hyperlink>
      <w:r w:rsidRPr="00B22E12">
        <w:rPr>
          <w:rFonts w:ascii="Arial" w:eastAsia="Times New Roman" w:hAnsi="Arial" w:cs="Arial"/>
          <w:lang w:eastAsia="es-CO"/>
        </w:rPr>
        <w:t>. Tarifas del impuesto al consumo de licores, vinos, aperitivos y similares. Las tarifas del impuesto al consumo de licores, vinos, aperitivos y similares, por cada unidad de 750 centímetros cúbicos o su equivalente, serán las siguientes:</w:t>
      </w:r>
    </w:p>
    <w:p w14:paraId="3AB89944" w14:textId="77777777" w:rsidR="002B58EB" w:rsidRPr="00B22E12" w:rsidRDefault="002B58EB" w:rsidP="002B58EB">
      <w:pPr>
        <w:spacing w:after="0" w:line="240" w:lineRule="auto"/>
        <w:jc w:val="both"/>
        <w:rPr>
          <w:rFonts w:ascii="Arial" w:eastAsia="Times New Roman" w:hAnsi="Arial" w:cs="Arial"/>
          <w:lang w:eastAsia="es-CO"/>
        </w:rPr>
      </w:pPr>
    </w:p>
    <w:p w14:paraId="56187F79" w14:textId="56DC961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1. Para productos de hasta 35 grados de contenido </w:t>
      </w:r>
      <w:proofErr w:type="spellStart"/>
      <w:r w:rsidRPr="00B22E12">
        <w:rPr>
          <w:rFonts w:ascii="Arial" w:eastAsia="Times New Roman" w:hAnsi="Arial" w:cs="Arial"/>
          <w:lang w:eastAsia="es-CO"/>
        </w:rPr>
        <w:t>alcoholimétrico</w:t>
      </w:r>
      <w:proofErr w:type="spellEnd"/>
      <w:r w:rsidRPr="00B22E12">
        <w:rPr>
          <w:rFonts w:ascii="Arial" w:eastAsia="Times New Roman" w:hAnsi="Arial" w:cs="Arial"/>
          <w:lang w:eastAsia="es-CO"/>
        </w:rPr>
        <w:t xml:space="preserve">, doscientos cincuenta y seis pesos ($256) por cada grado </w:t>
      </w:r>
      <w:proofErr w:type="spellStart"/>
      <w:r w:rsidRPr="00B22E12">
        <w:rPr>
          <w:rFonts w:ascii="Arial" w:eastAsia="Times New Roman" w:hAnsi="Arial" w:cs="Arial"/>
          <w:lang w:eastAsia="es-CO"/>
        </w:rPr>
        <w:t>alcoholimétrico</w:t>
      </w:r>
      <w:proofErr w:type="spellEnd"/>
      <w:r w:rsidRPr="00B22E12">
        <w:rPr>
          <w:rFonts w:ascii="Arial" w:eastAsia="Times New Roman" w:hAnsi="Arial" w:cs="Arial"/>
          <w:lang w:eastAsia="es-CO"/>
        </w:rPr>
        <w:t>.</w:t>
      </w:r>
    </w:p>
    <w:p w14:paraId="67773976" w14:textId="77777777" w:rsidR="002B58EB" w:rsidRPr="00B22E12" w:rsidRDefault="002B58EB" w:rsidP="002B58EB">
      <w:pPr>
        <w:spacing w:after="0" w:line="240" w:lineRule="auto"/>
        <w:jc w:val="both"/>
        <w:rPr>
          <w:rFonts w:ascii="Arial" w:eastAsia="Times New Roman" w:hAnsi="Arial" w:cs="Arial"/>
          <w:lang w:eastAsia="es-CO"/>
        </w:rPr>
      </w:pPr>
    </w:p>
    <w:p w14:paraId="04DF29D0" w14:textId="144068E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2. Para productos de más de 35 grados de contenido </w:t>
      </w:r>
      <w:proofErr w:type="spellStart"/>
      <w:r w:rsidRPr="00B22E12">
        <w:rPr>
          <w:rFonts w:ascii="Arial" w:eastAsia="Times New Roman" w:hAnsi="Arial" w:cs="Arial"/>
          <w:lang w:eastAsia="es-CO"/>
        </w:rPr>
        <w:t>alcoholimétrico</w:t>
      </w:r>
      <w:proofErr w:type="spellEnd"/>
      <w:r w:rsidRPr="00B22E12">
        <w:rPr>
          <w:rFonts w:ascii="Arial" w:eastAsia="Times New Roman" w:hAnsi="Arial" w:cs="Arial"/>
          <w:lang w:eastAsia="es-CO"/>
        </w:rPr>
        <w:t xml:space="preserve">, cuatrocientos veinte pesos ($420) por cada grado </w:t>
      </w:r>
      <w:proofErr w:type="spellStart"/>
      <w:r w:rsidRPr="00B22E12">
        <w:rPr>
          <w:rFonts w:ascii="Arial" w:eastAsia="Times New Roman" w:hAnsi="Arial" w:cs="Arial"/>
          <w:lang w:eastAsia="es-CO"/>
        </w:rPr>
        <w:t>alcoholimétrico</w:t>
      </w:r>
      <w:proofErr w:type="spellEnd"/>
      <w:r w:rsidRPr="00B22E12">
        <w:rPr>
          <w:rFonts w:ascii="Arial" w:eastAsia="Times New Roman" w:hAnsi="Arial" w:cs="Arial"/>
          <w:lang w:eastAsia="es-CO"/>
        </w:rPr>
        <w:t>”.</w:t>
      </w:r>
    </w:p>
    <w:p w14:paraId="06052C48" w14:textId="77777777" w:rsidR="002B58EB" w:rsidRPr="00B22E12" w:rsidRDefault="002B58EB" w:rsidP="002B58EB">
      <w:pPr>
        <w:spacing w:after="0" w:line="240" w:lineRule="auto"/>
        <w:jc w:val="both"/>
        <w:rPr>
          <w:rFonts w:ascii="Arial" w:eastAsia="Times New Roman" w:hAnsi="Arial" w:cs="Arial"/>
          <w:lang w:eastAsia="es-CO"/>
        </w:rPr>
      </w:pPr>
    </w:p>
    <w:p w14:paraId="0053D6C6"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1o. Del total recaudado por concepto del impuesto al consumo de licores, vinos, aperitivos y similares, y/o participación, una vez descontado el porcentaje de IVA cedido a que se refiere el parágrafo 2o del artículo </w:t>
      </w:r>
      <w:hyperlink r:id="rId26" w:anchor="50" w:history="1">
        <w:r w:rsidRPr="00B22E12">
          <w:rPr>
            <w:rFonts w:ascii="Arial" w:eastAsia="Times New Roman" w:hAnsi="Arial" w:cs="Arial"/>
            <w:lang w:eastAsia="es-CO"/>
          </w:rPr>
          <w:t>50</w:t>
        </w:r>
      </w:hyperlink>
      <w:r w:rsidRPr="00B22E12">
        <w:rPr>
          <w:rFonts w:ascii="Arial" w:eastAsia="Times New Roman" w:hAnsi="Arial" w:cs="Arial"/>
          <w:lang w:eastAsia="es-CO"/>
        </w:rPr>
        <w:t xml:space="preserve"> de la Ley 788 de 2002, los departamentos destinarán un 6% en primer lugar a la universalización en el aseguramiento, incluyendo la primera atención a los vinculados según la reglamentación que para el efecto expida el Gobierno Nacional; en segundo lugar, a la unificación de los planes obligatorios de salud de los regímenes contributivo y subsidiado. En caso de que quedaran excedentes, estos se destinarán a la financiación de servicios prestados a la población pobre en lo no cubierto por subsidios a la demanda, la cual </w:t>
      </w:r>
      <w:r w:rsidRPr="00B22E12">
        <w:rPr>
          <w:rFonts w:ascii="Arial" w:eastAsia="Times New Roman" w:hAnsi="Arial" w:cs="Arial"/>
          <w:lang w:eastAsia="es-CO"/>
        </w:rPr>
        <w:lastRenderedPageBreak/>
        <w:t>deberá sujetarse a las condiciones que establezca el Gobierno Nacional para el pago de estas prestaciones en salud”.</w:t>
      </w:r>
    </w:p>
    <w:p w14:paraId="138E4F45" w14:textId="77777777" w:rsidR="00EB1BA7" w:rsidRPr="00B22E12" w:rsidRDefault="00EB1BA7" w:rsidP="002B58EB">
      <w:pPr>
        <w:spacing w:after="0" w:line="240" w:lineRule="auto"/>
        <w:jc w:val="both"/>
        <w:rPr>
          <w:rFonts w:ascii="Arial" w:hAnsi="Arial" w:cs="Arial"/>
        </w:rPr>
      </w:pPr>
      <w:bookmarkStart w:id="10" w:name="9"/>
    </w:p>
    <w:p w14:paraId="158E4365" w14:textId="3CA4A65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9o. FORMULARIOS.</w:t>
      </w:r>
      <w:bookmarkEnd w:id="10"/>
      <w:r w:rsidRPr="00B22E12">
        <w:rPr>
          <w:rFonts w:ascii="Arial" w:eastAsia="Times New Roman" w:hAnsi="Arial" w:cs="Arial"/>
          <w:lang w:eastAsia="es-CO"/>
        </w:rPr>
        <w:t> La Dirección General de Apoyo Fiscal, así como la Federación Nacional de Departamentos, en lo que a cada una corresponda, efectuarán las modificaciones a los formularios de declaración del impuesto al consumo de licores, vinos, aperitivos y similares, y/o participación, y del impuesto al consumo de cigarrillos y tabaco elaborado, que se requieran para la correcta aplicación de lo establecido en la presente ley.</w:t>
      </w:r>
    </w:p>
    <w:p w14:paraId="467F52B5" w14:textId="77777777" w:rsidR="00EB1BA7" w:rsidRPr="00B22E12" w:rsidRDefault="00EB1BA7" w:rsidP="002B58EB">
      <w:pPr>
        <w:spacing w:after="0" w:line="240" w:lineRule="auto"/>
        <w:jc w:val="both"/>
        <w:rPr>
          <w:rFonts w:ascii="Arial" w:hAnsi="Arial" w:cs="Arial"/>
        </w:rPr>
      </w:pPr>
      <w:bookmarkStart w:id="11" w:name="10"/>
    </w:p>
    <w:p w14:paraId="0A119A49" w14:textId="2E2E6FA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10.</w:t>
      </w:r>
      <w:bookmarkEnd w:id="11"/>
      <w:r w:rsidRPr="00B22E12">
        <w:rPr>
          <w:rFonts w:ascii="Arial" w:eastAsia="Times New Roman" w:hAnsi="Arial" w:cs="Arial"/>
          <w:lang w:eastAsia="es-CO"/>
        </w:rPr>
        <w:t> </w:t>
      </w:r>
      <w:r w:rsidR="00C05D50" w:rsidRPr="00B22E12">
        <w:rPr>
          <w:rFonts w:ascii="Arial" w:eastAsia="Times New Roman" w:hAnsi="Arial" w:cs="Arial"/>
          <w:lang w:eastAsia="es-CO"/>
        </w:rPr>
        <w:t xml:space="preserve">Declarado inexequible. </w:t>
      </w:r>
    </w:p>
    <w:p w14:paraId="6FD4F0A2" w14:textId="57206033" w:rsidR="00C05D50" w:rsidRPr="00B22E12" w:rsidRDefault="00C05D50" w:rsidP="002B58EB">
      <w:pPr>
        <w:spacing w:after="0" w:line="240" w:lineRule="auto"/>
        <w:jc w:val="both"/>
        <w:rPr>
          <w:rFonts w:ascii="Arial" w:eastAsia="Times New Roman" w:hAnsi="Arial" w:cs="Arial"/>
          <w:lang w:eastAsia="es-CO"/>
        </w:rPr>
      </w:pPr>
    </w:p>
    <w:p w14:paraId="10176D5B" w14:textId="6D60DBA0" w:rsidR="00C05D50" w:rsidRPr="00B22E12" w:rsidRDefault="00C05D50"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ARTÍCULO 11. Declarado inexequible.  </w:t>
      </w:r>
    </w:p>
    <w:p w14:paraId="253D74DE" w14:textId="77777777" w:rsidR="002B58EB" w:rsidRPr="00B22E12" w:rsidRDefault="002B58EB" w:rsidP="002B58EB">
      <w:pPr>
        <w:spacing w:after="0" w:line="240" w:lineRule="auto"/>
        <w:jc w:val="center"/>
        <w:rPr>
          <w:rFonts w:ascii="Arial" w:eastAsia="Times New Roman" w:hAnsi="Arial" w:cs="Arial"/>
          <w:lang w:eastAsia="es-CO"/>
        </w:rPr>
      </w:pPr>
      <w:bookmarkStart w:id="12" w:name="CAPÍTULO_II"/>
    </w:p>
    <w:p w14:paraId="4F91EA21" w14:textId="43BC7909" w:rsidR="00366D2B" w:rsidRPr="00B22E12" w:rsidRDefault="00366D2B" w:rsidP="002B58EB">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CAPÍTULO II</w:t>
      </w:r>
      <w:bookmarkEnd w:id="12"/>
    </w:p>
    <w:p w14:paraId="2BCFCFDA" w14:textId="307C28C9" w:rsidR="00366D2B" w:rsidRPr="00B22E12" w:rsidRDefault="00366D2B" w:rsidP="002B58EB">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RECURSOS DE JUEGOS DE SUERTE Y AZAR</w:t>
      </w:r>
    </w:p>
    <w:p w14:paraId="4568267D" w14:textId="77777777" w:rsidR="00EB1BA7" w:rsidRPr="00B22E12" w:rsidRDefault="00EB1BA7" w:rsidP="002B58EB">
      <w:pPr>
        <w:spacing w:after="0" w:line="240" w:lineRule="auto"/>
        <w:jc w:val="both"/>
        <w:rPr>
          <w:rFonts w:ascii="Arial" w:hAnsi="Arial" w:cs="Arial"/>
        </w:rPr>
      </w:pPr>
      <w:bookmarkStart w:id="13" w:name="12"/>
    </w:p>
    <w:p w14:paraId="7D8BD75F" w14:textId="7AFC8AD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12. COBRO DE PREMIOS Y DESTINACIÓN DE PREMIOS NO RECLAMADOS.</w:t>
      </w:r>
      <w:bookmarkEnd w:id="13"/>
      <w:r w:rsidRPr="00B22E12">
        <w:rPr>
          <w:rFonts w:ascii="Arial" w:eastAsia="Times New Roman" w:hAnsi="Arial" w:cs="Arial"/>
          <w:lang w:eastAsia="es-CO"/>
        </w:rPr>
        <w:t> En todos los juegos de suerte y azar, el ganador debe presentar el documento de juego al operador para su cobro, en un término máximo de un (1) año contado a partir de la fecha de realización del sorteo; vencido ese término opera la prescripción extintiva del derecho. El término de prescripción se interrumpe con la sola presentación del documento ganador al operador.</w:t>
      </w:r>
    </w:p>
    <w:p w14:paraId="7A907C28" w14:textId="77777777" w:rsidR="002B58EB" w:rsidRPr="00B22E12" w:rsidRDefault="002B58EB" w:rsidP="002B58EB">
      <w:pPr>
        <w:spacing w:after="0" w:line="240" w:lineRule="auto"/>
        <w:jc w:val="both"/>
        <w:rPr>
          <w:rFonts w:ascii="Arial" w:eastAsia="Times New Roman" w:hAnsi="Arial" w:cs="Arial"/>
          <w:lang w:eastAsia="es-CO"/>
        </w:rPr>
      </w:pPr>
    </w:p>
    <w:p w14:paraId="78D25636" w14:textId="465F4DF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Presentado oportunamente el documento de juego para su pago, si este no es pagado por el responsable dentro de los treinta (30) días calendario siguientes a la presentación del documento de juego ganador, el apostador podrá reclamar judicialmente el pago del mismo mediante el proceso verbal de mayor y menor cuantía, indicado en el Capítulo I del Título XXIII del Código de Procedimiento Civil. La reclamación de premios por toda clase de juegos tendrá una caducidad judicial de un (1) año, contado a partir de la fecha de presentación del documento de juego para su pago, término que se interrumpe con la interposición de la correspondiente demanda.</w:t>
      </w:r>
    </w:p>
    <w:p w14:paraId="513F0F5D" w14:textId="77777777" w:rsidR="002B58EB" w:rsidRPr="00B22E12" w:rsidRDefault="002B58EB" w:rsidP="002B58EB">
      <w:pPr>
        <w:spacing w:after="0" w:line="240" w:lineRule="auto"/>
        <w:jc w:val="both"/>
        <w:rPr>
          <w:rFonts w:ascii="Arial" w:eastAsia="Times New Roman" w:hAnsi="Arial" w:cs="Arial"/>
          <w:lang w:eastAsia="es-CO"/>
        </w:rPr>
      </w:pPr>
    </w:p>
    <w:p w14:paraId="38425BD1" w14:textId="7B3D4EA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Ocurrida la prescripción extintiva del derecho a la caducidad judicial sin que se haga efectivo el cobro de los premios, el setenta y cinco por ciento (75%) de los recursos que constituyen esos premios se destinará a la unificación de los planes de beneficios del Sistema General de Seguridad Social en Salud en los respectivos Departamentos y Distritos, recursos que harán parte del Plan Financiero de que trata el artículo </w:t>
      </w:r>
      <w:hyperlink r:id="rId27" w:anchor="32" w:history="1">
        <w:r w:rsidRPr="00B22E12">
          <w:rPr>
            <w:rFonts w:ascii="Arial" w:eastAsia="Times New Roman" w:hAnsi="Arial" w:cs="Arial"/>
            <w:lang w:eastAsia="es-CO"/>
          </w:rPr>
          <w:t>32</w:t>
        </w:r>
      </w:hyperlink>
      <w:r w:rsidRPr="00B22E12">
        <w:rPr>
          <w:rFonts w:ascii="Arial" w:eastAsia="Times New Roman" w:hAnsi="Arial" w:cs="Arial"/>
          <w:lang w:eastAsia="es-CO"/>
        </w:rPr>
        <w:t> de la presente ley. El 25% restante corresponderá al juego respectivo y será usado en el control del juego ilegal.</w:t>
      </w:r>
    </w:p>
    <w:p w14:paraId="7A0058A0" w14:textId="77777777" w:rsidR="002B58EB" w:rsidRPr="00B22E12" w:rsidRDefault="002B58EB" w:rsidP="002B58EB">
      <w:pPr>
        <w:spacing w:after="0" w:line="240" w:lineRule="auto"/>
        <w:jc w:val="both"/>
        <w:rPr>
          <w:rFonts w:ascii="Arial" w:eastAsia="Times New Roman" w:hAnsi="Arial" w:cs="Arial"/>
          <w:lang w:eastAsia="es-CO"/>
        </w:rPr>
      </w:pPr>
    </w:p>
    <w:p w14:paraId="64C920B0" w14:textId="7A54F63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Lotería de la Cruz Roja Colombiana transferirá a la Sociedad Nacional de la Cruz Roja Colombiana los recursos de los premios en poder del público no cobrados.</w:t>
      </w:r>
    </w:p>
    <w:p w14:paraId="2876CB8A" w14:textId="77777777" w:rsidR="002B58EB" w:rsidRPr="00B22E12" w:rsidRDefault="002B58EB" w:rsidP="002B58EB">
      <w:pPr>
        <w:spacing w:after="0" w:line="240" w:lineRule="auto"/>
        <w:jc w:val="both"/>
        <w:rPr>
          <w:rFonts w:ascii="Arial" w:eastAsia="Times New Roman" w:hAnsi="Arial" w:cs="Arial"/>
          <w:lang w:eastAsia="es-CO"/>
        </w:rPr>
      </w:pPr>
    </w:p>
    <w:p w14:paraId="12F7EFE2" w14:textId="706B371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TRANSITORIO 1o.  Para los actuales beneficiarios de premios cuyo cobro no se haya efectuado, los términos de prescripción y de caducidad aquí previstos se contarán a partir de la vigencia de la presente disposición.</w:t>
      </w:r>
    </w:p>
    <w:p w14:paraId="5C2D2B8B" w14:textId="77777777" w:rsidR="002B58EB" w:rsidRPr="00B22E12" w:rsidRDefault="002B58EB" w:rsidP="002B58EB">
      <w:pPr>
        <w:spacing w:after="0" w:line="240" w:lineRule="auto"/>
        <w:jc w:val="both"/>
        <w:rPr>
          <w:rFonts w:ascii="Arial" w:eastAsia="Times New Roman" w:hAnsi="Arial" w:cs="Arial"/>
          <w:lang w:eastAsia="es-CO"/>
        </w:rPr>
      </w:pPr>
    </w:p>
    <w:p w14:paraId="4CBA72D0" w14:textId="6E34DF70"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TRANSITORIO. </w:t>
      </w:r>
      <w:r w:rsidR="00BD3352" w:rsidRPr="00B22E12">
        <w:rPr>
          <w:rFonts w:ascii="Arial" w:eastAsia="Times New Roman" w:hAnsi="Arial" w:cs="Arial"/>
          <w:lang w:eastAsia="es-CO"/>
        </w:rPr>
        <w:t xml:space="preserve">Declarado inexequible, </w:t>
      </w:r>
    </w:p>
    <w:p w14:paraId="1386F7E9" w14:textId="77777777" w:rsidR="002B58EB" w:rsidRPr="00B22E12" w:rsidRDefault="002B58EB" w:rsidP="002B58EB">
      <w:pPr>
        <w:spacing w:after="0" w:line="240" w:lineRule="auto"/>
        <w:rPr>
          <w:rFonts w:ascii="Arial" w:hAnsi="Arial" w:cs="Arial"/>
        </w:rPr>
      </w:pPr>
    </w:p>
    <w:p w14:paraId="04F0A67D" w14:textId="692447EA" w:rsidR="00366D2B" w:rsidRPr="00B22E12" w:rsidRDefault="00366D2B" w:rsidP="002B58EB">
      <w:pPr>
        <w:spacing w:after="0" w:line="240" w:lineRule="auto"/>
        <w:jc w:val="both"/>
        <w:rPr>
          <w:rFonts w:ascii="Arial" w:eastAsia="Times New Roman" w:hAnsi="Arial" w:cs="Arial"/>
          <w:lang w:eastAsia="es-CO"/>
        </w:rPr>
      </w:pPr>
      <w:bookmarkStart w:id="14" w:name="13"/>
      <w:r w:rsidRPr="00B22E12">
        <w:rPr>
          <w:rFonts w:ascii="Arial" w:eastAsia="Times New Roman" w:hAnsi="Arial" w:cs="Arial"/>
          <w:lang w:eastAsia="es-CO"/>
        </w:rPr>
        <w:t>ARTÍCULO 13. COMERCIALIZACIÓN DE LOTERÍA A TRAVÉS DE CANALES ELECTRÓNICOS.</w:t>
      </w:r>
      <w:bookmarkEnd w:id="14"/>
      <w:r w:rsidRPr="00B22E12">
        <w:rPr>
          <w:rFonts w:ascii="Arial" w:eastAsia="Times New Roman" w:hAnsi="Arial" w:cs="Arial"/>
          <w:lang w:eastAsia="es-CO"/>
        </w:rPr>
        <w:t> Adiciónase el siguiente parágrafo al artículo </w:t>
      </w:r>
      <w:hyperlink r:id="rId28" w:anchor="11" w:history="1">
        <w:r w:rsidRPr="00B22E12">
          <w:rPr>
            <w:rFonts w:ascii="Arial" w:eastAsia="Times New Roman" w:hAnsi="Arial" w:cs="Arial"/>
            <w:lang w:eastAsia="es-CO"/>
          </w:rPr>
          <w:t>11</w:t>
        </w:r>
      </w:hyperlink>
      <w:r w:rsidRPr="00B22E12">
        <w:rPr>
          <w:rFonts w:ascii="Arial" w:eastAsia="Times New Roman" w:hAnsi="Arial" w:cs="Arial"/>
          <w:lang w:eastAsia="es-CO"/>
        </w:rPr>
        <w:t> de la Ley 643 de 2001, así:</w:t>
      </w:r>
    </w:p>
    <w:p w14:paraId="2FE7C356" w14:textId="77777777" w:rsidR="002B58EB" w:rsidRPr="00B22E12" w:rsidRDefault="002B58EB" w:rsidP="002B58EB">
      <w:pPr>
        <w:spacing w:after="0" w:line="240" w:lineRule="auto"/>
        <w:jc w:val="both"/>
        <w:rPr>
          <w:rFonts w:ascii="Arial" w:eastAsia="Times New Roman" w:hAnsi="Arial" w:cs="Arial"/>
          <w:lang w:eastAsia="es-CO"/>
        </w:rPr>
      </w:pPr>
    </w:p>
    <w:p w14:paraId="1F2FB8D8"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“Parágrafo. La comercialización de lotería tradicional se podrá efectuar por medio de canales electrónicos, sin que por ello se conviertan en juegos novedosos, de acuerdo con la reglamentación que para tal fin expida el Consejo Nacional de Juegos de Suerte y Azar”.</w:t>
      </w:r>
    </w:p>
    <w:p w14:paraId="0C101CD7" w14:textId="77777777" w:rsidR="00EB1BA7" w:rsidRPr="00B22E12" w:rsidRDefault="00EB1BA7" w:rsidP="002B58EB">
      <w:pPr>
        <w:spacing w:after="0" w:line="240" w:lineRule="auto"/>
        <w:jc w:val="both"/>
        <w:rPr>
          <w:rFonts w:ascii="Arial" w:hAnsi="Arial" w:cs="Arial"/>
        </w:rPr>
      </w:pPr>
      <w:bookmarkStart w:id="15" w:name="14"/>
    </w:p>
    <w:p w14:paraId="2A461C03" w14:textId="4B6C128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14. CONDICIONES DE OPERACIÓN EN LÍNEA Y EN TIEMPO REAL DE LOS JUEGOS LOCALIZADOS</w:t>
      </w:r>
      <w:bookmarkEnd w:id="15"/>
      <w:r w:rsidR="00083277" w:rsidRPr="00B22E12">
        <w:rPr>
          <w:rFonts w:ascii="Arial" w:eastAsia="Times New Roman" w:hAnsi="Arial" w:cs="Arial"/>
          <w:lang w:eastAsia="es-CO"/>
        </w:rPr>
        <w:t xml:space="preserve">. </w:t>
      </w:r>
      <w:r w:rsidRPr="00B22E12">
        <w:rPr>
          <w:rFonts w:ascii="Arial" w:eastAsia="Times New Roman" w:hAnsi="Arial" w:cs="Arial"/>
          <w:lang w:eastAsia="es-CO"/>
        </w:rPr>
        <w:t>Los operadores de Juegos de Suerte y Azar Localizados que cumplan con las condiciones de conectividad y confiabilidad Restablecidos por la entidad administradora del monopolio pagarán a título de derecho de explotación el doce por ciento (12%) sobre los Ingresos brutos menos el monto de los premios pagados calculados sobre la totalidad de los elementos de juego autorizados en el contrato de concesión.</w:t>
      </w:r>
    </w:p>
    <w:p w14:paraId="7ACFB60E" w14:textId="77777777" w:rsidR="002B58EB" w:rsidRPr="00B22E12" w:rsidRDefault="002B58EB" w:rsidP="002B58EB">
      <w:pPr>
        <w:spacing w:after="0" w:line="240" w:lineRule="auto"/>
        <w:jc w:val="both"/>
        <w:rPr>
          <w:rFonts w:ascii="Arial" w:eastAsia="Times New Roman" w:hAnsi="Arial" w:cs="Arial"/>
          <w:lang w:eastAsia="es-CO"/>
        </w:rPr>
      </w:pPr>
    </w:p>
    <w:p w14:paraId="5EAD5915" w14:textId="30F8AD6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Una vez dispuesta la obligación de conectividad, se presumirá ilegal la máquina que no lo esté y además de las sanciones por ilegalidad correspondiente, será objeto del respectivo decomiso.</w:t>
      </w:r>
    </w:p>
    <w:p w14:paraId="4F202719" w14:textId="77777777" w:rsidR="002B58EB" w:rsidRPr="00B22E12" w:rsidRDefault="002B58EB" w:rsidP="002B58EB">
      <w:pPr>
        <w:spacing w:after="0" w:line="240" w:lineRule="auto"/>
        <w:jc w:val="both"/>
        <w:rPr>
          <w:rFonts w:ascii="Arial" w:eastAsia="Times New Roman" w:hAnsi="Arial" w:cs="Arial"/>
          <w:lang w:eastAsia="es-CO"/>
        </w:rPr>
      </w:pPr>
    </w:p>
    <w:p w14:paraId="3B3F6B19"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1o. Entiéndase por ingresos brutos la totalidad del valor registrado en el contador de entrada de las máquinas del contrato de concesión.</w:t>
      </w:r>
    </w:p>
    <w:p w14:paraId="32008658" w14:textId="77777777" w:rsidR="00A15300" w:rsidRPr="00B22E12" w:rsidRDefault="00A15300" w:rsidP="002B58EB">
      <w:pPr>
        <w:spacing w:after="0" w:line="240" w:lineRule="auto"/>
        <w:jc w:val="both"/>
        <w:rPr>
          <w:rFonts w:ascii="Arial" w:eastAsia="Times New Roman" w:hAnsi="Arial" w:cs="Arial"/>
          <w:lang w:eastAsia="es-CO"/>
        </w:rPr>
      </w:pPr>
    </w:p>
    <w:p w14:paraId="0AFC6A36" w14:textId="6D88BE7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Para el caso de Bingos, los ingresos brutos son el total del valor de los cartones vendidos en el periodo de liquidación.</w:t>
      </w:r>
    </w:p>
    <w:p w14:paraId="5E65D7B5" w14:textId="77777777" w:rsidR="002B58EB" w:rsidRPr="00B22E12" w:rsidRDefault="002B58EB" w:rsidP="002B58EB">
      <w:pPr>
        <w:spacing w:after="0" w:line="240" w:lineRule="auto"/>
        <w:jc w:val="both"/>
        <w:rPr>
          <w:rFonts w:ascii="Arial" w:eastAsia="Times New Roman" w:hAnsi="Arial" w:cs="Arial"/>
          <w:lang w:eastAsia="es-CO"/>
        </w:rPr>
      </w:pPr>
    </w:p>
    <w:p w14:paraId="10836213"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2o. En ningún caso el impuesto del IVA formará parte de la base para el cálculo de los derechos de explotación previstos en el siguiente artículo.</w:t>
      </w:r>
    </w:p>
    <w:p w14:paraId="2192A4B0" w14:textId="77777777" w:rsidR="00EB1BA7" w:rsidRPr="00B22E12" w:rsidRDefault="00EB1BA7" w:rsidP="002B58EB">
      <w:pPr>
        <w:spacing w:after="0" w:line="240" w:lineRule="auto"/>
        <w:jc w:val="both"/>
        <w:rPr>
          <w:rFonts w:ascii="Arial" w:hAnsi="Arial" w:cs="Arial"/>
        </w:rPr>
      </w:pPr>
      <w:bookmarkStart w:id="16" w:name="15"/>
    </w:p>
    <w:p w14:paraId="330ED458" w14:textId="44AFA67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15. EVENTOS HÍPICOS.</w:t>
      </w:r>
      <w:bookmarkEnd w:id="16"/>
      <w:r w:rsidRPr="00B22E12">
        <w:rPr>
          <w:rFonts w:ascii="Arial" w:eastAsia="Times New Roman" w:hAnsi="Arial" w:cs="Arial"/>
          <w:lang w:eastAsia="es-CO"/>
        </w:rPr>
        <w:t> Modifíquese el artículo </w:t>
      </w:r>
      <w:hyperlink r:id="rId29" w:anchor="37" w:history="1">
        <w:r w:rsidRPr="00B22E12">
          <w:rPr>
            <w:rFonts w:ascii="Arial" w:eastAsia="Times New Roman" w:hAnsi="Arial" w:cs="Arial"/>
            <w:lang w:eastAsia="es-CO"/>
          </w:rPr>
          <w:t>37</w:t>
        </w:r>
      </w:hyperlink>
      <w:r w:rsidRPr="00B22E12">
        <w:rPr>
          <w:rFonts w:ascii="Arial" w:eastAsia="Times New Roman" w:hAnsi="Arial" w:cs="Arial"/>
          <w:lang w:eastAsia="es-CO"/>
        </w:rPr>
        <w:t> de la Ley 643 de 2001, que quedará así:</w:t>
      </w:r>
    </w:p>
    <w:p w14:paraId="23195BFD" w14:textId="77777777" w:rsidR="002B58EB" w:rsidRPr="00B22E12" w:rsidRDefault="002B58EB" w:rsidP="002B58EB">
      <w:pPr>
        <w:spacing w:after="0" w:line="240" w:lineRule="auto"/>
        <w:jc w:val="both"/>
        <w:rPr>
          <w:rFonts w:ascii="Arial" w:eastAsia="Times New Roman" w:hAnsi="Arial" w:cs="Arial"/>
          <w:lang w:eastAsia="es-CO"/>
        </w:rPr>
      </w:pPr>
    </w:p>
    <w:p w14:paraId="5AF50CC2" w14:textId="22D530B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30" w:anchor="37" w:history="1">
        <w:r w:rsidRPr="00B22E12">
          <w:rPr>
            <w:rFonts w:ascii="Arial" w:eastAsia="Times New Roman" w:hAnsi="Arial" w:cs="Arial"/>
            <w:lang w:eastAsia="es-CO"/>
          </w:rPr>
          <w:t>37</w:t>
        </w:r>
      </w:hyperlink>
      <w:r w:rsidRPr="00B22E12">
        <w:rPr>
          <w:rFonts w:ascii="Arial" w:eastAsia="Times New Roman" w:hAnsi="Arial" w:cs="Arial"/>
          <w:lang w:eastAsia="es-CO"/>
        </w:rPr>
        <w:t>. Eventos Hípicos. Corresponde a cada uno de los departamentos y Distritos, la explotación, como arbitrio rentístico, de los eventos y las apuestas hípicas.</w:t>
      </w:r>
    </w:p>
    <w:p w14:paraId="67BBA710" w14:textId="77777777" w:rsidR="002B58EB" w:rsidRPr="00B22E12" w:rsidRDefault="002B58EB" w:rsidP="002B58EB">
      <w:pPr>
        <w:spacing w:after="0" w:line="240" w:lineRule="auto"/>
        <w:jc w:val="both"/>
        <w:rPr>
          <w:rFonts w:ascii="Arial" w:eastAsia="Times New Roman" w:hAnsi="Arial" w:cs="Arial"/>
          <w:lang w:eastAsia="es-CO"/>
        </w:rPr>
      </w:pPr>
    </w:p>
    <w:p w14:paraId="05F751AF" w14:textId="2504F9F0"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operación de los mismos se efectuará por concesión con un plazo de diez (10) años, a través de terceros seleccionados mediante licitación pública. Los operadores de esta modalidad de juego deberán tener un patrimonio técnico mínimo, otorgar garantías y cumplir los demás requisitos que para el efecto les señale el reglamento del juego.</w:t>
      </w:r>
    </w:p>
    <w:p w14:paraId="4AF53FF5" w14:textId="77777777" w:rsidR="002B58EB" w:rsidRPr="00B22E12" w:rsidRDefault="002B58EB" w:rsidP="002B58EB">
      <w:pPr>
        <w:spacing w:after="0" w:line="240" w:lineRule="auto"/>
        <w:jc w:val="both"/>
        <w:rPr>
          <w:rFonts w:ascii="Arial" w:eastAsia="Times New Roman" w:hAnsi="Arial" w:cs="Arial"/>
          <w:lang w:eastAsia="es-CO"/>
        </w:rPr>
      </w:pPr>
    </w:p>
    <w:p w14:paraId="7C056CEE" w14:textId="3DA376B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Los derechos de explotación derivados de las apuestas hípicas son propiedad de los departamentos y Distritos en los cuales se realice la operación. Las apuestas hípicas cuya concesión se adjudique en un departamento o Distrito, podrán operarse en otras entidades territoriales previo el cumplimiento de las condiciones y autorizaciones que establezca el reglamento, y pagarán el setenta por ciento (70%) de los derechos de explotación al Distrito o departamento en que se realice la apuesta.</w:t>
      </w:r>
    </w:p>
    <w:p w14:paraId="430D323A" w14:textId="77777777" w:rsidR="002B58EB" w:rsidRPr="00B22E12" w:rsidRDefault="002B58EB" w:rsidP="002B58EB">
      <w:pPr>
        <w:spacing w:after="0" w:line="240" w:lineRule="auto"/>
        <w:jc w:val="both"/>
        <w:rPr>
          <w:rFonts w:ascii="Arial" w:eastAsia="Times New Roman" w:hAnsi="Arial" w:cs="Arial"/>
          <w:lang w:eastAsia="es-CO"/>
        </w:rPr>
      </w:pPr>
    </w:p>
    <w:p w14:paraId="7730D5CD" w14:textId="6C4CB14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Las apuestas hípicas sobre carreras realizadas en Colombia pagarán como derechos de explotación el uno por ciento (1%) de los ingresos brutos por concepto de venta de apuestas.</w:t>
      </w:r>
    </w:p>
    <w:p w14:paraId="553B2686" w14:textId="77777777" w:rsidR="002B58EB" w:rsidRPr="00B22E12" w:rsidRDefault="002B58EB" w:rsidP="002B58EB">
      <w:pPr>
        <w:spacing w:after="0" w:line="240" w:lineRule="auto"/>
        <w:jc w:val="both"/>
        <w:rPr>
          <w:rFonts w:ascii="Arial" w:eastAsia="Times New Roman" w:hAnsi="Arial" w:cs="Arial"/>
          <w:lang w:eastAsia="es-CO"/>
        </w:rPr>
      </w:pPr>
    </w:p>
    <w:p w14:paraId="278716AE" w14:textId="5941C23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Las apuestas hípicas sobre carreras realizadas fuera del territorio nacional pagarán como derechos de explotación el quince por ciento (15%) de los ingresos brutos por concepto de venta de las apuestas.</w:t>
      </w:r>
    </w:p>
    <w:p w14:paraId="4AC48229" w14:textId="77777777" w:rsidR="002B58EB" w:rsidRPr="00B22E12" w:rsidRDefault="002B58EB" w:rsidP="002B58EB">
      <w:pPr>
        <w:spacing w:after="0" w:line="240" w:lineRule="auto"/>
        <w:jc w:val="both"/>
        <w:rPr>
          <w:rFonts w:ascii="Arial" w:eastAsia="Times New Roman" w:hAnsi="Arial" w:cs="Arial"/>
          <w:lang w:eastAsia="es-CO"/>
        </w:rPr>
      </w:pPr>
    </w:p>
    <w:p w14:paraId="047DD8C5" w14:textId="6FC231F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En el evento que el operador de apuestas hípicas sobre carreras realizadas, en Colombia, explote apuestas hípicas sobre carreras realizadas fuera del territorio nacional, pagará como derechos </w:t>
      </w:r>
      <w:r w:rsidRPr="00B22E12">
        <w:rPr>
          <w:rFonts w:ascii="Arial" w:eastAsia="Times New Roman" w:hAnsi="Arial" w:cs="Arial"/>
          <w:lang w:eastAsia="es-CO"/>
        </w:rPr>
        <w:lastRenderedPageBreak/>
        <w:t>de explotación el cinco por ciento (5%) de los ingresos brutos por concepto de venta de esas apuestas.</w:t>
      </w:r>
    </w:p>
    <w:p w14:paraId="0804A19D" w14:textId="77777777" w:rsidR="002B58EB" w:rsidRPr="00B22E12" w:rsidRDefault="002B58EB" w:rsidP="002B58EB">
      <w:pPr>
        <w:spacing w:after="0" w:line="240" w:lineRule="auto"/>
        <w:jc w:val="both"/>
        <w:rPr>
          <w:rFonts w:ascii="Arial" w:eastAsia="Times New Roman" w:hAnsi="Arial" w:cs="Arial"/>
          <w:lang w:eastAsia="es-CO"/>
        </w:rPr>
      </w:pPr>
    </w:p>
    <w:p w14:paraId="6AF1C2F3" w14:textId="34B8AA5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Los derechos de explotación generados por las apuestas hípicas serán distribuidos en cada uno de los departamentos o distritos de la siguiente forma: un cincuenta por ciento (50%) con destino a la financiación de servicios prestados a la población pobre en lo no cubierto por subsidios a la demanda y a la población vinculada que se atienda a través de la red hospitalaria pública, la cual deberá sujetarse a las condiciones que establezca el Gobierno Nacional para el pago de estas prestaciones en salud, y el cincuenta por ciento (50%) restante para financiación de renovación tecnológica de la red pública hospitalaria en la respectiva entidad territorial.</w:t>
      </w:r>
    </w:p>
    <w:p w14:paraId="2B6B0506" w14:textId="77777777" w:rsidR="002B58EB" w:rsidRPr="00B22E12" w:rsidRDefault="002B58EB" w:rsidP="002B58EB">
      <w:pPr>
        <w:spacing w:after="0" w:line="240" w:lineRule="auto"/>
        <w:jc w:val="both"/>
        <w:rPr>
          <w:rFonts w:ascii="Arial" w:eastAsia="Times New Roman" w:hAnsi="Arial" w:cs="Arial"/>
          <w:lang w:eastAsia="es-CO"/>
        </w:rPr>
      </w:pPr>
    </w:p>
    <w:p w14:paraId="57D0C5C2" w14:textId="43AC8CF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reglamento del juego establecerá el porcentaje que de las apuestas hípicas debe ser distribuido entre el público.</w:t>
      </w:r>
    </w:p>
    <w:p w14:paraId="4DA90579" w14:textId="77777777" w:rsidR="002B58EB" w:rsidRPr="00B22E12" w:rsidRDefault="002B58EB" w:rsidP="002B58EB">
      <w:pPr>
        <w:spacing w:after="0" w:line="240" w:lineRule="auto"/>
        <w:jc w:val="both"/>
        <w:rPr>
          <w:rFonts w:ascii="Arial" w:eastAsia="Times New Roman" w:hAnsi="Arial" w:cs="Arial"/>
          <w:lang w:eastAsia="es-CO"/>
        </w:rPr>
      </w:pPr>
    </w:p>
    <w:p w14:paraId="7F3F8973"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Cuando el operador al cual se le haya adjudicado la concesión de apuestas hípicas sobre carreras realizadas en Colombia construya su hipódromo, podrá prorrogársele su contrato de concesión para la operación de las apuestas hípicas por un periodo igual al establecido en el inciso 2o del presente artículo”.</w:t>
      </w:r>
    </w:p>
    <w:p w14:paraId="00692EE9" w14:textId="77777777" w:rsidR="00EB1BA7" w:rsidRPr="00B22E12" w:rsidRDefault="00EB1BA7" w:rsidP="002B58EB">
      <w:pPr>
        <w:spacing w:after="0" w:line="240" w:lineRule="auto"/>
        <w:jc w:val="both"/>
        <w:rPr>
          <w:rFonts w:ascii="Arial" w:hAnsi="Arial" w:cs="Arial"/>
        </w:rPr>
      </w:pPr>
      <w:bookmarkStart w:id="17" w:name="16"/>
    </w:p>
    <w:p w14:paraId="7B30C0C1" w14:textId="3CBED7C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16. GIRO DIRECTO DE DERECHOS DE EXPLOTACIÓN DE APUESTAS PERMANENTES.</w:t>
      </w:r>
      <w:bookmarkEnd w:id="17"/>
      <w:r w:rsidRPr="00B22E12">
        <w:rPr>
          <w:rFonts w:ascii="Arial" w:eastAsia="Times New Roman" w:hAnsi="Arial" w:cs="Arial"/>
          <w:lang w:eastAsia="es-CO"/>
        </w:rPr>
        <w:t> En el juego de apuestas permanentes o chance los derechos de explotación serán girados directamente por parte de los operadores del juego a los respectivos fondos de salud, dentro de los primeros cinco (5) días hábiles del mes siguiente a su recaudo. Lo anterior, sin perjuicio de las funciones señaladas en los artículos </w:t>
      </w:r>
      <w:hyperlink r:id="rId31" w:anchor="41" w:history="1">
        <w:r w:rsidRPr="00B22E12">
          <w:rPr>
            <w:rFonts w:ascii="Arial" w:eastAsia="Times New Roman" w:hAnsi="Arial" w:cs="Arial"/>
            <w:lang w:eastAsia="es-CO"/>
          </w:rPr>
          <w:t>41</w:t>
        </w:r>
      </w:hyperlink>
      <w:r w:rsidRPr="00B22E12">
        <w:rPr>
          <w:rFonts w:ascii="Arial" w:eastAsia="Times New Roman" w:hAnsi="Arial" w:cs="Arial"/>
          <w:lang w:eastAsia="es-CO"/>
        </w:rPr>
        <w:t>, </w:t>
      </w:r>
      <w:hyperlink r:id="rId32" w:anchor="43" w:history="1">
        <w:r w:rsidRPr="00B22E12">
          <w:rPr>
            <w:rFonts w:ascii="Arial" w:eastAsia="Times New Roman" w:hAnsi="Arial" w:cs="Arial"/>
            <w:lang w:eastAsia="es-CO"/>
          </w:rPr>
          <w:t>43</w:t>
        </w:r>
      </w:hyperlink>
      <w:r w:rsidRPr="00B22E12">
        <w:rPr>
          <w:rFonts w:ascii="Arial" w:eastAsia="Times New Roman" w:hAnsi="Arial" w:cs="Arial"/>
          <w:lang w:eastAsia="es-CO"/>
        </w:rPr>
        <w:t> y </w:t>
      </w:r>
      <w:hyperlink r:id="rId33" w:anchor="44" w:history="1">
        <w:r w:rsidRPr="00B22E12">
          <w:rPr>
            <w:rFonts w:ascii="Arial" w:eastAsia="Times New Roman" w:hAnsi="Arial" w:cs="Arial"/>
            <w:lang w:eastAsia="es-CO"/>
          </w:rPr>
          <w:t>44</w:t>
        </w:r>
      </w:hyperlink>
      <w:r w:rsidRPr="00B22E12">
        <w:rPr>
          <w:rFonts w:ascii="Arial" w:eastAsia="Times New Roman" w:hAnsi="Arial" w:cs="Arial"/>
          <w:lang w:eastAsia="es-CO"/>
        </w:rPr>
        <w:t> de la Ley 643 de 2001.</w:t>
      </w:r>
    </w:p>
    <w:p w14:paraId="39C99329" w14:textId="77777777" w:rsidR="00EB1BA7" w:rsidRPr="00B22E12" w:rsidRDefault="00EB1BA7" w:rsidP="002B58EB">
      <w:pPr>
        <w:spacing w:after="0" w:line="240" w:lineRule="auto"/>
        <w:jc w:val="both"/>
        <w:rPr>
          <w:rFonts w:ascii="Arial" w:hAnsi="Arial" w:cs="Arial"/>
        </w:rPr>
      </w:pPr>
      <w:bookmarkStart w:id="18" w:name="17"/>
    </w:p>
    <w:p w14:paraId="2AFD7EC1" w14:textId="7AC6DAE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17. DERECHOS DE EXPLOTACIÓN DE LOTERÍA INSTANTÁNEA Y LOTTO PREIMPRESO.</w:t>
      </w:r>
      <w:bookmarkEnd w:id="18"/>
      <w:r w:rsidRPr="00B22E12">
        <w:rPr>
          <w:rFonts w:ascii="Arial" w:eastAsia="Times New Roman" w:hAnsi="Arial" w:cs="Arial"/>
          <w:lang w:eastAsia="es-CO"/>
        </w:rPr>
        <w:t xml:space="preserve"> Los derechos de explotación que provengan de la operación de los juegos lotería instantánea y </w:t>
      </w:r>
      <w:proofErr w:type="spellStart"/>
      <w:r w:rsidRPr="00B22E12">
        <w:rPr>
          <w:rFonts w:ascii="Arial" w:eastAsia="Times New Roman" w:hAnsi="Arial" w:cs="Arial"/>
          <w:lang w:eastAsia="es-CO"/>
        </w:rPr>
        <w:t>lotto</w:t>
      </w:r>
      <w:proofErr w:type="spellEnd"/>
      <w:r w:rsidRPr="00B22E12">
        <w:rPr>
          <w:rFonts w:ascii="Arial" w:eastAsia="Times New Roman" w:hAnsi="Arial" w:cs="Arial"/>
          <w:lang w:eastAsia="es-CO"/>
        </w:rPr>
        <w:t xml:space="preserve"> preimpreso, se destinarán a los departamentos y al Distrito Capital para la financiación de la unificación del plan obligatorio de salud del régimen subsidiado y contributivo.</w:t>
      </w:r>
    </w:p>
    <w:p w14:paraId="4F71C5AF" w14:textId="77777777" w:rsidR="002B58EB" w:rsidRPr="00B22E12" w:rsidRDefault="002B58EB" w:rsidP="002B58EB">
      <w:pPr>
        <w:spacing w:after="0" w:line="240" w:lineRule="auto"/>
        <w:jc w:val="both"/>
        <w:rPr>
          <w:rFonts w:ascii="Arial" w:eastAsia="Times New Roman" w:hAnsi="Arial" w:cs="Arial"/>
          <w:lang w:eastAsia="es-CO"/>
        </w:rPr>
      </w:pPr>
    </w:p>
    <w:p w14:paraId="59F48B94"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explotación de estos juegos corresponde a los departamentos y al Distrito Capital, quienes harán la selección y la contratación del tercero operador a través de la entidad que agremie a los departamentos en el país.</w:t>
      </w:r>
    </w:p>
    <w:p w14:paraId="262BB2D5" w14:textId="77777777" w:rsidR="00EB1BA7" w:rsidRPr="00B22E12" w:rsidRDefault="00EB1BA7" w:rsidP="002B58EB">
      <w:pPr>
        <w:spacing w:after="0" w:line="240" w:lineRule="auto"/>
        <w:jc w:val="both"/>
        <w:rPr>
          <w:rFonts w:ascii="Arial" w:hAnsi="Arial" w:cs="Arial"/>
        </w:rPr>
      </w:pPr>
      <w:bookmarkStart w:id="19" w:name="18"/>
    </w:p>
    <w:p w14:paraId="6561675C" w14:textId="1390697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18. EJERCICIO ILÍCITO DE ACTIVIDAD MONOPOLÍSTICA DE ARBITRIO RENTÍSTICO.</w:t>
      </w:r>
      <w:bookmarkEnd w:id="19"/>
      <w:r w:rsidRPr="00B22E12">
        <w:rPr>
          <w:rFonts w:ascii="Arial" w:eastAsia="Times New Roman" w:hAnsi="Arial" w:cs="Arial"/>
          <w:lang w:eastAsia="es-CO"/>
        </w:rPr>
        <w:t> Modifíquese el artículo </w:t>
      </w:r>
      <w:hyperlink r:id="rId34" w:anchor="312" w:history="1">
        <w:r w:rsidRPr="00B22E12">
          <w:rPr>
            <w:rFonts w:ascii="Arial" w:eastAsia="Times New Roman" w:hAnsi="Arial" w:cs="Arial"/>
            <w:lang w:eastAsia="es-CO"/>
          </w:rPr>
          <w:t>312</w:t>
        </w:r>
      </w:hyperlink>
      <w:r w:rsidRPr="00B22E12">
        <w:rPr>
          <w:rFonts w:ascii="Arial" w:eastAsia="Times New Roman" w:hAnsi="Arial" w:cs="Arial"/>
          <w:lang w:eastAsia="es-CO"/>
        </w:rPr>
        <w:t> del Código Penal, el cual quedará así:</w:t>
      </w:r>
    </w:p>
    <w:p w14:paraId="0519D17D" w14:textId="77777777" w:rsidR="002B58EB" w:rsidRPr="00B22E12" w:rsidRDefault="002B58EB" w:rsidP="002B58EB">
      <w:pPr>
        <w:spacing w:after="0" w:line="240" w:lineRule="auto"/>
        <w:jc w:val="both"/>
        <w:rPr>
          <w:rFonts w:ascii="Arial" w:eastAsia="Times New Roman" w:hAnsi="Arial" w:cs="Arial"/>
          <w:lang w:eastAsia="es-CO"/>
        </w:rPr>
      </w:pPr>
    </w:p>
    <w:p w14:paraId="64C7324D"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35" w:anchor="312" w:history="1">
        <w:r w:rsidRPr="00B22E12">
          <w:rPr>
            <w:rFonts w:ascii="Arial" w:eastAsia="Times New Roman" w:hAnsi="Arial" w:cs="Arial"/>
            <w:lang w:eastAsia="es-CO"/>
          </w:rPr>
          <w:t>312</w:t>
        </w:r>
      </w:hyperlink>
      <w:r w:rsidRPr="00B22E12">
        <w:rPr>
          <w:rFonts w:ascii="Arial" w:eastAsia="Times New Roman" w:hAnsi="Arial" w:cs="Arial"/>
          <w:lang w:eastAsia="es-CO"/>
        </w:rPr>
        <w:t>. Ejercicio ilícito de actividad monopolística de arbitrio rentístico. El que de cualquier manera o valiéndose de cualquier medio ejerza una actividad establecida como monopolio de arbitrio rentístico, sin la respectiva autorización, permiso o contrato, o utilice elementos o modalidades de juego no oficiales, incurrirá en prisión de seis (6) a ocho (8) años y multa de quinientos (500) a mil (1.000) salarios mínimos legales mensuales vigentes.</w:t>
      </w:r>
    </w:p>
    <w:p w14:paraId="7EEF304A" w14:textId="77777777" w:rsidR="000E7FFE" w:rsidRPr="00B22E12" w:rsidRDefault="000E7FFE" w:rsidP="002B58EB">
      <w:pPr>
        <w:spacing w:after="0" w:line="240" w:lineRule="auto"/>
        <w:jc w:val="both"/>
        <w:rPr>
          <w:rFonts w:ascii="Arial" w:eastAsia="Times New Roman" w:hAnsi="Arial" w:cs="Arial"/>
          <w:lang w:eastAsia="es-CO"/>
        </w:rPr>
      </w:pPr>
    </w:p>
    <w:p w14:paraId="48E193CE" w14:textId="77FEA43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pena se aumentará en una tercera parte cuando la conducta fuere cometida por el particular que sea concesionario representante legal o empresario legalmente autorizado para la explotación de un monopolio rentístico y hasta la mitad, cuando lo fuere por un servidor público de cualquier entidad titular de un monopolio de arbitrio rentístico o cuyo objeto sea la explotación o administración de este”.</w:t>
      </w:r>
    </w:p>
    <w:p w14:paraId="19F9F97D" w14:textId="77777777" w:rsidR="00EB1BA7" w:rsidRPr="00B22E12" w:rsidRDefault="00EB1BA7" w:rsidP="002B58EB">
      <w:pPr>
        <w:spacing w:after="0" w:line="240" w:lineRule="auto"/>
        <w:jc w:val="both"/>
        <w:rPr>
          <w:rFonts w:ascii="Arial" w:hAnsi="Arial" w:cs="Arial"/>
        </w:rPr>
      </w:pPr>
      <w:bookmarkStart w:id="20" w:name="19"/>
    </w:p>
    <w:p w14:paraId="68D08C70" w14:textId="7D5AA85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19. ADMINISTRACIÓN DE DERECHOS DE EXPLOTACIÓN.</w:t>
      </w:r>
      <w:bookmarkEnd w:id="20"/>
    </w:p>
    <w:p w14:paraId="6F38DC10" w14:textId="77777777" w:rsidR="00677FD0" w:rsidRPr="00B22E12" w:rsidRDefault="00677FD0" w:rsidP="002B58EB">
      <w:pPr>
        <w:spacing w:after="0" w:line="240" w:lineRule="auto"/>
        <w:jc w:val="both"/>
        <w:rPr>
          <w:rFonts w:ascii="Arial" w:eastAsia="Times New Roman" w:hAnsi="Arial" w:cs="Arial"/>
          <w:lang w:eastAsia="es-CO"/>
        </w:rPr>
      </w:pPr>
    </w:p>
    <w:p w14:paraId="23A890E3" w14:textId="497788F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Inciso derogado</w:t>
      </w:r>
    </w:p>
    <w:p w14:paraId="17CAF172" w14:textId="77777777" w:rsidR="002B58EB" w:rsidRPr="00B22E12" w:rsidRDefault="002B58EB" w:rsidP="002B58EB">
      <w:pPr>
        <w:spacing w:after="0" w:line="240" w:lineRule="auto"/>
        <w:jc w:val="both"/>
        <w:rPr>
          <w:rFonts w:ascii="Arial" w:eastAsia="Times New Roman" w:hAnsi="Arial" w:cs="Arial"/>
          <w:lang w:eastAsia="es-CO"/>
        </w:rPr>
      </w:pPr>
    </w:p>
    <w:p w14:paraId="7E4EB5A3" w14:textId="146FA1F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Inciso derogado</w:t>
      </w:r>
    </w:p>
    <w:p w14:paraId="36AA68D5" w14:textId="77777777" w:rsidR="00F70698" w:rsidRPr="00B22E12" w:rsidRDefault="00F70698" w:rsidP="002B58EB">
      <w:pPr>
        <w:spacing w:after="0" w:line="240" w:lineRule="auto"/>
        <w:jc w:val="both"/>
        <w:rPr>
          <w:rFonts w:ascii="Arial" w:eastAsia="Times New Roman" w:hAnsi="Arial" w:cs="Arial"/>
          <w:lang w:eastAsia="es-CO"/>
        </w:rPr>
      </w:pPr>
    </w:p>
    <w:p w14:paraId="2A723B4A" w14:textId="1B4C7F0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En el caso de juegos de suerte y azar administrados por entidades territoriales, la administración de los derechos de explotación y los gastos de administración estará en cabeza de las entidades públicas administradoras del monopolio o por la entidad del respectivo nivel territorial que se determine.</w:t>
      </w:r>
    </w:p>
    <w:p w14:paraId="60B14AEA" w14:textId="77777777" w:rsidR="002B58EB" w:rsidRPr="00B22E12" w:rsidRDefault="002B58EB" w:rsidP="002B58EB">
      <w:pPr>
        <w:spacing w:after="0" w:line="240" w:lineRule="auto"/>
        <w:jc w:val="both"/>
        <w:rPr>
          <w:rFonts w:ascii="Arial" w:eastAsia="Times New Roman" w:hAnsi="Arial" w:cs="Arial"/>
          <w:lang w:eastAsia="es-CO"/>
        </w:rPr>
      </w:pPr>
    </w:p>
    <w:p w14:paraId="7B595D05" w14:textId="0C93CF0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1o. A más tardar el 1o de enero de 2011, la DIAN asumirá la función de administración en términos de recaudo de los derechos de explotación y gastos de administración sobre los juegos de suerte y azar explotados por entidades públicas del nivel nacional. Los recursos así recaudados deberán ser manejados de forma independiente por la Dirección de Crédito Público y Tesoro Nacional del Ministerio de Hacienda y Crédito Público, hasta tanto sean ejecutados de acuerdo con las normas presupuestales.</w:t>
      </w:r>
    </w:p>
    <w:p w14:paraId="1D79CEC1" w14:textId="77777777" w:rsidR="002B58EB" w:rsidRPr="00B22E12" w:rsidRDefault="002B58EB" w:rsidP="002B58EB">
      <w:pPr>
        <w:spacing w:after="0" w:line="240" w:lineRule="auto"/>
        <w:jc w:val="both"/>
        <w:rPr>
          <w:rFonts w:ascii="Arial" w:eastAsia="Times New Roman" w:hAnsi="Arial" w:cs="Arial"/>
          <w:lang w:eastAsia="es-CO"/>
        </w:rPr>
      </w:pPr>
    </w:p>
    <w:p w14:paraId="2E529289"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distribución de los gastos de administración sobre los juegos de suerte y azar explotados por entidades públicas del nivel nacional, será la que defina el Gobierno Nacional.</w:t>
      </w:r>
    </w:p>
    <w:p w14:paraId="0A089F23" w14:textId="77777777" w:rsidR="00EB1BA7" w:rsidRPr="00B22E12" w:rsidRDefault="00EB1BA7" w:rsidP="002B58EB">
      <w:pPr>
        <w:spacing w:after="0" w:line="240" w:lineRule="auto"/>
        <w:jc w:val="both"/>
        <w:rPr>
          <w:rFonts w:ascii="Arial" w:hAnsi="Arial" w:cs="Arial"/>
        </w:rPr>
      </w:pPr>
      <w:bookmarkStart w:id="21" w:name="20"/>
    </w:p>
    <w:p w14:paraId="2C7A1AA8" w14:textId="127E156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20. SANCIONES POR EVASIÓN DE LOS DERECHOS DE EXPLOTACIÓN Y GASTOS DE ADMINISTRACIÓN.</w:t>
      </w:r>
      <w:bookmarkEnd w:id="21"/>
      <w:r w:rsidR="00083277" w:rsidRPr="00B22E12">
        <w:rPr>
          <w:rFonts w:ascii="Arial" w:eastAsia="Times New Roman" w:hAnsi="Arial" w:cs="Arial"/>
          <w:lang w:eastAsia="es-CO"/>
        </w:rPr>
        <w:t xml:space="preserve"> </w:t>
      </w:r>
      <w:r w:rsidRPr="00B22E12">
        <w:rPr>
          <w:rFonts w:ascii="Arial" w:eastAsia="Times New Roman" w:hAnsi="Arial" w:cs="Arial"/>
          <w:lang w:eastAsia="es-CO"/>
        </w:rPr>
        <w:t>Modifíquese el artículo </w:t>
      </w:r>
      <w:hyperlink r:id="rId36" w:anchor="44" w:history="1">
        <w:r w:rsidRPr="00B22E12">
          <w:rPr>
            <w:rFonts w:ascii="Arial" w:eastAsia="Times New Roman" w:hAnsi="Arial" w:cs="Arial"/>
            <w:lang w:eastAsia="es-CO"/>
          </w:rPr>
          <w:t>44</w:t>
        </w:r>
      </w:hyperlink>
      <w:r w:rsidRPr="00B22E12">
        <w:rPr>
          <w:rFonts w:ascii="Arial" w:eastAsia="Times New Roman" w:hAnsi="Arial" w:cs="Arial"/>
          <w:lang w:eastAsia="es-CO"/>
        </w:rPr>
        <w:t> de la Ley 643 de 2001, que quedará así:</w:t>
      </w:r>
    </w:p>
    <w:p w14:paraId="7C42408E" w14:textId="77777777" w:rsidR="002B58EB" w:rsidRPr="00B22E12" w:rsidRDefault="002B58EB" w:rsidP="002B58EB">
      <w:pPr>
        <w:spacing w:after="0" w:line="240" w:lineRule="auto"/>
        <w:jc w:val="both"/>
        <w:rPr>
          <w:rFonts w:ascii="Arial" w:eastAsia="Times New Roman" w:hAnsi="Arial" w:cs="Arial"/>
          <w:lang w:eastAsia="es-CO"/>
        </w:rPr>
      </w:pPr>
    </w:p>
    <w:p w14:paraId="635D6E3B" w14:textId="2C9068D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i/>
          <w:iCs/>
          <w:lang w:eastAsia="es-CO"/>
        </w:rPr>
        <w:t>“</w:t>
      </w:r>
      <w:r w:rsidRPr="00B22E12">
        <w:rPr>
          <w:rFonts w:ascii="Arial" w:eastAsia="Times New Roman" w:hAnsi="Arial" w:cs="Arial"/>
          <w:lang w:eastAsia="es-CO"/>
        </w:rPr>
        <w:t>Artículo </w:t>
      </w:r>
      <w:hyperlink r:id="rId37" w:anchor="44" w:history="1">
        <w:r w:rsidRPr="00B22E12">
          <w:rPr>
            <w:rFonts w:ascii="Arial" w:eastAsia="Times New Roman" w:hAnsi="Arial" w:cs="Arial"/>
            <w:lang w:eastAsia="es-CO"/>
          </w:rPr>
          <w:t>44</w:t>
        </w:r>
      </w:hyperlink>
      <w:r w:rsidRPr="00B22E12">
        <w:rPr>
          <w:rFonts w:ascii="Arial" w:eastAsia="Times New Roman" w:hAnsi="Arial" w:cs="Arial"/>
          <w:lang w:eastAsia="es-CO"/>
        </w:rPr>
        <w:t>. Sanciones por Evasión de los Derechos de Explotación. Sin perjuicio de las sanciones penales a que haya lugar y de las sanciones administrativas y aduaneras que impongan las autoridades competentes, y de la responsabilidad fiscal, las entidades públicas administradoras del monopolio del orden territorial y la Dirección de Impuestos y Aduanas Nacionales - DIAN, con el apoyo de la Policía Nacional, cuando las circunstancias lo exijan, en relación con los derechos de explotación y gastos de administración de su competencia, podrán imponer las siguientes sanciones por los siguientes hechos, mediante el procedimiento administrativo consagrado en la parte primera del Código Contencioso Administrativo, o el que lo modifique o sustituya, previa solicitud de explicaciones:</w:t>
      </w:r>
    </w:p>
    <w:p w14:paraId="3B1322ED" w14:textId="77777777" w:rsidR="002B58EB" w:rsidRPr="00B22E12" w:rsidRDefault="002B58EB" w:rsidP="002B58EB">
      <w:pPr>
        <w:spacing w:after="0" w:line="240" w:lineRule="auto"/>
        <w:jc w:val="both"/>
        <w:rPr>
          <w:rFonts w:ascii="Arial" w:eastAsia="Times New Roman" w:hAnsi="Arial" w:cs="Arial"/>
          <w:lang w:eastAsia="es-CO"/>
        </w:rPr>
      </w:pPr>
    </w:p>
    <w:p w14:paraId="125AA70D" w14:textId="682FAC9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 Cuando detecten personas operando juegos de suerte y azar sin ser concesionarios o autorizados o siendo concesionarios o autorizados que operen elementos de juego no autorizados, podrá cerrar los establecimientos, decomisar los elementos de juego y deberá poner los hechos en conocimiento de la autoridad penal competente.</w:t>
      </w:r>
    </w:p>
    <w:p w14:paraId="07FE3764" w14:textId="77777777" w:rsidR="002B58EB" w:rsidRPr="00B22E12" w:rsidRDefault="002B58EB" w:rsidP="002B58EB">
      <w:pPr>
        <w:spacing w:after="0" w:line="240" w:lineRule="auto"/>
        <w:jc w:val="both"/>
        <w:rPr>
          <w:rFonts w:ascii="Arial" w:eastAsia="Times New Roman" w:hAnsi="Arial" w:cs="Arial"/>
          <w:lang w:eastAsia="es-CO"/>
        </w:rPr>
      </w:pPr>
    </w:p>
    <w:p w14:paraId="3AC75A7D" w14:textId="08E719D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En estos casos, para los juegos localizados o similares, a los responsables se les proferirá sanción de multa equivalente a ochenta (80) salarios mínimos legales mensuales vigentes por cada máquina tragamonedas; el equivalente a ciento cuarenta (140) salarios mínimos legales mensuales vigentes por cada mesa de casino; el equivalente a un (1) salario mínimo legal mensual vigente por cada silla de bingo, sin que en ningún caso sea inferior al equivalente a 50 sillas si se encuentra operando en municipios de hasta 50.000 habitantes, a 100 sillas si se encuentra operando en municipios de más de 50.000 y menos de 100.000 habitantes y al equivalente a 200 sillas si es en municipios de 100.000 o más habitantes y para los juegos de suerte y azar, distintos a los localizados, cuya operación se haga por autorización, la sanción será de cien (100) salarios mínimos legales mensuales vigentes; y para los juegos de suerte y azar, distintos a los localizados, cuya operación se haga directamente o por contrato de concesión, la sanción será de trescientos (300) salarios mínimos legales mensuales vigentes, por cada establecimiento, punto de venta, expendio o vendedor”.</w:t>
      </w:r>
    </w:p>
    <w:p w14:paraId="24D751BB" w14:textId="77777777" w:rsidR="002B58EB" w:rsidRPr="00B22E12" w:rsidRDefault="002B58EB" w:rsidP="002B58EB">
      <w:pPr>
        <w:spacing w:after="0" w:line="240" w:lineRule="auto"/>
        <w:jc w:val="both"/>
        <w:rPr>
          <w:rFonts w:ascii="Arial" w:eastAsia="Times New Roman" w:hAnsi="Arial" w:cs="Arial"/>
          <w:lang w:eastAsia="es-CO"/>
        </w:rPr>
      </w:pPr>
    </w:p>
    <w:p w14:paraId="0CE7532B" w14:textId="736739B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Las personas a quienes se denuncie por la operación ilegal de juegos de suerte y azar podrán ser suspendidas en el ejercicio de la actividad mientras se adelanta la respectiva investigación.</w:t>
      </w:r>
    </w:p>
    <w:p w14:paraId="5A1EFA73" w14:textId="77777777" w:rsidR="002B58EB" w:rsidRPr="00B22E12" w:rsidRDefault="002B58EB" w:rsidP="002B58EB">
      <w:pPr>
        <w:spacing w:after="0" w:line="240" w:lineRule="auto"/>
        <w:jc w:val="both"/>
        <w:rPr>
          <w:rFonts w:ascii="Arial" w:eastAsia="Times New Roman" w:hAnsi="Arial" w:cs="Arial"/>
          <w:lang w:eastAsia="es-CO"/>
        </w:rPr>
      </w:pPr>
    </w:p>
    <w:p w14:paraId="216E3F5C" w14:textId="717AF21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sanción de multa conlleva una inhabilidad para operar juegos de suerte y azar durante los cinco (5 años siguientes a la imposición de la sanción.</w:t>
      </w:r>
    </w:p>
    <w:p w14:paraId="14A6D7F8" w14:textId="77777777" w:rsidR="002B58EB" w:rsidRPr="00B22E12" w:rsidRDefault="002B58EB" w:rsidP="002B58EB">
      <w:pPr>
        <w:spacing w:after="0" w:line="240" w:lineRule="auto"/>
        <w:jc w:val="both"/>
        <w:rPr>
          <w:rFonts w:ascii="Arial" w:eastAsia="Times New Roman" w:hAnsi="Arial" w:cs="Arial"/>
          <w:lang w:eastAsia="es-CO"/>
        </w:rPr>
      </w:pPr>
    </w:p>
    <w:p w14:paraId="1D8182BE" w14:textId="50DE066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b) Cuando detecten que los concesionarios o personas autorizadas no declaren los derechos de explotación en el período respectivo, proferirán, sin perjuicio de la suspensión definitiva del juego, liquidación de aforo por los derechos de explotación no declarados e impondrá sanción de aforo equivalente al doscientos por ciento (200%) de los derechos de explotación causados por el período no declarado.</w:t>
      </w:r>
    </w:p>
    <w:p w14:paraId="70A8EACB" w14:textId="77777777" w:rsidR="002B58EB" w:rsidRPr="00B22E12" w:rsidRDefault="002B58EB" w:rsidP="002B58EB">
      <w:pPr>
        <w:spacing w:after="0" w:line="240" w:lineRule="auto"/>
        <w:jc w:val="both"/>
        <w:rPr>
          <w:rFonts w:ascii="Arial" w:eastAsia="Times New Roman" w:hAnsi="Arial" w:cs="Arial"/>
          <w:lang w:eastAsia="es-CO"/>
        </w:rPr>
      </w:pPr>
    </w:p>
    <w:p w14:paraId="0C817018" w14:textId="1B44693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c) Cuando detecten que los concesionarios o personas autorizadas omiten o incluyen información en su liquidación privada de los derechos de explotación de las cuales se origine el pago de un menor valor por concepto de los mismos, proferirá liquidación de revisión y en la misma impondrá sanción por inexactitud equivalente al ciento sesenta por ciento (160%) de la diferencia entre el saldo a pagar determinado por la administración y el declarado por el concesionario o autorizado.</w:t>
      </w:r>
    </w:p>
    <w:p w14:paraId="2A85BD19" w14:textId="77777777" w:rsidR="002B58EB" w:rsidRPr="00B22E12" w:rsidRDefault="002B58EB" w:rsidP="002B58EB">
      <w:pPr>
        <w:spacing w:after="0" w:line="240" w:lineRule="auto"/>
        <w:jc w:val="both"/>
        <w:rPr>
          <w:rFonts w:ascii="Arial" w:eastAsia="Times New Roman" w:hAnsi="Arial" w:cs="Arial"/>
          <w:lang w:eastAsia="es-CO"/>
        </w:rPr>
      </w:pPr>
    </w:p>
    <w:p w14:paraId="5CB5FD9E" w14:textId="67B4388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término para proferir las liquidaciones y las sanciones de que trata el literal c), será de dos (2) años contados a partir del momento de presentación de las declaraciones. El término para proferir las liquidaciones y las sanciones de que tratan los literales a) y b) será de dos (2) años contados a partir del momento de conocimiento de los hechos por parte de la respectiva autoridad de fiscalización.</w:t>
      </w:r>
    </w:p>
    <w:p w14:paraId="07EA7C93" w14:textId="77777777" w:rsidR="002B58EB" w:rsidRPr="00B22E12" w:rsidRDefault="002B58EB" w:rsidP="002B58EB">
      <w:pPr>
        <w:spacing w:after="0" w:line="240" w:lineRule="auto"/>
        <w:jc w:val="both"/>
        <w:rPr>
          <w:rFonts w:ascii="Arial" w:eastAsia="Times New Roman" w:hAnsi="Arial" w:cs="Arial"/>
          <w:lang w:eastAsia="es-CO"/>
        </w:rPr>
      </w:pPr>
    </w:p>
    <w:p w14:paraId="4CCF7961" w14:textId="49B9D6D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Las sanciones a que se refiere el presente artículo se impondrán sin perjuicio de cobro de las multas o la indemnización contemplada en la cláusula pena pecuniaria pactada en los contratos de concesión, cuando a ello hubiere lugar, y sin perjuicio del pago total de los derechos de explotación adeudados.</w:t>
      </w:r>
    </w:p>
    <w:p w14:paraId="7973BBDC" w14:textId="77777777" w:rsidR="002B58EB" w:rsidRPr="00B22E12" w:rsidRDefault="002B58EB" w:rsidP="002B58EB">
      <w:pPr>
        <w:spacing w:after="0" w:line="240" w:lineRule="auto"/>
        <w:jc w:val="both"/>
        <w:rPr>
          <w:rFonts w:ascii="Arial" w:eastAsia="Times New Roman" w:hAnsi="Arial" w:cs="Arial"/>
          <w:lang w:eastAsia="es-CO"/>
        </w:rPr>
      </w:pPr>
    </w:p>
    <w:p w14:paraId="4E70560E" w14:textId="5647541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El cierre del establecimiento y el decomiso de que trata este artículo, son sanciones que se impondrán, previo el agotamiento del siguiente procedimiento. Si en la diligencia de verificación no se acredita la autorización en la operación o en los elementos de juego se procede a levantar el Acta de Hechos que se notificará personalmente a quien atiende la diligencia, para que en el término máximo de quince (15) días siguientes demuestre la previa autorización de la operación y/o de los elementos de juego, en caso contrario se procederá a imponer estas sanciones mediante acto administrativo debidamente motivado, el cual se proferirá en un término no superior a treinta (30) días, y contra el cual procederá únicamente el recurso de reposición que deberá ser interpuesto dentro de los cinco (5) días siguientes a su notificación y deberá resolverse en un término no superior a quince (15) días contados a partir de su interposición. En firme el acto administrativo que declara el decomiso se procederá a la destrucción de los elementos.</w:t>
      </w:r>
    </w:p>
    <w:p w14:paraId="09721CDA" w14:textId="77777777" w:rsidR="00083277" w:rsidRPr="00B22E12" w:rsidRDefault="00083277" w:rsidP="002B58EB">
      <w:pPr>
        <w:spacing w:after="0" w:line="240" w:lineRule="auto"/>
        <w:jc w:val="both"/>
        <w:rPr>
          <w:rFonts w:ascii="Arial" w:eastAsia="Times New Roman" w:hAnsi="Arial" w:cs="Arial"/>
          <w:lang w:eastAsia="es-CO"/>
        </w:rPr>
      </w:pPr>
    </w:p>
    <w:p w14:paraId="46A22C6E"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Mientras se surte el procedimiento anterior se decretarán como medidas cautelares el cierre del establecimiento y el retiro de los elementos, los cuales quedarán bajo la custodia de la entidad territorial o de la Dirección de Impuestos y Aduana Nacionales –DIAN–, de conformidad con sus competencias.</w:t>
      </w:r>
    </w:p>
    <w:p w14:paraId="7FBCA95F" w14:textId="77777777" w:rsidR="00EB1BA7" w:rsidRPr="00B22E12" w:rsidRDefault="00EB1BA7" w:rsidP="002B58EB">
      <w:pPr>
        <w:spacing w:after="0" w:line="240" w:lineRule="auto"/>
        <w:jc w:val="both"/>
        <w:rPr>
          <w:rFonts w:ascii="Arial" w:hAnsi="Arial" w:cs="Arial"/>
        </w:rPr>
      </w:pPr>
      <w:bookmarkStart w:id="22" w:name="21"/>
    </w:p>
    <w:p w14:paraId="529E1E84" w14:textId="6B10D4B2"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21. COBRO DE RENTAS, DERECHOS DE EXPLOTACIÓN Y SANCIONES.</w:t>
      </w:r>
      <w:bookmarkEnd w:id="22"/>
      <w:r w:rsidRPr="00B22E12">
        <w:rPr>
          <w:rFonts w:ascii="Arial" w:eastAsia="Times New Roman" w:hAnsi="Arial" w:cs="Arial"/>
          <w:lang w:eastAsia="es-CO"/>
        </w:rPr>
        <w:t xml:space="preserve"> Para efectos del cobro de las rentas y derechos de explotación sobre los juegos de suerte y azar y de las sanciones que apliquen los administradores del monopolio y la Dirección de Impuestos y </w:t>
      </w:r>
      <w:r w:rsidRPr="00B22E12">
        <w:rPr>
          <w:rFonts w:ascii="Arial" w:eastAsia="Times New Roman" w:hAnsi="Arial" w:cs="Arial"/>
          <w:lang w:eastAsia="es-CO"/>
        </w:rPr>
        <w:lastRenderedPageBreak/>
        <w:t>Aduanas Nacionales - DIAN, se aplicará el procedimiento de cobro coactivo consagrado en el Estatuto Tributario.</w:t>
      </w:r>
    </w:p>
    <w:p w14:paraId="20AD0AD9" w14:textId="77777777" w:rsidR="00EB1BA7" w:rsidRPr="00B22E12" w:rsidRDefault="00EB1BA7" w:rsidP="002B58EB">
      <w:pPr>
        <w:spacing w:after="0" w:line="240" w:lineRule="auto"/>
        <w:jc w:val="both"/>
        <w:rPr>
          <w:rFonts w:ascii="Arial" w:hAnsi="Arial" w:cs="Arial"/>
        </w:rPr>
      </w:pPr>
      <w:bookmarkStart w:id="23" w:name="22"/>
    </w:p>
    <w:p w14:paraId="4ADB210C" w14:textId="0D26B2F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22.</w:t>
      </w:r>
      <w:bookmarkEnd w:id="23"/>
      <w:r w:rsidRPr="00B22E12">
        <w:rPr>
          <w:rFonts w:ascii="Arial" w:eastAsia="Times New Roman" w:hAnsi="Arial" w:cs="Arial"/>
          <w:lang w:eastAsia="es-CO"/>
        </w:rPr>
        <w:t> Modifíquese el artículo </w:t>
      </w:r>
      <w:hyperlink r:id="rId38" w:anchor="38" w:history="1">
        <w:r w:rsidRPr="00B22E12">
          <w:rPr>
            <w:rFonts w:ascii="Arial" w:eastAsia="Times New Roman" w:hAnsi="Arial" w:cs="Arial"/>
            <w:lang w:eastAsia="es-CO"/>
          </w:rPr>
          <w:t>38</w:t>
        </w:r>
      </w:hyperlink>
      <w:r w:rsidRPr="00B22E12">
        <w:rPr>
          <w:rFonts w:ascii="Arial" w:eastAsia="Times New Roman" w:hAnsi="Arial" w:cs="Arial"/>
          <w:lang w:eastAsia="es-CO"/>
        </w:rPr>
        <w:t> de la Ley 643 de 2001, que quedará así:</w:t>
      </w:r>
    </w:p>
    <w:p w14:paraId="27A2D47B" w14:textId="77777777" w:rsidR="00F70698" w:rsidRPr="00B22E12" w:rsidRDefault="00F70698" w:rsidP="002B58EB">
      <w:pPr>
        <w:spacing w:after="0" w:line="240" w:lineRule="auto"/>
        <w:jc w:val="both"/>
        <w:rPr>
          <w:rFonts w:ascii="Arial" w:eastAsia="Times New Roman" w:hAnsi="Arial" w:cs="Arial"/>
          <w:lang w:eastAsia="es-CO"/>
        </w:rPr>
      </w:pPr>
    </w:p>
    <w:p w14:paraId="538F9E07" w14:textId="787D24B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39" w:anchor="38" w:history="1">
        <w:r w:rsidRPr="00B22E12">
          <w:rPr>
            <w:rFonts w:ascii="Arial" w:eastAsia="Times New Roman" w:hAnsi="Arial" w:cs="Arial"/>
            <w:lang w:eastAsia="es-CO"/>
          </w:rPr>
          <w:t>38</w:t>
        </w:r>
      </w:hyperlink>
      <w:r w:rsidRPr="00B22E12">
        <w:rPr>
          <w:rFonts w:ascii="Arial" w:eastAsia="Times New Roman" w:hAnsi="Arial" w:cs="Arial"/>
          <w:lang w:eastAsia="es-CO"/>
        </w:rPr>
        <w:t xml:space="preserve">. Juegos Novedosos. Son cualquier otra modalidad de juegos de suerte y azar distintos de las loterías tradicionales o de billetes, de las apuestas permanentes y de los demás juegos a que se refiere la presente ley. Se consideran juegos novedosos, entre otros, la </w:t>
      </w:r>
      <w:proofErr w:type="spellStart"/>
      <w:r w:rsidRPr="00B22E12">
        <w:rPr>
          <w:rFonts w:ascii="Arial" w:eastAsia="Times New Roman" w:hAnsi="Arial" w:cs="Arial"/>
          <w:lang w:eastAsia="es-CO"/>
        </w:rPr>
        <w:t>lotto</w:t>
      </w:r>
      <w:proofErr w:type="spellEnd"/>
      <w:r w:rsidRPr="00B22E12">
        <w:rPr>
          <w:rFonts w:ascii="Arial" w:eastAsia="Times New Roman" w:hAnsi="Arial" w:cs="Arial"/>
          <w:lang w:eastAsia="es-CO"/>
        </w:rPr>
        <w:t xml:space="preserve"> preimpresa, la lotería instantánea, el </w:t>
      </w:r>
      <w:proofErr w:type="spellStart"/>
      <w:r w:rsidRPr="00B22E12">
        <w:rPr>
          <w:rFonts w:ascii="Arial" w:eastAsia="Times New Roman" w:hAnsi="Arial" w:cs="Arial"/>
          <w:lang w:eastAsia="es-CO"/>
        </w:rPr>
        <w:t>lotto</w:t>
      </w:r>
      <w:proofErr w:type="spellEnd"/>
      <w:r w:rsidRPr="00B22E12">
        <w:rPr>
          <w:rFonts w:ascii="Arial" w:eastAsia="Times New Roman" w:hAnsi="Arial" w:cs="Arial"/>
          <w:lang w:eastAsia="es-CO"/>
        </w:rPr>
        <w:t xml:space="preserve"> en línea en cualquiera de sus modalidades, los juegos que se operen en línea contentivos de las diferentes apuestas en eventos, apuestas de los juegos de casino virtual, apuestas deportivas y los demás juegos realizados por medios electrónicos, por Internet, por telefonía celular o cualquier otra modalidad en tiempo real que no requiera la presencia del apostador.</w:t>
      </w:r>
    </w:p>
    <w:p w14:paraId="73F6CE28" w14:textId="77777777" w:rsidR="002B58EB" w:rsidRPr="00B22E12" w:rsidRDefault="002B58EB" w:rsidP="002B58EB">
      <w:pPr>
        <w:spacing w:after="0" w:line="240" w:lineRule="auto"/>
        <w:jc w:val="both"/>
        <w:rPr>
          <w:rFonts w:ascii="Arial" w:eastAsia="Times New Roman" w:hAnsi="Arial" w:cs="Arial"/>
          <w:lang w:eastAsia="es-CO"/>
        </w:rPr>
      </w:pPr>
    </w:p>
    <w:p w14:paraId="47AE561F" w14:textId="3348B27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Gobierno Nacional señalará las condiciones para la transferencia de los derechos de explotación y para la operación de juegos por medios electrónicos, por Internet, por telefonía celular o por cualquier otra modalidad en línea y tiempo real, que no requieran la presencia del apostador.</w:t>
      </w:r>
    </w:p>
    <w:p w14:paraId="06F26435" w14:textId="77777777" w:rsidR="002B58EB" w:rsidRPr="00B22E12" w:rsidRDefault="002B58EB" w:rsidP="002B58EB">
      <w:pPr>
        <w:spacing w:after="0" w:line="240" w:lineRule="auto"/>
        <w:jc w:val="both"/>
        <w:rPr>
          <w:rFonts w:ascii="Arial" w:eastAsia="Times New Roman" w:hAnsi="Arial" w:cs="Arial"/>
          <w:lang w:eastAsia="es-CO"/>
        </w:rPr>
      </w:pPr>
    </w:p>
    <w:p w14:paraId="062ACC77" w14:textId="1BFAFFD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Los derechos de explotación que deben transferir quienes operen juegos novedosos equivaldrán, como mínimo, al 17% de los ingresos brutos. En la operación de juegos novedosos por Internet, que podrán realizarse solo en las condiciones que establezca el Gobierno Nacional, los derechos de explotación equivaldrán como mínimo al 10% de los ingresos brutos.</w:t>
      </w:r>
    </w:p>
    <w:p w14:paraId="07360353" w14:textId="77777777" w:rsidR="002B58EB" w:rsidRPr="00B22E12" w:rsidRDefault="002B58EB" w:rsidP="002B58EB">
      <w:pPr>
        <w:spacing w:after="0" w:line="240" w:lineRule="auto"/>
        <w:jc w:val="both"/>
        <w:rPr>
          <w:rFonts w:ascii="Arial" w:eastAsia="Times New Roman" w:hAnsi="Arial" w:cs="Arial"/>
          <w:lang w:eastAsia="es-CO"/>
        </w:rPr>
      </w:pPr>
    </w:p>
    <w:p w14:paraId="32F2A59B"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Los administradores del Monopolio, las autoridades de inspección, vigilancia y control y las autoridades de policía podrán hacer monitoreo a los canales, entidades financieras, páginas de Internet y medios que de cualquier forma sirvan a la explotación, operación, venta, pago, publicidad o comercialización de juegos de suerte y azar no autorizados, y ordenar las alertas y bloqueos correspondientes”.</w:t>
      </w:r>
    </w:p>
    <w:p w14:paraId="1055FD2A" w14:textId="77777777" w:rsidR="00EB1BA7" w:rsidRPr="00B22E12" w:rsidRDefault="00EB1BA7" w:rsidP="002B58EB">
      <w:pPr>
        <w:spacing w:after="0" w:line="240" w:lineRule="auto"/>
        <w:jc w:val="both"/>
        <w:rPr>
          <w:rFonts w:ascii="Arial" w:hAnsi="Arial" w:cs="Arial"/>
        </w:rPr>
      </w:pPr>
      <w:bookmarkStart w:id="24" w:name="23"/>
    </w:p>
    <w:p w14:paraId="114976AE" w14:textId="4F1FC1A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23.</w:t>
      </w:r>
      <w:bookmarkEnd w:id="24"/>
      <w:r w:rsidRPr="00B22E12">
        <w:rPr>
          <w:rFonts w:ascii="Arial" w:eastAsia="Times New Roman" w:hAnsi="Arial" w:cs="Arial"/>
          <w:lang w:eastAsia="es-CO"/>
        </w:rPr>
        <w:t> Modifíquese el artículo </w:t>
      </w:r>
      <w:hyperlink r:id="rId40" w:anchor="24" w:history="1">
        <w:r w:rsidRPr="00B22E12">
          <w:rPr>
            <w:rFonts w:ascii="Arial" w:eastAsia="Times New Roman" w:hAnsi="Arial" w:cs="Arial"/>
            <w:lang w:eastAsia="es-CO"/>
          </w:rPr>
          <w:t>24</w:t>
        </w:r>
      </w:hyperlink>
      <w:r w:rsidRPr="00B22E12">
        <w:rPr>
          <w:rFonts w:ascii="Arial" w:eastAsia="Times New Roman" w:hAnsi="Arial" w:cs="Arial"/>
          <w:lang w:eastAsia="es-CO"/>
        </w:rPr>
        <w:t> de la Ley 643 de 2001, que quedará así:</w:t>
      </w:r>
    </w:p>
    <w:p w14:paraId="77D9A0F8" w14:textId="77777777" w:rsidR="002B58EB" w:rsidRPr="00B22E12" w:rsidRDefault="002B58EB" w:rsidP="002B58EB">
      <w:pPr>
        <w:spacing w:after="0" w:line="240" w:lineRule="auto"/>
        <w:jc w:val="both"/>
        <w:rPr>
          <w:rFonts w:ascii="Arial" w:eastAsia="Times New Roman" w:hAnsi="Arial" w:cs="Arial"/>
          <w:lang w:eastAsia="es-CO"/>
        </w:rPr>
      </w:pPr>
    </w:p>
    <w:p w14:paraId="4A5A9D91" w14:textId="73D8F28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41" w:anchor="24" w:history="1">
        <w:r w:rsidRPr="00B22E12">
          <w:rPr>
            <w:rFonts w:ascii="Arial" w:eastAsia="Times New Roman" w:hAnsi="Arial" w:cs="Arial"/>
            <w:lang w:eastAsia="es-CO"/>
          </w:rPr>
          <w:t>24</w:t>
        </w:r>
      </w:hyperlink>
      <w:r w:rsidRPr="00B22E12">
        <w:rPr>
          <w:rFonts w:ascii="Arial" w:eastAsia="Times New Roman" w:hAnsi="Arial" w:cs="Arial"/>
          <w:lang w:eastAsia="es-CO"/>
        </w:rPr>
        <w:t>. Plan de Premios y Rentabilidad Mínima. El Gobierno Nacional fijará la estructura del plan de premios del juego de apuestas permanentes o chance que regirá en todo el país.</w:t>
      </w:r>
    </w:p>
    <w:p w14:paraId="64DC886B" w14:textId="77777777" w:rsidR="002B58EB" w:rsidRPr="00B22E12" w:rsidRDefault="002B58EB" w:rsidP="002B58EB">
      <w:pPr>
        <w:spacing w:after="0" w:line="240" w:lineRule="auto"/>
        <w:jc w:val="both"/>
        <w:rPr>
          <w:rFonts w:ascii="Arial" w:eastAsia="Times New Roman" w:hAnsi="Arial" w:cs="Arial"/>
          <w:lang w:eastAsia="es-CO"/>
        </w:rPr>
      </w:pPr>
    </w:p>
    <w:p w14:paraId="115BB1E6" w14:textId="730133A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rentabilidad mínima del juego de apuestas permanentes o chance, para cada jurisdicción territorial, se establecerá como criterio de eficiencia y obligación contractual en los respectivos contratos de concesión, y corresponde al mínimo de ingresos brutos que, por la venta del juego de apuestas permanentes o chance, deben generar los operadores por cada año y durante toda la vigencia del respectivo contrato, de manera que se sostengan las ventas y se procure su crecimiento como arbitrio rentístico para la salud.</w:t>
      </w:r>
    </w:p>
    <w:p w14:paraId="1027FE6A" w14:textId="77777777" w:rsidR="002B58EB" w:rsidRPr="00B22E12" w:rsidRDefault="002B58EB" w:rsidP="002B58EB">
      <w:pPr>
        <w:spacing w:after="0" w:line="240" w:lineRule="auto"/>
        <w:jc w:val="both"/>
        <w:rPr>
          <w:rFonts w:ascii="Arial" w:eastAsia="Times New Roman" w:hAnsi="Arial" w:cs="Arial"/>
          <w:lang w:eastAsia="es-CO"/>
        </w:rPr>
      </w:pPr>
    </w:p>
    <w:p w14:paraId="05C47F74" w14:textId="6957F382"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rentabilidad mínima será igual a la mayor cifra entre el promedio anual de los ingresos brutos obtenidos por la venta del juego de apuestas permanentes o chance durante los cuatro (4) años anteriores a la apertura del proceso licitatorio y la sumatoria de esos ingresos brutos en el año inmediatamente anterior a la apertura del proceso licitatorio, más un porcentaje de crecimiento año a año que será igual al índice de precios al consumidor. Para determinar el promedio o la sumatoria a que se refiere el presente inciso, se acudirá a los datos que arroje la conectividad en línea y tiempo real o, hasta tanto se tengan esos datos, a los que tengan las distintas entidades territoriales y la Superintendencia Nacional de Salud.</w:t>
      </w:r>
    </w:p>
    <w:p w14:paraId="6E25BB9C" w14:textId="77777777" w:rsidR="002B58EB" w:rsidRPr="00B22E12" w:rsidRDefault="002B58EB" w:rsidP="002B58EB">
      <w:pPr>
        <w:spacing w:after="0" w:line="240" w:lineRule="auto"/>
        <w:jc w:val="both"/>
        <w:rPr>
          <w:rFonts w:ascii="Arial" w:eastAsia="Times New Roman" w:hAnsi="Arial" w:cs="Arial"/>
          <w:lang w:eastAsia="es-CO"/>
        </w:rPr>
      </w:pPr>
    </w:p>
    <w:p w14:paraId="5E5A2FC6" w14:textId="389B336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Corresponde al concesionario pagar el doce por ciento (12%) sobre los ingresos brutos a título de derechos de explotación con destino a la salud, más el valor adicional que llegare a existir entre ese porcentaje de derechos de explotación y el doce por ciento (12%) sobre el valor mínimo de los ingresos brutos que por ventas al juego fueron previamente señalados en el contrato como rentabilidad mínima; ese valor adicional lo pagarán los concesionarios a título de compensación contractual con destino a la salud, sin que haya lugar a reclamación o indemnización alguna en su favor.</w:t>
      </w:r>
    </w:p>
    <w:p w14:paraId="350FC744" w14:textId="77777777" w:rsidR="002B58EB" w:rsidRPr="00B22E12" w:rsidRDefault="002B58EB" w:rsidP="002B58EB">
      <w:pPr>
        <w:spacing w:after="0" w:line="240" w:lineRule="auto"/>
        <w:jc w:val="both"/>
        <w:rPr>
          <w:rFonts w:ascii="Arial" w:eastAsia="Times New Roman" w:hAnsi="Arial" w:cs="Arial"/>
          <w:lang w:eastAsia="es-CO"/>
        </w:rPr>
      </w:pPr>
    </w:p>
    <w:p w14:paraId="44E7A655" w14:textId="395C552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Será causal de terminación unilateral de los contratos de concesión el incumplimiento con la rentabilidad mínima, sin derecho a indemnización o compensación.</w:t>
      </w:r>
    </w:p>
    <w:p w14:paraId="263C27D1" w14:textId="77777777" w:rsidR="002B58EB" w:rsidRPr="00B22E12" w:rsidRDefault="002B58EB" w:rsidP="002B58EB">
      <w:pPr>
        <w:spacing w:after="0" w:line="240" w:lineRule="auto"/>
        <w:jc w:val="both"/>
        <w:rPr>
          <w:rFonts w:ascii="Arial" w:eastAsia="Times New Roman" w:hAnsi="Arial" w:cs="Arial"/>
          <w:lang w:eastAsia="es-CO"/>
        </w:rPr>
      </w:pPr>
    </w:p>
    <w:p w14:paraId="05E4D7D6" w14:textId="6CD0448E"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1o. Las condiciones fijadas en la presente ley rigen de manera permanente para todos los contratos de concesión de apuestas permanentes o chance.</w:t>
      </w:r>
    </w:p>
    <w:p w14:paraId="0CE2EE4E" w14:textId="77777777" w:rsidR="002B58EB" w:rsidRPr="00B22E12" w:rsidRDefault="002B58EB" w:rsidP="002B58EB">
      <w:pPr>
        <w:spacing w:after="0" w:line="240" w:lineRule="auto"/>
        <w:jc w:val="both"/>
        <w:rPr>
          <w:rFonts w:ascii="Arial" w:eastAsia="Times New Roman" w:hAnsi="Arial" w:cs="Arial"/>
          <w:lang w:eastAsia="es-CO"/>
        </w:rPr>
      </w:pPr>
    </w:p>
    <w:p w14:paraId="3738CEC3" w14:textId="4F25BD2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w:t>
      </w:r>
      <w:r w:rsidR="00705266" w:rsidRPr="00B22E12">
        <w:rPr>
          <w:rFonts w:ascii="Arial" w:eastAsia="Times New Roman" w:hAnsi="Arial" w:cs="Arial"/>
          <w:lang w:eastAsia="es-CO"/>
        </w:rPr>
        <w:t>TRANSITORIO</w:t>
      </w:r>
      <w:r w:rsidRPr="00B22E12">
        <w:rPr>
          <w:rFonts w:ascii="Arial" w:eastAsia="Times New Roman" w:hAnsi="Arial" w:cs="Arial"/>
          <w:lang w:eastAsia="es-CO"/>
        </w:rPr>
        <w:t>. Para fijar la rentabilidad mínima en los procesos licitatorios que se abran dentro de los dos (2) años siguientes a la vigencia de la presente ley, se utilizará el promedio actualizado de los ingresos brutos obtenidos por la venta del juego durante los dos (2) años anteriores a la apertura del proceso licitatorio más 1.25 puntos porcentuales”.</w:t>
      </w:r>
    </w:p>
    <w:p w14:paraId="22D2BC2B" w14:textId="77777777" w:rsidR="00EB1BA7" w:rsidRPr="00B22E12" w:rsidRDefault="00EB1BA7" w:rsidP="002B58EB">
      <w:pPr>
        <w:spacing w:after="0" w:line="240" w:lineRule="auto"/>
        <w:jc w:val="both"/>
        <w:rPr>
          <w:rFonts w:ascii="Arial" w:hAnsi="Arial" w:cs="Arial"/>
        </w:rPr>
      </w:pPr>
      <w:bookmarkStart w:id="25" w:name="24"/>
    </w:p>
    <w:p w14:paraId="32B79052" w14:textId="2ACA029B"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24. OPERACIÓN DE JUEGOS LOCALIZADOS EN CRUCEROS.</w:t>
      </w:r>
      <w:bookmarkEnd w:id="25"/>
      <w:r w:rsidRPr="00B22E12">
        <w:rPr>
          <w:rFonts w:ascii="Arial" w:eastAsia="Times New Roman" w:hAnsi="Arial" w:cs="Arial"/>
          <w:lang w:eastAsia="es-CO"/>
        </w:rPr>
        <w:t> Los juegos localizados a bordo de los cruceros podrán operarse mientras estén atracados en un puerto o bahía colombiana de un “Distrito Turístico, Cultural e Histórico”, sin que se requiera de concesión, para el servicio exclusivo de sus pasajeros y en las condiciones que determine la autoridad encargada de autorizar la operación de los juegos localizados. Los derechos de explotación y los cargos por gastos de administración son los que se establecen para los juegos localizados y deben ser pagados por el agente marítimo que actúa como representante legal de la empresa operadora de cruceros en el país. El cincuenta por ciento (50%) de los derechos de explotación se dirigirá a la atención de las prestaciones en salud no incluidas en el plan obligatorio de salud del régimen contributivo, y el otro cincuenta por ciento (50%) de los derechos de explotación, junto con los gastos de administración, corresponde al respectivo municipio en que atraque el crucero, con destino a la financiación de servicios de salud a su cargo. El Consejo Nacional de Juegos de Suerte y Azar establecerá la forma cómo se presentará la información para determinar los derechos de explotación y los gastos de administración, y cómo se hará su correspondiente recaudo, que podrá contemplar autoliquidaciones, cobros anticipados y cobros a prorrata por los días que permanezca el crucero en puertos colombianos.</w:t>
      </w:r>
    </w:p>
    <w:p w14:paraId="076DFC17" w14:textId="77777777" w:rsidR="002B58EB" w:rsidRPr="00B22E12" w:rsidRDefault="002B58EB" w:rsidP="002B58EB">
      <w:pPr>
        <w:spacing w:after="0" w:line="240" w:lineRule="auto"/>
        <w:jc w:val="both"/>
        <w:rPr>
          <w:rFonts w:ascii="Arial" w:eastAsia="Times New Roman" w:hAnsi="Arial" w:cs="Arial"/>
          <w:lang w:eastAsia="es-CO"/>
        </w:rPr>
      </w:pPr>
    </w:p>
    <w:p w14:paraId="47285D73" w14:textId="5D9943D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w:t>
      </w:r>
      <w:r w:rsidR="00705266" w:rsidRPr="00B22E12">
        <w:rPr>
          <w:rFonts w:ascii="Arial" w:eastAsia="Times New Roman" w:hAnsi="Arial" w:cs="Arial"/>
          <w:lang w:eastAsia="es-CO"/>
        </w:rPr>
        <w:t>TRANSITORIO</w:t>
      </w:r>
      <w:r w:rsidRPr="00B22E12">
        <w:rPr>
          <w:rFonts w:ascii="Arial" w:eastAsia="Times New Roman" w:hAnsi="Arial" w:cs="Arial"/>
          <w:lang w:eastAsia="es-CO"/>
        </w:rPr>
        <w:t>. Por un término de dos (2) años, contados a partir de la promulgación de la presente ley, la operación de juegos localizados en cruceros no causará IVA ni derechos de explotación o cargos por gastos de administración.</w:t>
      </w:r>
    </w:p>
    <w:p w14:paraId="75A080E0" w14:textId="77777777" w:rsidR="00EB1BA7" w:rsidRPr="00B22E12" w:rsidRDefault="00EB1BA7" w:rsidP="002B58EB">
      <w:pPr>
        <w:spacing w:after="0" w:line="240" w:lineRule="auto"/>
        <w:jc w:val="both"/>
        <w:rPr>
          <w:rFonts w:ascii="Arial" w:hAnsi="Arial" w:cs="Arial"/>
        </w:rPr>
      </w:pPr>
      <w:bookmarkStart w:id="26" w:name="25"/>
    </w:p>
    <w:p w14:paraId="7AA9C3A5" w14:textId="5A2C6EB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25.</w:t>
      </w:r>
      <w:bookmarkEnd w:id="26"/>
      <w:r w:rsidRPr="00B22E12">
        <w:rPr>
          <w:rFonts w:ascii="Arial" w:eastAsia="Times New Roman" w:hAnsi="Arial" w:cs="Arial"/>
          <w:lang w:eastAsia="es-CO"/>
        </w:rPr>
        <w:t> Modifíquese el artículo </w:t>
      </w:r>
      <w:hyperlink r:id="rId42" w:anchor="56" w:history="1">
        <w:r w:rsidRPr="00B22E12">
          <w:rPr>
            <w:rFonts w:ascii="Arial" w:eastAsia="Times New Roman" w:hAnsi="Arial" w:cs="Arial"/>
            <w:lang w:eastAsia="es-CO"/>
          </w:rPr>
          <w:t>56</w:t>
        </w:r>
      </w:hyperlink>
      <w:r w:rsidRPr="00B22E12">
        <w:rPr>
          <w:rFonts w:ascii="Arial" w:eastAsia="Times New Roman" w:hAnsi="Arial" w:cs="Arial"/>
          <w:lang w:eastAsia="es-CO"/>
        </w:rPr>
        <w:t> de la Ley 643 de 2001, el cual quedará así:</w:t>
      </w:r>
    </w:p>
    <w:p w14:paraId="47022D97" w14:textId="77777777" w:rsidR="002B58EB" w:rsidRPr="00B22E12" w:rsidRDefault="002B58EB" w:rsidP="002B58EB">
      <w:pPr>
        <w:spacing w:after="0" w:line="240" w:lineRule="auto"/>
        <w:jc w:val="both"/>
        <w:rPr>
          <w:rFonts w:ascii="Arial" w:eastAsia="Times New Roman" w:hAnsi="Arial" w:cs="Arial"/>
          <w:lang w:eastAsia="es-CO"/>
        </w:rPr>
      </w:pPr>
    </w:p>
    <w:p w14:paraId="5DC389CD" w14:textId="2BB70F55"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w:t>
      </w:r>
      <w:hyperlink r:id="rId43" w:anchor="56" w:history="1">
        <w:r w:rsidRPr="00B22E12">
          <w:rPr>
            <w:rFonts w:ascii="Arial" w:eastAsia="Times New Roman" w:hAnsi="Arial" w:cs="Arial"/>
            <w:lang w:eastAsia="es-CO"/>
          </w:rPr>
          <w:t>56</w:t>
        </w:r>
      </w:hyperlink>
      <w:r w:rsidRPr="00B22E12">
        <w:rPr>
          <w:rFonts w:ascii="Arial" w:eastAsia="Times New Roman" w:hAnsi="Arial" w:cs="Arial"/>
          <w:lang w:eastAsia="es-CO"/>
        </w:rPr>
        <w:t>. Contribución parafiscal para la seguridad social en salud de los colocadores independientes profesionalizados de loterías y/o apuestas permanentes. Créase una contribución parafiscal para la afiliación al Sistema General de Seguridad Social en Salud de los colocadores independientes profesionalizados de loterías y apuestas permanentes o chance.</w:t>
      </w:r>
    </w:p>
    <w:p w14:paraId="28D401B4" w14:textId="77777777" w:rsidR="004720E6" w:rsidRPr="00B22E12" w:rsidRDefault="004720E6" w:rsidP="002B58EB">
      <w:pPr>
        <w:spacing w:after="0" w:line="240" w:lineRule="auto"/>
        <w:jc w:val="both"/>
        <w:rPr>
          <w:rFonts w:ascii="Arial" w:eastAsia="Times New Roman" w:hAnsi="Arial" w:cs="Arial"/>
          <w:lang w:eastAsia="es-CO"/>
        </w:rPr>
      </w:pPr>
    </w:p>
    <w:p w14:paraId="318A56DD" w14:textId="7C6060D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contribución de los colocadores independientes profesionalizados de lotería y/o apuestas permanentes será equivalente al 1% del precio de venta al público de los billetes, fracciones de lotería, del valor apostado en cada formulario o apuesta permanente y será descontada por los concesionarios o distribuidores de los ingresos a los cuales tienen derecho los colocadores.</w:t>
      </w:r>
    </w:p>
    <w:p w14:paraId="186F3700" w14:textId="77777777" w:rsidR="002B58EB" w:rsidRPr="00B22E12" w:rsidRDefault="002B58EB" w:rsidP="002B58EB">
      <w:pPr>
        <w:spacing w:after="0" w:line="240" w:lineRule="auto"/>
        <w:jc w:val="both"/>
        <w:rPr>
          <w:rFonts w:ascii="Arial" w:eastAsia="Times New Roman" w:hAnsi="Arial" w:cs="Arial"/>
          <w:lang w:eastAsia="es-CO"/>
        </w:rPr>
      </w:pPr>
    </w:p>
    <w:p w14:paraId="23332A83" w14:textId="669717A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 su vez, los concesionarios del juego de apuestas permanentes o chance y de loterías, aportarán como contribución adicional a la concesión, el equivalente a tres por ciento (3%) de los derechos de explotación pagados por la venta colocada de manera independiente.</w:t>
      </w:r>
    </w:p>
    <w:p w14:paraId="4D72A9FF" w14:textId="77777777" w:rsidR="00376CFF" w:rsidRPr="00B22E12" w:rsidRDefault="00376CFF" w:rsidP="002B58EB">
      <w:pPr>
        <w:spacing w:after="0" w:line="240" w:lineRule="auto"/>
        <w:jc w:val="both"/>
        <w:rPr>
          <w:rFonts w:ascii="Arial" w:eastAsia="Times New Roman" w:hAnsi="Arial" w:cs="Arial"/>
          <w:lang w:eastAsia="es-CO"/>
        </w:rPr>
      </w:pPr>
    </w:p>
    <w:p w14:paraId="7CF2AF57" w14:textId="7D9DC540"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Los recursos captados por la contribución parafiscal creada en este artículo serán girados por los concesionarios o distribuidores al Fondo de Colocadores de Loterías y Apuestas Permanentes, </w:t>
      </w:r>
      <w:proofErr w:type="spellStart"/>
      <w:r w:rsidRPr="00B22E12">
        <w:rPr>
          <w:rFonts w:ascii="Arial" w:eastAsia="Times New Roman" w:hAnsi="Arial" w:cs="Arial"/>
          <w:lang w:eastAsia="es-CO"/>
        </w:rPr>
        <w:t>Fondoazar</w:t>
      </w:r>
      <w:proofErr w:type="spellEnd"/>
      <w:r w:rsidRPr="00B22E12">
        <w:rPr>
          <w:rFonts w:ascii="Arial" w:eastAsia="Times New Roman" w:hAnsi="Arial" w:cs="Arial"/>
          <w:lang w:eastAsia="es-CO"/>
        </w:rPr>
        <w:t>, dentro de los diez (10) primeros días del mes siguiente al de su recaudo, para su inmediata ejecución en la afiliación a la seguridad social de la población objeto.</w:t>
      </w:r>
    </w:p>
    <w:p w14:paraId="28A528AE" w14:textId="77777777" w:rsidR="002B58EB" w:rsidRPr="00B22E12" w:rsidRDefault="002B58EB" w:rsidP="002B58EB">
      <w:pPr>
        <w:spacing w:after="0" w:line="240" w:lineRule="auto"/>
        <w:jc w:val="both"/>
        <w:rPr>
          <w:rFonts w:ascii="Arial" w:eastAsia="Times New Roman" w:hAnsi="Arial" w:cs="Arial"/>
          <w:lang w:eastAsia="es-CO"/>
        </w:rPr>
      </w:pPr>
    </w:p>
    <w:p w14:paraId="053D8EF3" w14:textId="63165B9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Se procurará la afiliación inicial a través del Régimen Subsidiado y, una vez el Fondo de Colocadores de Loterías y Apuestas Permanentes cuente con los recursos necesarios para pagar la cotización según los términos y condiciones del Régimen Contributivo, procederá su afiliación a dicho Régimen. Los excedentes, en caso de que los hubiera, serán destinados a ampliar los programas de bienestar social de la población objetivo, específicamente mediante la vinculación a cajas de compensación y programas de mejoramiento ocupacional o profesional adelantados por el Sena.</w:t>
      </w:r>
    </w:p>
    <w:p w14:paraId="6BC3F15D" w14:textId="77777777" w:rsidR="002B58EB" w:rsidRPr="00B22E12" w:rsidRDefault="002B58EB" w:rsidP="002B58EB">
      <w:pPr>
        <w:spacing w:after="0" w:line="240" w:lineRule="auto"/>
        <w:jc w:val="both"/>
        <w:rPr>
          <w:rFonts w:ascii="Arial" w:eastAsia="Times New Roman" w:hAnsi="Arial" w:cs="Arial"/>
          <w:lang w:eastAsia="es-CO"/>
        </w:rPr>
      </w:pPr>
    </w:p>
    <w:p w14:paraId="25A1BAF3" w14:textId="42F0770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Superintendencia Nacional de Salud y, en general, los organismos de control del Estado, vigilarán el proceso de liquidación, recaudo, giro y utilización de estos recursos parafiscales.</w:t>
      </w:r>
    </w:p>
    <w:p w14:paraId="1E13F847" w14:textId="77777777" w:rsidR="00376CFF" w:rsidRPr="00B22E12" w:rsidRDefault="00376CFF" w:rsidP="002B58EB">
      <w:pPr>
        <w:spacing w:after="0" w:line="240" w:lineRule="auto"/>
        <w:jc w:val="both"/>
        <w:rPr>
          <w:rFonts w:ascii="Arial" w:eastAsia="Times New Roman" w:hAnsi="Arial" w:cs="Arial"/>
          <w:lang w:eastAsia="es-CO"/>
        </w:rPr>
      </w:pPr>
    </w:p>
    <w:p w14:paraId="488DB85F" w14:textId="570F6A4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PARÁGRAFO 1o. El Fondo de Colocadores de Loterías y Apuestas Permanentes, </w:t>
      </w:r>
      <w:proofErr w:type="spellStart"/>
      <w:r w:rsidRPr="00B22E12">
        <w:rPr>
          <w:rFonts w:ascii="Arial" w:eastAsia="Times New Roman" w:hAnsi="Arial" w:cs="Arial"/>
          <w:lang w:eastAsia="es-CO"/>
        </w:rPr>
        <w:t>Fondoazar</w:t>
      </w:r>
      <w:proofErr w:type="spellEnd"/>
      <w:r w:rsidRPr="00B22E12">
        <w:rPr>
          <w:rFonts w:ascii="Arial" w:eastAsia="Times New Roman" w:hAnsi="Arial" w:cs="Arial"/>
          <w:lang w:eastAsia="es-CO"/>
        </w:rPr>
        <w:t>, deberá ser constituido y organizado por los concesionarios del juego de apuestas permanentes o chance y de loterías y por los colocadores independientes profesionalizados de loterías y/o apuestas permanentes. Los recursos del Fondo serán administrados por un Encargo Fiduciario, y tendrán la vigilancia y control de los organismos competentes”.</w:t>
      </w:r>
    </w:p>
    <w:p w14:paraId="056C27FE" w14:textId="77777777" w:rsidR="002B58EB" w:rsidRPr="00B22E12" w:rsidRDefault="002B58EB" w:rsidP="002B58EB">
      <w:pPr>
        <w:spacing w:after="0" w:line="240" w:lineRule="auto"/>
        <w:jc w:val="both"/>
        <w:rPr>
          <w:rFonts w:ascii="Arial" w:eastAsia="Times New Roman" w:hAnsi="Arial" w:cs="Arial"/>
          <w:lang w:eastAsia="es-CO"/>
        </w:rPr>
      </w:pPr>
    </w:p>
    <w:p w14:paraId="7FE6E1E9" w14:textId="26356AAF" w:rsidR="00366D2B" w:rsidRPr="00B22E12" w:rsidRDefault="00366D2B" w:rsidP="002B58EB">
      <w:pPr>
        <w:spacing w:after="0" w:line="240" w:lineRule="auto"/>
        <w:jc w:val="center"/>
        <w:rPr>
          <w:rFonts w:ascii="Arial" w:eastAsia="Times New Roman" w:hAnsi="Arial" w:cs="Arial"/>
          <w:b/>
          <w:bCs/>
          <w:lang w:eastAsia="es-CO"/>
        </w:rPr>
      </w:pPr>
      <w:bookmarkStart w:id="27" w:name="CAPÍTULO_III"/>
      <w:r w:rsidRPr="00B22E12">
        <w:rPr>
          <w:rFonts w:ascii="Arial" w:eastAsia="Times New Roman" w:hAnsi="Arial" w:cs="Arial"/>
          <w:b/>
          <w:bCs/>
          <w:lang w:eastAsia="es-CO"/>
        </w:rPr>
        <w:t>CAPÍTULO III</w:t>
      </w:r>
      <w:bookmarkEnd w:id="27"/>
    </w:p>
    <w:p w14:paraId="577599D6" w14:textId="6A4A6FDF" w:rsidR="00366D2B" w:rsidRPr="00B22E12" w:rsidRDefault="00366D2B" w:rsidP="002B58EB">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MEDIDAS EN MATERIA DE CONTROL A LA EVASIÓN Y ELUSIÓN DE COTIZACIONES Y APORTES</w:t>
      </w:r>
    </w:p>
    <w:p w14:paraId="79774439" w14:textId="77777777" w:rsidR="00EB1BA7" w:rsidRPr="00B22E12" w:rsidRDefault="00EB1BA7" w:rsidP="002B58EB">
      <w:pPr>
        <w:spacing w:after="0" w:line="240" w:lineRule="auto"/>
        <w:jc w:val="both"/>
        <w:rPr>
          <w:rFonts w:ascii="Arial" w:hAnsi="Arial" w:cs="Arial"/>
        </w:rPr>
      </w:pPr>
      <w:bookmarkStart w:id="28" w:name="26"/>
    </w:p>
    <w:p w14:paraId="489831B3" w14:textId="12CA645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26.</w:t>
      </w:r>
      <w:bookmarkEnd w:id="28"/>
      <w:r w:rsidRPr="00B22E12">
        <w:rPr>
          <w:rFonts w:ascii="Arial" w:eastAsia="Times New Roman" w:hAnsi="Arial" w:cs="Arial"/>
          <w:lang w:eastAsia="es-CO"/>
        </w:rPr>
        <w:t> La celebración y cumplimiento de las obligaciones derivadas de contratos de prestación de servicios estará condicionada a la verificación por parte del contratante de la afiliación y pago de los aportes al sistema de protección social, conforme a la reglamentación que para tal efecto expida el Gobierno Nacional.</w:t>
      </w:r>
    </w:p>
    <w:p w14:paraId="3296564A" w14:textId="77777777" w:rsidR="002B58EB" w:rsidRPr="00B22E12" w:rsidRDefault="002B58EB" w:rsidP="002B58EB">
      <w:pPr>
        <w:spacing w:after="0" w:line="240" w:lineRule="auto"/>
        <w:jc w:val="both"/>
        <w:rPr>
          <w:rFonts w:ascii="Arial" w:eastAsia="Times New Roman" w:hAnsi="Arial" w:cs="Arial"/>
          <w:lang w:eastAsia="es-CO"/>
        </w:rPr>
      </w:pPr>
    </w:p>
    <w:p w14:paraId="2E6F9896" w14:textId="770D628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Gobierno Nacional podrá adoptar mecanismos de retención para el cumplimiento de estas obligaciones, así como de devolución de saldos a favor.</w:t>
      </w:r>
    </w:p>
    <w:p w14:paraId="578A1B01" w14:textId="77777777" w:rsidR="002B58EB" w:rsidRPr="00B22E12" w:rsidRDefault="002B58EB" w:rsidP="002B58EB">
      <w:pPr>
        <w:spacing w:after="0" w:line="240" w:lineRule="auto"/>
        <w:jc w:val="both"/>
        <w:rPr>
          <w:rFonts w:ascii="Arial" w:eastAsia="Times New Roman" w:hAnsi="Arial" w:cs="Arial"/>
          <w:lang w:eastAsia="es-CO"/>
        </w:rPr>
      </w:pPr>
    </w:p>
    <w:p w14:paraId="627BE8F2" w14:textId="6DA3E03E" w:rsidR="00366D2B" w:rsidRPr="00B22E12" w:rsidRDefault="00366D2B" w:rsidP="002B58EB">
      <w:pPr>
        <w:spacing w:after="0" w:line="240" w:lineRule="auto"/>
        <w:rPr>
          <w:rFonts w:ascii="Arial" w:eastAsia="Times New Roman" w:hAnsi="Arial" w:cs="Arial"/>
          <w:sz w:val="20"/>
          <w:szCs w:val="20"/>
          <w:lang w:eastAsia="es-CO"/>
        </w:rPr>
      </w:pPr>
      <w:r w:rsidRPr="00B22E12">
        <w:rPr>
          <w:rFonts w:ascii="Arial" w:eastAsia="Times New Roman" w:hAnsi="Arial" w:cs="Arial"/>
          <w:sz w:val="20"/>
          <w:szCs w:val="20"/>
          <w:lang w:eastAsia="es-CO"/>
        </w:rPr>
        <w:t>(Ver conceptos</w:t>
      </w:r>
      <w:r w:rsidR="004720E6" w:rsidRPr="00B22E12">
        <w:rPr>
          <w:rFonts w:ascii="Arial" w:eastAsia="Times New Roman" w:hAnsi="Arial" w:cs="Arial"/>
          <w:sz w:val="20"/>
          <w:szCs w:val="20"/>
          <w:lang w:eastAsia="es-CO"/>
        </w:rPr>
        <w:t>:</w:t>
      </w:r>
      <w:r w:rsidR="00E3153F" w:rsidRPr="00B22E12">
        <w:rPr>
          <w:rFonts w:ascii="Arial" w:eastAsia="Times New Roman" w:hAnsi="Arial" w:cs="Arial"/>
          <w:sz w:val="20"/>
          <w:szCs w:val="20"/>
          <w:lang w:eastAsia="es-CO"/>
        </w:rPr>
        <w:t xml:space="preserve"> </w:t>
      </w:r>
      <w:hyperlink r:id="rId44" w:history="1">
        <w:r w:rsidR="004720E6" w:rsidRPr="00B22E12">
          <w:rPr>
            <w:rStyle w:val="Hipervnculo"/>
            <w:rFonts w:ascii="Arial" w:eastAsia="Arial" w:hAnsi="Arial" w:cs="Arial"/>
            <w:sz w:val="20"/>
            <w:szCs w:val="20"/>
          </w:rPr>
          <w:t>4201912000005462</w:t>
        </w:r>
        <w:r w:rsidR="004720E6" w:rsidRPr="00B22E12">
          <w:rPr>
            <w:rStyle w:val="Hipervnculo"/>
            <w:rFonts w:ascii="Arial" w:eastAsia="Calibri" w:hAnsi="Arial" w:cs="Arial"/>
            <w:sz w:val="20"/>
            <w:szCs w:val="20"/>
          </w:rPr>
          <w:t xml:space="preserve"> del 16/09/2019</w:t>
        </w:r>
      </w:hyperlink>
      <w:r w:rsidR="004720E6" w:rsidRPr="00B22E12">
        <w:rPr>
          <w:rFonts w:ascii="Arial" w:eastAsia="Calibri" w:hAnsi="Arial" w:cs="Arial"/>
          <w:sz w:val="20"/>
          <w:szCs w:val="20"/>
        </w:rPr>
        <w:t xml:space="preserve">, </w:t>
      </w:r>
      <w:hyperlink r:id="rId45" w:history="1">
        <w:r w:rsidR="687F8668" w:rsidRPr="00B22E12">
          <w:rPr>
            <w:rStyle w:val="Hipervnculo"/>
            <w:rFonts w:ascii="Arial" w:eastAsia="Times New Roman" w:hAnsi="Arial" w:cs="Arial"/>
            <w:sz w:val="20"/>
            <w:szCs w:val="20"/>
            <w:lang w:eastAsia="es-CO"/>
          </w:rPr>
          <w:t>C</w:t>
        </w:r>
        <w:r w:rsidR="002B58EB" w:rsidRPr="00B22E12">
          <w:rPr>
            <w:rStyle w:val="Hipervnculo"/>
            <w:rFonts w:ascii="Arial" w:eastAsia="Times New Roman" w:hAnsi="Arial" w:cs="Arial"/>
            <w:sz w:val="20"/>
            <w:szCs w:val="20"/>
            <w:lang w:eastAsia="es-CO"/>
          </w:rPr>
          <w:t>−</w:t>
        </w:r>
        <w:r w:rsidR="687F8668" w:rsidRPr="00B22E12">
          <w:rPr>
            <w:rStyle w:val="Hipervnculo"/>
            <w:rFonts w:ascii="Arial" w:eastAsia="Times New Roman" w:hAnsi="Arial" w:cs="Arial"/>
            <w:sz w:val="20"/>
            <w:szCs w:val="20"/>
            <w:lang w:eastAsia="es-CO"/>
          </w:rPr>
          <w:t>205</w:t>
        </w:r>
        <w:r w:rsidR="00543335" w:rsidRPr="00B22E12">
          <w:rPr>
            <w:rStyle w:val="Hipervnculo"/>
            <w:rFonts w:ascii="Arial" w:eastAsia="Times New Roman" w:hAnsi="Arial" w:cs="Arial"/>
            <w:sz w:val="20"/>
            <w:szCs w:val="20"/>
            <w:lang w:eastAsia="es-CO"/>
          </w:rPr>
          <w:t xml:space="preserve"> del 07/04/2020</w:t>
        </w:r>
      </w:hyperlink>
      <w:r w:rsidR="002B58EB" w:rsidRPr="00B22E12">
        <w:rPr>
          <w:rFonts w:ascii="Arial" w:eastAsia="Calibri" w:hAnsi="Arial" w:cs="Arial"/>
          <w:sz w:val="20"/>
          <w:szCs w:val="20"/>
        </w:rPr>
        <w:t>)</w:t>
      </w:r>
    </w:p>
    <w:p w14:paraId="5C94620A" w14:textId="77777777" w:rsidR="00EB1BA7" w:rsidRPr="00B22E12" w:rsidRDefault="00EB1BA7" w:rsidP="002B58EB">
      <w:pPr>
        <w:spacing w:after="0" w:line="240" w:lineRule="auto"/>
        <w:jc w:val="both"/>
        <w:rPr>
          <w:rFonts w:ascii="Arial" w:hAnsi="Arial" w:cs="Arial"/>
        </w:rPr>
      </w:pPr>
      <w:bookmarkStart w:id="29" w:name="27"/>
    </w:p>
    <w:p w14:paraId="597C7A89" w14:textId="615031D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27.</w:t>
      </w:r>
      <w:bookmarkEnd w:id="29"/>
      <w:r w:rsidRPr="00B22E12">
        <w:rPr>
          <w:rFonts w:ascii="Arial" w:eastAsia="Times New Roman" w:hAnsi="Arial" w:cs="Arial"/>
          <w:lang w:eastAsia="es-CO"/>
        </w:rPr>
        <w:t> Adiciónese el artículo </w:t>
      </w:r>
      <w:hyperlink r:id="rId46" w:anchor="108" w:history="1">
        <w:r w:rsidRPr="00B22E12">
          <w:rPr>
            <w:rFonts w:ascii="Arial" w:eastAsia="Times New Roman" w:hAnsi="Arial" w:cs="Arial"/>
            <w:lang w:eastAsia="es-CO"/>
          </w:rPr>
          <w:t>108</w:t>
        </w:r>
      </w:hyperlink>
      <w:r w:rsidRPr="00B22E12">
        <w:rPr>
          <w:rFonts w:ascii="Arial" w:eastAsia="Times New Roman" w:hAnsi="Arial" w:cs="Arial"/>
          <w:lang w:eastAsia="es-CO"/>
        </w:rPr>
        <w:t> del Estatuto Tributario con el siguiente parágrafo:</w:t>
      </w:r>
    </w:p>
    <w:p w14:paraId="2E742A36" w14:textId="77777777" w:rsidR="00592F90" w:rsidRPr="00B22E12" w:rsidRDefault="00592F90" w:rsidP="002B58EB">
      <w:pPr>
        <w:spacing w:after="0" w:line="240" w:lineRule="auto"/>
        <w:jc w:val="both"/>
        <w:rPr>
          <w:rFonts w:ascii="Arial" w:eastAsia="Times New Roman" w:hAnsi="Arial" w:cs="Arial"/>
          <w:lang w:eastAsia="es-CO"/>
        </w:rPr>
      </w:pPr>
    </w:p>
    <w:p w14:paraId="1775AE71" w14:textId="6562252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2o. Para efectos de la deducción por salarios de que trata el presente artículo se entenderá que tales aportes parafiscales deben efectuarse de acuerdo con lo establecido en las normas vigentes. Igualmente, para la procedencia de la deducción por pagos a trabajadores independientes,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w:t>
      </w:r>
    </w:p>
    <w:p w14:paraId="013900A6" w14:textId="77777777" w:rsidR="002B58EB" w:rsidRPr="00B22E12" w:rsidRDefault="002B58EB" w:rsidP="002B58EB">
      <w:pPr>
        <w:spacing w:after="0" w:line="240" w:lineRule="auto"/>
        <w:jc w:val="both"/>
        <w:rPr>
          <w:rFonts w:ascii="Arial" w:eastAsia="Times New Roman" w:hAnsi="Arial" w:cs="Arial"/>
          <w:lang w:eastAsia="es-CO"/>
        </w:rPr>
      </w:pPr>
    </w:p>
    <w:p w14:paraId="31B4A3C1" w14:textId="39843508" w:rsidR="00366D2B" w:rsidRPr="00B22E12" w:rsidRDefault="00366D2B" w:rsidP="002B58EB">
      <w:pPr>
        <w:spacing w:after="0" w:line="240" w:lineRule="auto"/>
        <w:jc w:val="both"/>
        <w:rPr>
          <w:rFonts w:ascii="Arial" w:eastAsia="Times New Roman" w:hAnsi="Arial" w:cs="Arial"/>
          <w:lang w:eastAsia="es-CO"/>
        </w:rPr>
      </w:pPr>
      <w:bookmarkStart w:id="30" w:name="28"/>
      <w:r w:rsidRPr="00B22E12">
        <w:rPr>
          <w:rFonts w:ascii="Arial" w:eastAsia="Times New Roman" w:hAnsi="Arial" w:cs="Arial"/>
          <w:lang w:eastAsia="es-CO"/>
        </w:rPr>
        <w:lastRenderedPageBreak/>
        <w:t>ARTÍCULO 28.</w:t>
      </w:r>
      <w:bookmarkEnd w:id="30"/>
      <w:r w:rsidRPr="00B22E12">
        <w:rPr>
          <w:rFonts w:ascii="Arial" w:eastAsia="Times New Roman" w:hAnsi="Arial" w:cs="Arial"/>
          <w:lang w:eastAsia="es-CO"/>
        </w:rPr>
        <w:t> Adiciónese el artículo </w:t>
      </w:r>
      <w:hyperlink r:id="rId47" w:anchor="647" w:history="1">
        <w:r w:rsidRPr="00B22E12">
          <w:rPr>
            <w:rFonts w:ascii="Arial" w:eastAsia="Times New Roman" w:hAnsi="Arial" w:cs="Arial"/>
            <w:lang w:eastAsia="es-CO"/>
          </w:rPr>
          <w:t>647</w:t>
        </w:r>
      </w:hyperlink>
      <w:r w:rsidRPr="00B22E12">
        <w:rPr>
          <w:rFonts w:ascii="Arial" w:eastAsia="Times New Roman" w:hAnsi="Arial" w:cs="Arial"/>
          <w:lang w:eastAsia="es-CO"/>
        </w:rPr>
        <w:t> del Estatuto Tributario con el siguiente parágrafo:</w:t>
      </w:r>
    </w:p>
    <w:p w14:paraId="1FF33E76" w14:textId="77777777" w:rsidR="00592F90" w:rsidRPr="00B22E12" w:rsidRDefault="00592F90" w:rsidP="002B58EB">
      <w:pPr>
        <w:spacing w:after="0" w:line="240" w:lineRule="auto"/>
        <w:jc w:val="both"/>
        <w:rPr>
          <w:rFonts w:ascii="Arial" w:eastAsia="Times New Roman" w:hAnsi="Arial" w:cs="Arial"/>
          <w:lang w:eastAsia="es-CO"/>
        </w:rPr>
      </w:pPr>
    </w:p>
    <w:p w14:paraId="79FAF1B6" w14:textId="460C3DE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Las inconsistencias en la declaración del impuesto de renta y complementarios derivadas de la información a que hace referencia el parágrafo 1o del artículo </w:t>
      </w:r>
      <w:hyperlink r:id="rId48" w:anchor="50" w:history="1">
        <w:r w:rsidRPr="00B22E12">
          <w:rPr>
            <w:rFonts w:ascii="Arial" w:eastAsia="Times New Roman" w:hAnsi="Arial" w:cs="Arial"/>
            <w:lang w:eastAsia="es-CO"/>
          </w:rPr>
          <w:t>50</w:t>
        </w:r>
      </w:hyperlink>
      <w:r w:rsidRPr="00B22E12">
        <w:rPr>
          <w:rFonts w:ascii="Arial" w:eastAsia="Times New Roman" w:hAnsi="Arial" w:cs="Arial"/>
          <w:lang w:eastAsia="es-CO"/>
        </w:rPr>
        <w:t> de la Ley 789 de 2002 sobre aportes a la seguridad social será sancionable a título de inexactitud, en los términos del presente Estatuto Tributario”.</w:t>
      </w:r>
    </w:p>
    <w:p w14:paraId="1642E6DB" w14:textId="77777777" w:rsidR="00EB1BA7" w:rsidRPr="00B22E12" w:rsidRDefault="00EB1BA7" w:rsidP="002B58EB">
      <w:pPr>
        <w:spacing w:after="0" w:line="240" w:lineRule="auto"/>
        <w:jc w:val="both"/>
        <w:rPr>
          <w:rFonts w:ascii="Arial" w:hAnsi="Arial" w:cs="Arial"/>
        </w:rPr>
      </w:pPr>
      <w:bookmarkStart w:id="31" w:name="29"/>
    </w:p>
    <w:p w14:paraId="12681EEF" w14:textId="509243E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29.</w:t>
      </w:r>
      <w:bookmarkEnd w:id="31"/>
      <w:r w:rsidRPr="00B22E12">
        <w:rPr>
          <w:rFonts w:ascii="Arial" w:eastAsia="Times New Roman" w:hAnsi="Arial" w:cs="Arial"/>
          <w:lang w:eastAsia="es-CO"/>
        </w:rPr>
        <w:t> Para efecto del cumplimiento de las funciones a cargo de la UGPP, en cuanto al control a la evasión y a la elusión de los aportes parafiscales al Sistema de Protección Social, los operadores públicos y privados de bancos de información y/o bases de datos reportarán, sin ningún costo, la información relevante para tal efecto, en los términos y condiciones que defina el Gobierno Nacional.</w:t>
      </w:r>
    </w:p>
    <w:p w14:paraId="25C02EC7" w14:textId="77777777" w:rsidR="00EB1BA7" w:rsidRPr="00B22E12" w:rsidRDefault="00EB1BA7" w:rsidP="002B58EB">
      <w:pPr>
        <w:spacing w:after="0" w:line="240" w:lineRule="auto"/>
        <w:jc w:val="both"/>
        <w:rPr>
          <w:rFonts w:ascii="Arial" w:hAnsi="Arial" w:cs="Arial"/>
        </w:rPr>
      </w:pPr>
      <w:bookmarkStart w:id="32" w:name="30"/>
    </w:p>
    <w:p w14:paraId="6266E6F4" w14:textId="0D4B887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30.</w:t>
      </w:r>
      <w:bookmarkEnd w:id="32"/>
      <w:r w:rsidRPr="00B22E12">
        <w:rPr>
          <w:rFonts w:ascii="Arial" w:eastAsia="Times New Roman" w:hAnsi="Arial" w:cs="Arial"/>
          <w:lang w:eastAsia="es-CO"/>
        </w:rPr>
        <w:t> Sin perjuicio de lo previsto para otros fines, para los efectos relacionados con los artículos </w:t>
      </w:r>
      <w:hyperlink r:id="rId49" w:anchor="18" w:history="1">
        <w:r w:rsidRPr="00B22E12">
          <w:rPr>
            <w:rFonts w:ascii="Arial" w:eastAsia="Times New Roman" w:hAnsi="Arial" w:cs="Arial"/>
            <w:lang w:eastAsia="es-CO"/>
          </w:rPr>
          <w:t>18</w:t>
        </w:r>
      </w:hyperlink>
      <w:r w:rsidRPr="00B22E12">
        <w:rPr>
          <w:rFonts w:ascii="Arial" w:eastAsia="Times New Roman" w:hAnsi="Arial" w:cs="Arial"/>
          <w:lang w:eastAsia="es-CO"/>
        </w:rPr>
        <w:t> y </w:t>
      </w:r>
      <w:hyperlink r:id="rId50" w:anchor="204" w:history="1">
        <w:r w:rsidRPr="00B22E12">
          <w:rPr>
            <w:rFonts w:ascii="Arial" w:eastAsia="Times New Roman" w:hAnsi="Arial" w:cs="Arial"/>
            <w:lang w:eastAsia="es-CO"/>
          </w:rPr>
          <w:t>204</w:t>
        </w:r>
      </w:hyperlink>
      <w:r w:rsidRPr="00B22E12">
        <w:rPr>
          <w:rFonts w:ascii="Arial" w:eastAsia="Times New Roman" w:hAnsi="Arial" w:cs="Arial"/>
          <w:lang w:eastAsia="es-CO"/>
        </w:rPr>
        <w:t> de la Ley 100 de 1993, los pagos laborales no constitutivos de salario de las trabajadores particulares no podrán ser superiores al 40% del total de la remuneración.</w:t>
      </w:r>
    </w:p>
    <w:p w14:paraId="127F6C9E" w14:textId="77777777" w:rsidR="00EB1BA7" w:rsidRPr="00B22E12" w:rsidRDefault="00EB1BA7" w:rsidP="002B58EB">
      <w:pPr>
        <w:spacing w:after="0" w:line="240" w:lineRule="auto"/>
        <w:jc w:val="both"/>
        <w:rPr>
          <w:rFonts w:ascii="Arial" w:hAnsi="Arial" w:cs="Arial"/>
        </w:rPr>
      </w:pPr>
      <w:bookmarkStart w:id="33" w:name="31"/>
    </w:p>
    <w:p w14:paraId="2A8EE882" w14:textId="1CA574D2"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31.</w:t>
      </w:r>
      <w:bookmarkEnd w:id="33"/>
      <w:r w:rsidRPr="00B22E12">
        <w:rPr>
          <w:rFonts w:ascii="Arial" w:eastAsia="Times New Roman" w:hAnsi="Arial" w:cs="Arial"/>
          <w:lang w:eastAsia="es-CO"/>
        </w:rPr>
        <w:t> La actividad del Operador de Información de la Planilla Integrada de Liquidación de Aportes-PILA- será objeto de inspección y vigilancia de la Superintendencia Financiera de Colombia, con base en las facultades legales previstas en el Estatuto Orgánico del Sistema Financiero y demás disposiciones que lo modifiquen y bajo los criterios técnicos aplicados a las demás entidades vigiladas, en materia de riesgo operativo, seguridad y calidad de la información.</w:t>
      </w:r>
    </w:p>
    <w:p w14:paraId="66B1E1D5" w14:textId="77777777" w:rsidR="002B58EB" w:rsidRPr="00B22E12" w:rsidRDefault="002B58EB" w:rsidP="002B58EB">
      <w:pPr>
        <w:spacing w:after="0" w:line="240" w:lineRule="auto"/>
        <w:jc w:val="both"/>
        <w:rPr>
          <w:rFonts w:ascii="Arial" w:eastAsia="Times New Roman" w:hAnsi="Arial" w:cs="Arial"/>
          <w:lang w:eastAsia="es-CO"/>
        </w:rPr>
      </w:pPr>
    </w:p>
    <w:p w14:paraId="477A7FFE" w14:textId="1AFE1BC4"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régimen sancionatorio aplicable a los Operadores de Información de la Planilla Integrada de Liquidación de Aportes-PILA- será el previsto en el Estatuto Orgánico del Sistema Financiero, en concordancia con lo dispuesto en el artículo 5 del Decreto 1465 de 2005 y demás disposiciones que los modifiquen o sustituyan.</w:t>
      </w:r>
    </w:p>
    <w:p w14:paraId="217BF6A9" w14:textId="77777777" w:rsidR="002B58EB" w:rsidRPr="00B22E12" w:rsidRDefault="002B58EB" w:rsidP="002B58EB">
      <w:pPr>
        <w:spacing w:after="0" w:line="240" w:lineRule="auto"/>
        <w:jc w:val="both"/>
        <w:rPr>
          <w:rFonts w:ascii="Arial" w:eastAsia="Times New Roman" w:hAnsi="Arial" w:cs="Arial"/>
          <w:lang w:eastAsia="es-CO"/>
        </w:rPr>
      </w:pPr>
    </w:p>
    <w:p w14:paraId="418D1907" w14:textId="2BB27DA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La inspección y vigilancia se ejercerá por parte de la Superintendencia Financiera de Colombia, únicamente sobre la actividad del Operador de Información de la Planilla Integrada de Liquidación de Aportes -PILA- definida en el artículo 2o. del Decreto 1465 de 2005 y demás disposiciones que lo modifiquen o sustituyan.</w:t>
      </w:r>
    </w:p>
    <w:p w14:paraId="798C05E0" w14:textId="77777777" w:rsidR="002B58EB" w:rsidRPr="00B22E12" w:rsidRDefault="002B58EB" w:rsidP="002B58EB">
      <w:pPr>
        <w:spacing w:after="0" w:line="240" w:lineRule="auto"/>
        <w:jc w:val="both"/>
        <w:rPr>
          <w:rFonts w:ascii="Arial" w:eastAsia="Times New Roman" w:hAnsi="Arial" w:cs="Arial"/>
          <w:lang w:eastAsia="es-CO"/>
        </w:rPr>
      </w:pPr>
    </w:p>
    <w:p w14:paraId="5D05EEA5"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TRANSITORIO. La Superintendencia Financiera de Colombia asumirá la función señalada en este artículo, seis (6) meses después de entrada en vigencia el presente decreto. El Gobierno Nacional adoptará las medidas necesarias para adecuar la estructura de la citada Superintendencia, dotándola de la capacidad presupuestal y técnica necesaria para cumplir con dicha función.</w:t>
      </w:r>
    </w:p>
    <w:p w14:paraId="230A87CB" w14:textId="77777777" w:rsidR="00EB1BA7" w:rsidRPr="00B22E12" w:rsidRDefault="00EB1BA7" w:rsidP="002B58EB">
      <w:pPr>
        <w:spacing w:after="0" w:line="240" w:lineRule="auto"/>
        <w:jc w:val="both"/>
        <w:rPr>
          <w:rFonts w:ascii="Arial" w:hAnsi="Arial" w:cs="Arial"/>
        </w:rPr>
      </w:pPr>
      <w:bookmarkStart w:id="34" w:name="32"/>
    </w:p>
    <w:p w14:paraId="29608EBC" w14:textId="7BE88A32"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32.</w:t>
      </w:r>
      <w:bookmarkEnd w:id="34"/>
      <w:r w:rsidRPr="00B22E12">
        <w:rPr>
          <w:rFonts w:ascii="Arial" w:eastAsia="Times New Roman" w:hAnsi="Arial" w:cs="Arial"/>
          <w:lang w:eastAsia="es-CO"/>
        </w:rPr>
        <w:t> Los empleadores deberán informar a los empleados sobre los aportes pagados a la protección social o garantizar que estos puedan consultar que tales sumas hayan sido efectivamente abonadas.</w:t>
      </w:r>
    </w:p>
    <w:p w14:paraId="0F3FBF01" w14:textId="77777777" w:rsidR="002B58EB" w:rsidRPr="00B22E12" w:rsidRDefault="002B58EB" w:rsidP="002B58EB">
      <w:pPr>
        <w:spacing w:after="0" w:line="240" w:lineRule="auto"/>
        <w:jc w:val="both"/>
        <w:rPr>
          <w:rFonts w:ascii="Arial" w:eastAsia="Times New Roman" w:hAnsi="Arial" w:cs="Arial"/>
          <w:lang w:eastAsia="es-CO"/>
        </w:rPr>
      </w:pPr>
    </w:p>
    <w:p w14:paraId="78509444" w14:textId="65A9F67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El incumplimiento de esta obligación por cada periodo de cotización por parte del empleador será sancionable con multas de cinco (5) salarios mínimos legales mensuales vigentes, y en el caso de empleadores de naturaleza pública, adicionalmente implicará una falta disciplinaria para la persona que en cada entidad haya sido asignada para dar cumplimiento a lo previsto en el presente artículo.</w:t>
      </w:r>
    </w:p>
    <w:p w14:paraId="446216EA" w14:textId="77777777" w:rsidR="002B58EB" w:rsidRPr="00B22E12" w:rsidRDefault="002B58EB" w:rsidP="002B58EB">
      <w:pPr>
        <w:spacing w:after="0" w:line="240" w:lineRule="auto"/>
        <w:jc w:val="both"/>
        <w:rPr>
          <w:rFonts w:ascii="Arial" w:eastAsia="Times New Roman" w:hAnsi="Arial" w:cs="Arial"/>
          <w:lang w:eastAsia="es-CO"/>
        </w:rPr>
      </w:pPr>
    </w:p>
    <w:p w14:paraId="4654E9F7"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 xml:space="preserve">El Gobierno Nacional reglamentará la forma y condiciones en que el empleador deberá cumplir con esta obligación, así como la forma en que las entidades públicas, según sus competencias, </w:t>
      </w:r>
      <w:r w:rsidRPr="00B22E12">
        <w:rPr>
          <w:rFonts w:ascii="Arial" w:eastAsia="Times New Roman" w:hAnsi="Arial" w:cs="Arial"/>
          <w:lang w:eastAsia="es-CO"/>
        </w:rPr>
        <w:lastRenderedPageBreak/>
        <w:t>vigilarán el cumplimiento de la misma, de oficio o a solicitud de parte. Se regulará también el procedimiento que deberá aplicarse para la imposición de la multa, la destinación de los recursos y el ejercicio de defensa del denunciado.</w:t>
      </w:r>
    </w:p>
    <w:p w14:paraId="33DBF7D3" w14:textId="77777777" w:rsidR="00EB1BA7" w:rsidRPr="00B22E12" w:rsidRDefault="00EB1BA7" w:rsidP="002B58EB">
      <w:pPr>
        <w:spacing w:after="0" w:line="240" w:lineRule="auto"/>
        <w:jc w:val="both"/>
        <w:rPr>
          <w:rFonts w:ascii="Arial" w:hAnsi="Arial" w:cs="Arial"/>
        </w:rPr>
      </w:pPr>
      <w:bookmarkStart w:id="35" w:name="33"/>
    </w:p>
    <w:p w14:paraId="244A9ADE" w14:textId="754003B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33.</w:t>
      </w:r>
      <w:bookmarkEnd w:id="35"/>
      <w:r w:rsidRPr="00B22E12">
        <w:rPr>
          <w:rFonts w:ascii="Arial" w:eastAsia="Times New Roman" w:hAnsi="Arial" w:cs="Arial"/>
          <w:lang w:eastAsia="es-CO"/>
        </w:rPr>
        <w:t> Las cotizaciones al Sistema General de Seguridad Social en Salud deben hacerse sobre la misma base de las cotizaciones efectuadas al Sistema de Riesgos Profesionales y de las realizadas al Sistema General de Pensiones. Para afiliar a un trabajador, contratista o a cualquier persona obligada a cotizar al Sistema de Riesgos Profesionales debe demostrarse que se encuentra cotizando a los Sistemas Generales de Seguridad Social en Salud y de Pensiones.</w:t>
      </w:r>
    </w:p>
    <w:p w14:paraId="51C61C5E" w14:textId="77777777" w:rsidR="002B58EB" w:rsidRPr="00B22E12" w:rsidRDefault="002B58EB" w:rsidP="002B58EB">
      <w:pPr>
        <w:spacing w:after="0" w:line="240" w:lineRule="auto"/>
        <w:jc w:val="both"/>
        <w:rPr>
          <w:rFonts w:ascii="Arial" w:eastAsia="Times New Roman" w:hAnsi="Arial" w:cs="Arial"/>
          <w:lang w:eastAsia="es-CO"/>
        </w:rPr>
      </w:pPr>
    </w:p>
    <w:p w14:paraId="5D23F06B" w14:textId="684E0F7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Cuando en virtud de la normativa vigente una persona no esté obligada a afiliarse y cotizar al Sistema General de Riesgos Profesionales, tales como pensionados y trabajadores independientes, no se aplicará lo previsto en el presente artículo.</w:t>
      </w:r>
    </w:p>
    <w:p w14:paraId="15B3974E" w14:textId="77777777" w:rsidR="002B58EB" w:rsidRPr="00B22E12" w:rsidRDefault="002B58EB" w:rsidP="002B58EB">
      <w:pPr>
        <w:spacing w:after="0" w:line="240" w:lineRule="auto"/>
        <w:jc w:val="both"/>
        <w:rPr>
          <w:rFonts w:ascii="Arial" w:eastAsia="Times New Roman" w:hAnsi="Arial" w:cs="Arial"/>
          <w:lang w:eastAsia="es-CO"/>
        </w:rPr>
      </w:pPr>
    </w:p>
    <w:p w14:paraId="46CB146F" w14:textId="44B2B5F9" w:rsidR="00366D2B" w:rsidRPr="00B22E12" w:rsidRDefault="00366D2B" w:rsidP="002B58EB">
      <w:pPr>
        <w:spacing w:after="0" w:line="240" w:lineRule="auto"/>
        <w:jc w:val="center"/>
        <w:rPr>
          <w:rFonts w:ascii="Arial" w:eastAsia="Times New Roman" w:hAnsi="Arial" w:cs="Arial"/>
          <w:b/>
          <w:bCs/>
          <w:lang w:eastAsia="es-CO"/>
        </w:rPr>
      </w:pPr>
      <w:bookmarkStart w:id="36" w:name="CAPÍTULO_IV"/>
      <w:r w:rsidRPr="00B22E12">
        <w:rPr>
          <w:rFonts w:ascii="Arial" w:eastAsia="Times New Roman" w:hAnsi="Arial" w:cs="Arial"/>
          <w:b/>
          <w:bCs/>
          <w:lang w:eastAsia="es-CO"/>
        </w:rPr>
        <w:t>CAPÍTULO IV</w:t>
      </w:r>
      <w:bookmarkEnd w:id="36"/>
    </w:p>
    <w:p w14:paraId="77DBBED0" w14:textId="16FBE3E2" w:rsidR="00366D2B" w:rsidRPr="00B22E12" w:rsidRDefault="00366D2B" w:rsidP="002B58EB">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TRANSFORMACIÓN DE RECURSOS PARA LA UNIFICACIÓN DE LOS PLANES OBLIGATORIOS DE SALUD</w:t>
      </w:r>
    </w:p>
    <w:p w14:paraId="4D8A7912" w14:textId="77777777" w:rsidR="00EB1BA7" w:rsidRPr="00B22E12" w:rsidRDefault="00EB1BA7" w:rsidP="002B58EB">
      <w:pPr>
        <w:spacing w:after="0" w:line="240" w:lineRule="auto"/>
        <w:jc w:val="both"/>
        <w:rPr>
          <w:rFonts w:ascii="Arial" w:hAnsi="Arial" w:cs="Arial"/>
        </w:rPr>
      </w:pPr>
      <w:bookmarkStart w:id="37" w:name="34"/>
    </w:p>
    <w:p w14:paraId="1E9FFDD2" w14:textId="5461F89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34. PLANES DE TRANSFORMACIÓN DE RECURSOS DEL SISTEMA GENERAL DE PARTICIPACIONES PARA SALUD Y DE RENTAS CEDIDAS.</w:t>
      </w:r>
      <w:bookmarkEnd w:id="37"/>
      <w:r w:rsidRPr="00B22E12">
        <w:rPr>
          <w:rFonts w:ascii="Arial" w:eastAsia="Times New Roman" w:hAnsi="Arial" w:cs="Arial"/>
          <w:lang w:eastAsia="es-CO"/>
        </w:rPr>
        <w:t> Los Departamentos y Distritos, de manera conjunta con el Gobierno Nacional definirán planes de transformación de los recursos del Sistema General de Participaciones para Salud y de las rentas cedidas, a más tardar el 31 de diciembre de 2010. Estos planes deberán enmarcarse en un plan financiero integral del Régimen Subsidiado que incluya todas las fuentes que financian y cofinancian la operación del Régimen Subsidiado, de acuerdo con las normas legales vigentes, y las demás que definan las entidades territoriales, con el propósito de alcanzar la cobertura universal y la unificación de los planes obligatorios de salud de los regímenes subsidiado y contributivo, unificación que deberá lograrse a más tardar el 31 de diciembre de 2015.</w:t>
      </w:r>
    </w:p>
    <w:p w14:paraId="0E11BE6F" w14:textId="77777777" w:rsidR="002B58EB" w:rsidRPr="00B22E12" w:rsidRDefault="002B58EB" w:rsidP="002B58EB">
      <w:pPr>
        <w:spacing w:after="0" w:line="240" w:lineRule="auto"/>
        <w:jc w:val="both"/>
        <w:rPr>
          <w:rFonts w:ascii="Arial" w:eastAsia="Times New Roman" w:hAnsi="Arial" w:cs="Arial"/>
          <w:lang w:eastAsia="es-CO"/>
        </w:rPr>
      </w:pPr>
    </w:p>
    <w:p w14:paraId="7AD928C4" w14:textId="4754DDF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Para efectos de la implementación de los planes de transformación, el porcentaje de los recursos de Sistema General de Participaciones para Salud de que trata el literal a) del numeral 1 del artículo </w:t>
      </w:r>
      <w:hyperlink r:id="rId51" w:anchor="214" w:history="1">
        <w:r w:rsidRPr="00B22E12">
          <w:rPr>
            <w:rFonts w:ascii="Arial" w:eastAsia="Times New Roman" w:hAnsi="Arial" w:cs="Arial"/>
            <w:lang w:eastAsia="es-CO"/>
          </w:rPr>
          <w:t>214</w:t>
        </w:r>
      </w:hyperlink>
      <w:r w:rsidRPr="00B22E12">
        <w:rPr>
          <w:rFonts w:ascii="Arial" w:eastAsia="Times New Roman" w:hAnsi="Arial" w:cs="Arial"/>
          <w:lang w:eastAsia="es-CO"/>
        </w:rPr>
        <w:t> de la Ley 100 de 1993, modificado por el artículo </w:t>
      </w:r>
      <w:hyperlink r:id="rId52" w:anchor="11" w:history="1">
        <w:r w:rsidRPr="00B22E12">
          <w:rPr>
            <w:rFonts w:ascii="Arial" w:eastAsia="Times New Roman" w:hAnsi="Arial" w:cs="Arial"/>
            <w:lang w:eastAsia="es-CO"/>
          </w:rPr>
          <w:t>11</w:t>
        </w:r>
      </w:hyperlink>
      <w:r w:rsidRPr="00B22E12">
        <w:rPr>
          <w:rFonts w:ascii="Arial" w:eastAsia="Times New Roman" w:hAnsi="Arial" w:cs="Arial"/>
          <w:lang w:eastAsia="es-CO"/>
        </w:rPr>
        <w:t> de la Ley 1122 de 2007, se incrementará hasta el 90% de acuerdo con el plan de transformación concertado entre el Gobierno Nacional y las entidades territoriales. En todo caso el 10% del Sistema General de Participaciones para Salud se destinará a financiar las acciones en salud pública.</w:t>
      </w:r>
    </w:p>
    <w:p w14:paraId="1DD3894C" w14:textId="77777777" w:rsidR="002B58EB" w:rsidRPr="00B22E12" w:rsidRDefault="002B58EB" w:rsidP="002B58EB">
      <w:pPr>
        <w:spacing w:after="0" w:line="240" w:lineRule="auto"/>
        <w:jc w:val="both"/>
        <w:rPr>
          <w:rFonts w:ascii="Arial" w:eastAsia="Times New Roman" w:hAnsi="Arial" w:cs="Arial"/>
          <w:lang w:eastAsia="es-CO"/>
        </w:rPr>
      </w:pPr>
    </w:p>
    <w:p w14:paraId="77FDF258" w14:textId="5746F02A"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Adicionalmente a los recursos previstos en la presente ley para la unificación de los planes obligatorios de salud de los regímenes subsidiados y contributivo, en los planes de transformación se concertará el porcentaje del total de los recursos de rentas cedidas que deberá destinarse a tal fin, porcentaje que no podrá ser inferior al 45%.</w:t>
      </w:r>
    </w:p>
    <w:p w14:paraId="57786701" w14:textId="77777777" w:rsidR="002B58EB" w:rsidRPr="00B22E12" w:rsidRDefault="002B58EB" w:rsidP="002B58EB">
      <w:pPr>
        <w:spacing w:after="0" w:line="240" w:lineRule="auto"/>
        <w:jc w:val="both"/>
        <w:rPr>
          <w:rFonts w:ascii="Arial" w:eastAsia="Times New Roman" w:hAnsi="Arial" w:cs="Arial"/>
          <w:lang w:eastAsia="es-CO"/>
        </w:rPr>
      </w:pPr>
    </w:p>
    <w:p w14:paraId="6446FFA5" w14:textId="222C1CA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Este porcentaje incluye lo previsto en el literal c) del numeral 1 del artículo 14 de la Ley 100 de 1993, modificado por el artículo </w:t>
      </w:r>
      <w:hyperlink r:id="rId53" w:anchor="11" w:history="1">
        <w:r w:rsidRPr="00B22E12">
          <w:rPr>
            <w:rFonts w:ascii="Arial" w:eastAsia="Times New Roman" w:hAnsi="Arial" w:cs="Arial"/>
            <w:lang w:eastAsia="es-CO"/>
          </w:rPr>
          <w:t>11</w:t>
        </w:r>
      </w:hyperlink>
      <w:r w:rsidRPr="00B22E12">
        <w:rPr>
          <w:rFonts w:ascii="Arial" w:eastAsia="Times New Roman" w:hAnsi="Arial" w:cs="Arial"/>
          <w:lang w:eastAsia="es-CO"/>
        </w:rPr>
        <w:t> de la Ley 1122 de 2007.</w:t>
      </w:r>
    </w:p>
    <w:p w14:paraId="4886AE5F" w14:textId="77777777" w:rsidR="002B58EB" w:rsidRPr="00B22E12" w:rsidRDefault="002B58EB" w:rsidP="002B58EB">
      <w:pPr>
        <w:spacing w:after="0" w:line="240" w:lineRule="auto"/>
        <w:jc w:val="both"/>
        <w:rPr>
          <w:rFonts w:ascii="Arial" w:eastAsia="Times New Roman" w:hAnsi="Arial" w:cs="Arial"/>
          <w:lang w:eastAsia="es-CO"/>
        </w:rPr>
      </w:pPr>
    </w:p>
    <w:p w14:paraId="12CA4984" w14:textId="71DC4D8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1o. Los municipios certificados para el manejo autónomo de los recursos del Sistema General de Participaciones para Salud destinados a financiar la prestación de servicios de salud a la población pobre en lo no cubierto con subsidios a la demanda, harán parte de los planes de transformación de recursos, en concertación con los departamentos, según lo previsto en el presente artículo.</w:t>
      </w:r>
    </w:p>
    <w:p w14:paraId="2B97E84D" w14:textId="77777777" w:rsidR="002B58EB" w:rsidRPr="00B22E12" w:rsidRDefault="002B58EB" w:rsidP="002B58EB">
      <w:pPr>
        <w:spacing w:after="0" w:line="240" w:lineRule="auto"/>
        <w:jc w:val="both"/>
        <w:rPr>
          <w:rFonts w:ascii="Arial" w:eastAsia="Times New Roman" w:hAnsi="Arial" w:cs="Arial"/>
          <w:lang w:eastAsia="es-CO"/>
        </w:rPr>
      </w:pPr>
    </w:p>
    <w:p w14:paraId="757307FE" w14:textId="7DB78FE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PARÁGRAFO 2o. A partir de la vigencia de la presente ley, los Departamentos y Distritos, así como el municipio que represente los intereses de los municipios del respectivo departamento, el cual será designado para el efecto en el seno de la entidad que agremia los municipios del país, de mutuo acuerdo con el Gobierno Nacional, podrán avanzar en la implementación de la unificación de los planes obligatorios de salud de los Regímenes Subsidiado y Contributivo, de conformidad con el plan de transformación que para tal efecto se acuerde.</w:t>
      </w:r>
    </w:p>
    <w:p w14:paraId="0619CC59" w14:textId="77777777" w:rsidR="002B58EB" w:rsidRPr="00B22E12" w:rsidRDefault="002B58EB" w:rsidP="002B58EB">
      <w:pPr>
        <w:spacing w:after="0" w:line="240" w:lineRule="auto"/>
        <w:jc w:val="both"/>
        <w:rPr>
          <w:rFonts w:ascii="Arial" w:eastAsia="Times New Roman" w:hAnsi="Arial" w:cs="Arial"/>
          <w:lang w:eastAsia="es-CO"/>
        </w:rPr>
      </w:pPr>
    </w:p>
    <w:p w14:paraId="5906A092" w14:textId="26C12403"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3o. Los recursos de aportes patronales que se financian con los recursos del Sistema General de Participaciones para Salud se contabilizarán en el financiamiento de la unificación de los Planes Obligatorios de Salud de los Regímenes Subsidiado y Contributivo de acuerdo con lo concertado en los respectivos planes de transformación, recursos que se girarán sin situación de fondos. Este giro está sujeto a los términos y condiciones que defina el Gobierno Nacional.</w:t>
      </w:r>
    </w:p>
    <w:p w14:paraId="5A8F4AF9" w14:textId="77777777" w:rsidR="002B58EB" w:rsidRPr="00B22E12" w:rsidRDefault="002B58EB" w:rsidP="002B58EB">
      <w:pPr>
        <w:spacing w:after="0" w:line="240" w:lineRule="auto"/>
        <w:jc w:val="both"/>
        <w:rPr>
          <w:rFonts w:ascii="Arial" w:eastAsia="Times New Roman" w:hAnsi="Arial" w:cs="Arial"/>
          <w:lang w:eastAsia="es-CO"/>
        </w:rPr>
      </w:pPr>
    </w:p>
    <w:p w14:paraId="6E4AE045"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4o. Los representantes legales de las entidades encargadas del recaudo o generadores de los recursos del sector salud, deberán velar por el giro efectivo de estos dineros en los términos señalados en la norma que autoriza su cobro. Será causal de mala conducta para cualquier funcionario público, representante legal, gerente o administrador que dilate el giro de estos recursos.</w:t>
      </w:r>
    </w:p>
    <w:p w14:paraId="17EA4268" w14:textId="77777777" w:rsidR="00EB1BA7" w:rsidRPr="00B22E12" w:rsidRDefault="00EB1BA7" w:rsidP="002B58EB">
      <w:pPr>
        <w:spacing w:after="0" w:line="240" w:lineRule="auto"/>
        <w:jc w:val="both"/>
        <w:rPr>
          <w:rFonts w:ascii="Arial" w:hAnsi="Arial" w:cs="Arial"/>
        </w:rPr>
      </w:pPr>
      <w:bookmarkStart w:id="38" w:name="35"/>
    </w:p>
    <w:p w14:paraId="68DF4CCF" w14:textId="203B243F"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35. RECURSOS TERRITORIALES PARA EL FORTALECIMIENTO DE LA RED PÚBLICA HOSPITALARIA Y PARA OTROS GASTOS EN SALUD.</w:t>
      </w:r>
      <w:bookmarkEnd w:id="38"/>
      <w:r w:rsidRPr="00B22E12">
        <w:rPr>
          <w:rFonts w:ascii="Arial" w:eastAsia="Times New Roman" w:hAnsi="Arial" w:cs="Arial"/>
          <w:lang w:eastAsia="es-CO"/>
        </w:rPr>
        <w:t> Una vez se inicie la implementación del plan de transformación, hasta el 30% de la totalidad de los recursos de rentas cedidas que por ley se destinan a salud en la respectiva entidad territorial, se aplicarán al saneamiento de las deudas por prestaciones de servicios de salud, registradas en los estados financieros de las entidades territoriales a 31 de diciembre de 2009, no financiadas a la fecha de expedición de la presente ley; para la inversión en infraestructura y renovación tecnológica de la red pública hospitalaria, de acuerdo con el estudio de red de servicios de cada entidad territorial; para programas de salud pública, de acuerdo con el Plan Nacional de Salud Pública; para efectos de cofinanciar la operación de las Empresas Sociales del Estado que por sus condiciones de mercado, constituyan un único oferente de servicios de salud en su área de influencia; y para la unificación del plan obligatorio de salud del Régimen Subsidiado al Contributivo.</w:t>
      </w:r>
    </w:p>
    <w:p w14:paraId="441889C0" w14:textId="77777777" w:rsidR="00EB1BA7" w:rsidRPr="00B22E12" w:rsidRDefault="00EB1BA7" w:rsidP="002B58EB">
      <w:pPr>
        <w:spacing w:after="0" w:line="240" w:lineRule="auto"/>
        <w:jc w:val="both"/>
        <w:rPr>
          <w:rFonts w:ascii="Arial" w:hAnsi="Arial" w:cs="Arial"/>
        </w:rPr>
      </w:pPr>
      <w:bookmarkStart w:id="39" w:name="36"/>
    </w:p>
    <w:p w14:paraId="67EAEDBC" w14:textId="5A13C925"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36.</w:t>
      </w:r>
      <w:bookmarkEnd w:id="39"/>
      <w:r w:rsidRPr="00B22E12">
        <w:rPr>
          <w:rFonts w:ascii="Arial" w:eastAsia="Times New Roman" w:hAnsi="Arial" w:cs="Arial"/>
          <w:lang w:eastAsia="es-CO"/>
        </w:rPr>
        <w:t> A partir de la vigencia fiscal 2011, los excedentes financieros de la Subcuenta de Eventos Catastróficos y Accidentes de Tránsito del Fondo de Solidaridad y Garantía podrán destinarse para el financiamiento de la atención de la población en lo no cubierto por subsidios a la demanda y de la población pobre no asegurada de la respectiva entidad territorial, de acuerdo con los criterios y condiciones que defina el Gobierno Nacional. La asignación de estos recursos sólo procederá residualmente una vez aplicados los recursos que las entidades territoriales deban destinar por la ley para estos fines.</w:t>
      </w:r>
    </w:p>
    <w:p w14:paraId="1002B06F" w14:textId="77777777" w:rsidR="004720E6" w:rsidRPr="00B22E12" w:rsidRDefault="004720E6" w:rsidP="002B58EB">
      <w:pPr>
        <w:spacing w:after="0" w:line="240" w:lineRule="auto"/>
        <w:jc w:val="both"/>
        <w:rPr>
          <w:rFonts w:ascii="Arial" w:eastAsia="Times New Roman" w:hAnsi="Arial" w:cs="Arial"/>
          <w:lang w:eastAsia="es-CO"/>
        </w:rPr>
      </w:pPr>
    </w:p>
    <w:p w14:paraId="3AAF44FA" w14:textId="58620115" w:rsidR="00366D2B" w:rsidRPr="00B22E12" w:rsidRDefault="00366D2B" w:rsidP="002B58EB">
      <w:pPr>
        <w:spacing w:after="0" w:line="240" w:lineRule="auto"/>
        <w:jc w:val="center"/>
        <w:rPr>
          <w:rFonts w:ascii="Arial" w:eastAsia="Times New Roman" w:hAnsi="Arial" w:cs="Arial"/>
          <w:b/>
          <w:bCs/>
          <w:lang w:eastAsia="es-CO"/>
        </w:rPr>
      </w:pPr>
      <w:bookmarkStart w:id="40" w:name="CAPÍTULO_V"/>
      <w:r w:rsidRPr="00B22E12">
        <w:rPr>
          <w:rFonts w:ascii="Arial" w:eastAsia="Times New Roman" w:hAnsi="Arial" w:cs="Arial"/>
          <w:b/>
          <w:bCs/>
          <w:lang w:eastAsia="es-CO"/>
        </w:rPr>
        <w:t>CAPÍTULO V</w:t>
      </w:r>
      <w:bookmarkEnd w:id="40"/>
    </w:p>
    <w:p w14:paraId="70F5F213" w14:textId="42D0745F" w:rsidR="00366D2B" w:rsidRPr="00B22E12" w:rsidRDefault="00366D2B" w:rsidP="002B58EB">
      <w:pPr>
        <w:spacing w:after="0" w:line="240" w:lineRule="auto"/>
        <w:jc w:val="center"/>
        <w:rPr>
          <w:rFonts w:ascii="Arial" w:eastAsia="Times New Roman" w:hAnsi="Arial" w:cs="Arial"/>
          <w:b/>
          <w:bCs/>
          <w:lang w:eastAsia="es-CO"/>
        </w:rPr>
      </w:pPr>
      <w:r w:rsidRPr="00B22E12">
        <w:rPr>
          <w:rFonts w:ascii="Arial" w:eastAsia="Times New Roman" w:hAnsi="Arial" w:cs="Arial"/>
          <w:b/>
          <w:bCs/>
          <w:lang w:eastAsia="es-CO"/>
        </w:rPr>
        <w:t>MEDIDAS FINANCIERAS</w:t>
      </w:r>
    </w:p>
    <w:p w14:paraId="7AACED12" w14:textId="77777777" w:rsidR="00EB1BA7" w:rsidRPr="00B22E12" w:rsidRDefault="00EB1BA7" w:rsidP="002B58EB">
      <w:pPr>
        <w:spacing w:after="0" w:line="240" w:lineRule="auto"/>
        <w:jc w:val="both"/>
        <w:rPr>
          <w:rFonts w:ascii="Arial" w:hAnsi="Arial" w:cs="Arial"/>
        </w:rPr>
      </w:pPr>
      <w:bookmarkStart w:id="41" w:name="37"/>
    </w:p>
    <w:p w14:paraId="1B4F65D5" w14:textId="58095FCC"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37. OPERACIÓN INTERFONDOS.</w:t>
      </w:r>
      <w:bookmarkEnd w:id="41"/>
      <w:r w:rsidRPr="00B22E12">
        <w:rPr>
          <w:rFonts w:ascii="Arial" w:eastAsia="Times New Roman" w:hAnsi="Arial" w:cs="Arial"/>
          <w:lang w:eastAsia="es-CO"/>
        </w:rPr>
        <w:t xml:space="preserve"> Autorícese al Ministerio de la Protección Social para que, por una sola vez y durante la vigencia del año fiscal 2010, realice una operación de préstamo </w:t>
      </w:r>
      <w:proofErr w:type="spellStart"/>
      <w:r w:rsidRPr="00B22E12">
        <w:rPr>
          <w:rFonts w:ascii="Arial" w:eastAsia="Times New Roman" w:hAnsi="Arial" w:cs="Arial"/>
          <w:lang w:eastAsia="es-CO"/>
        </w:rPr>
        <w:t>interfondos</w:t>
      </w:r>
      <w:proofErr w:type="spellEnd"/>
      <w:r w:rsidRPr="00B22E12">
        <w:rPr>
          <w:rFonts w:ascii="Arial" w:eastAsia="Times New Roman" w:hAnsi="Arial" w:cs="Arial"/>
          <w:lang w:eastAsia="es-CO"/>
        </w:rPr>
        <w:t xml:space="preserve"> entre la subcuenta de Eventos Catastróficos y Accidentes de Tránsito –ECAT– y la subcuenta de Compensación del Fondo de Solidaridad y Garantía –</w:t>
      </w:r>
      <w:proofErr w:type="spellStart"/>
      <w:r w:rsidRPr="00B22E12">
        <w:rPr>
          <w:rFonts w:ascii="Arial" w:eastAsia="Times New Roman" w:hAnsi="Arial" w:cs="Arial"/>
          <w:lang w:eastAsia="es-CO"/>
        </w:rPr>
        <w:t>Fosyga</w:t>
      </w:r>
      <w:proofErr w:type="spellEnd"/>
      <w:r w:rsidRPr="00B22E12">
        <w:rPr>
          <w:rFonts w:ascii="Arial" w:eastAsia="Times New Roman" w:hAnsi="Arial" w:cs="Arial"/>
          <w:lang w:eastAsia="es-CO"/>
        </w:rPr>
        <w:t>–; recursos que se destinarán a la financiación de eventos NO POS de los afiliados al régimen contributivo.</w:t>
      </w:r>
    </w:p>
    <w:p w14:paraId="7200E5C0" w14:textId="77777777" w:rsidR="002B58EB" w:rsidRPr="00B22E12" w:rsidRDefault="002B58EB" w:rsidP="002B58EB">
      <w:pPr>
        <w:spacing w:after="0" w:line="240" w:lineRule="auto"/>
        <w:jc w:val="both"/>
        <w:rPr>
          <w:rFonts w:ascii="Arial" w:eastAsia="Times New Roman" w:hAnsi="Arial" w:cs="Arial"/>
          <w:lang w:eastAsia="es-CO"/>
        </w:rPr>
      </w:pPr>
    </w:p>
    <w:p w14:paraId="5002685B" w14:textId="7E6A8756"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lastRenderedPageBreak/>
        <w:t>Dicha operación no podrá exceder de ochocientos mil millones de pesos ($800.000.000.000) y será pagadera en un término no superior a diez (10) años contados a partir de la realización de la operación. Durante este periodo se podrá establecer un periodo de gracia inicial para amortización de capital, el cual no podrá exceder de dos (2) años. En todo caso, vencido el periodo de gracia, las amortizaciones de capital deberán pagarse en alícuotas iguales durante el plazo restante. En ningún caso la tasa de interés aplicable a dicha operación, podrá ser inferior a la inflación observada en los doce meses anteriores a la fecha de cancelación de los respectivos intereses.</w:t>
      </w:r>
    </w:p>
    <w:p w14:paraId="57D6F197" w14:textId="77777777" w:rsidR="002B58EB" w:rsidRPr="00B22E12" w:rsidRDefault="002B58EB" w:rsidP="002B58EB">
      <w:pPr>
        <w:spacing w:after="0" w:line="240" w:lineRule="auto"/>
        <w:jc w:val="both"/>
        <w:rPr>
          <w:rFonts w:ascii="Arial" w:eastAsia="Times New Roman" w:hAnsi="Arial" w:cs="Arial"/>
          <w:lang w:eastAsia="es-CO"/>
        </w:rPr>
      </w:pPr>
    </w:p>
    <w:p w14:paraId="076A4BF2" w14:textId="57ED4328"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Esta operación corresponde a una operación de manejo de recursos de portafolio y, por tanto, su otorgamiento y atención no requiere trámite presupuestal alguno.</w:t>
      </w:r>
    </w:p>
    <w:p w14:paraId="44363870" w14:textId="77777777" w:rsidR="008456F9" w:rsidRPr="00B22E12" w:rsidRDefault="008456F9" w:rsidP="002B58EB">
      <w:pPr>
        <w:spacing w:after="0" w:line="240" w:lineRule="auto"/>
        <w:jc w:val="both"/>
        <w:rPr>
          <w:rFonts w:ascii="Arial" w:eastAsia="Times New Roman" w:hAnsi="Arial" w:cs="Arial"/>
          <w:lang w:eastAsia="es-CO"/>
        </w:rPr>
      </w:pPr>
    </w:p>
    <w:p w14:paraId="13F03113" w14:textId="77777777"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PARÁGRAFO. Los demás términos y condiciones financieras de la operación de que trata el presente artículo serán definidos por parte del Gobierno Nacional.</w:t>
      </w:r>
    </w:p>
    <w:p w14:paraId="60503431" w14:textId="77777777" w:rsidR="00EB1BA7" w:rsidRPr="00B22E12" w:rsidRDefault="00EB1BA7" w:rsidP="002B58EB">
      <w:pPr>
        <w:spacing w:after="0" w:line="240" w:lineRule="auto"/>
        <w:jc w:val="both"/>
        <w:rPr>
          <w:rFonts w:ascii="Arial" w:hAnsi="Arial" w:cs="Arial"/>
        </w:rPr>
      </w:pPr>
      <w:bookmarkStart w:id="42" w:name="38"/>
    </w:p>
    <w:p w14:paraId="48ABB727" w14:textId="10AD3829"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38.</w:t>
      </w:r>
      <w:bookmarkEnd w:id="42"/>
      <w:r w:rsidRPr="00B22E12">
        <w:rPr>
          <w:rFonts w:ascii="Arial" w:eastAsia="Times New Roman" w:hAnsi="Arial" w:cs="Arial"/>
          <w:lang w:eastAsia="es-CO"/>
        </w:rPr>
        <w:t> Las autoridades nacionales, de conformidad con sus competencias, exigirán la implementación de estrategias y tecnologías tendientes a mejorar la calidad del servicio de salud, reducir la adulteración de medicamentos y productos dietarios, control y reducción de las pérdidas del Sistema de Seguridad Social en Salud. Adicionalmente los sujetos activos deberán implementar estrategias y tecnologías para reducir la evasión y elusión fiscal.</w:t>
      </w:r>
    </w:p>
    <w:p w14:paraId="0F38A914" w14:textId="77777777" w:rsidR="00EB1BA7" w:rsidRPr="00B22E12" w:rsidRDefault="00EB1BA7" w:rsidP="002B58EB">
      <w:pPr>
        <w:spacing w:after="0" w:line="240" w:lineRule="auto"/>
        <w:jc w:val="both"/>
        <w:rPr>
          <w:rFonts w:ascii="Arial" w:hAnsi="Arial" w:cs="Arial"/>
        </w:rPr>
      </w:pPr>
      <w:bookmarkStart w:id="43" w:name="39"/>
    </w:p>
    <w:p w14:paraId="1537429B" w14:textId="5AB93BD1"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39.</w:t>
      </w:r>
      <w:bookmarkEnd w:id="43"/>
      <w:r w:rsidRPr="00B22E12">
        <w:rPr>
          <w:rFonts w:ascii="Arial" w:eastAsia="Times New Roman" w:hAnsi="Arial" w:cs="Arial"/>
          <w:lang w:eastAsia="es-CO"/>
        </w:rPr>
        <w:t> Los saldos de liquidación de los contratos para el aseguramiento en el régimen subsidiado a favor de las entidades territoriales, se destinarán por los Departamentos y Distritos para cubrir las prestaciones en salud no cubiertas con subsidios a la demanda, a la universalización y a la unificación de los Planes Obligatorios de Salud. Para tal efecto los municipios girarán dichos recursos a los Departamentos, a más tardar seis (6) meses después de terminado el período de ejecución de los respectivos contratos.</w:t>
      </w:r>
    </w:p>
    <w:p w14:paraId="15C7F739" w14:textId="77777777" w:rsidR="00EB1BA7" w:rsidRPr="00B22E12" w:rsidRDefault="00EB1BA7" w:rsidP="002B58EB">
      <w:pPr>
        <w:spacing w:after="0" w:line="240" w:lineRule="auto"/>
        <w:jc w:val="both"/>
        <w:rPr>
          <w:rFonts w:ascii="Arial" w:hAnsi="Arial" w:cs="Arial"/>
        </w:rPr>
      </w:pPr>
      <w:bookmarkStart w:id="44" w:name="40"/>
    </w:p>
    <w:p w14:paraId="01C47631" w14:textId="5E70505D" w:rsidR="00366D2B" w:rsidRPr="00B22E12" w:rsidRDefault="00366D2B" w:rsidP="002B58EB">
      <w:pPr>
        <w:spacing w:after="0" w:line="240" w:lineRule="auto"/>
        <w:jc w:val="both"/>
        <w:rPr>
          <w:rFonts w:ascii="Arial" w:eastAsia="Times New Roman" w:hAnsi="Arial" w:cs="Arial"/>
          <w:lang w:eastAsia="es-CO"/>
        </w:rPr>
      </w:pPr>
      <w:r w:rsidRPr="00B22E12">
        <w:rPr>
          <w:rFonts w:ascii="Arial" w:eastAsia="Times New Roman" w:hAnsi="Arial" w:cs="Arial"/>
          <w:lang w:eastAsia="es-CO"/>
        </w:rPr>
        <w:t>ARTÍCULO 40. CONDICIONES ESPECIALES DE SEGUIMIENTO Y GIRO.</w:t>
      </w:r>
      <w:bookmarkEnd w:id="44"/>
      <w:r w:rsidRPr="00B22E12">
        <w:rPr>
          <w:rFonts w:ascii="Arial" w:eastAsia="Times New Roman" w:hAnsi="Arial" w:cs="Arial"/>
          <w:lang w:eastAsia="es-CO"/>
        </w:rPr>
        <w:t>  Para garantizar la continuidad en la prestación de los servicios públicos, en especial de salud, ante la adopción de la medida de suspensión de giros de regalías por el Departamento Nacional de Planeación - DNP, prevista en la Ley </w:t>
      </w:r>
      <w:hyperlink r:id="rId54" w:anchor="1" w:history="1">
        <w:r w:rsidRPr="00B22E12">
          <w:rPr>
            <w:rFonts w:ascii="Arial" w:eastAsia="Times New Roman" w:hAnsi="Arial" w:cs="Arial"/>
            <w:lang w:eastAsia="es-CO"/>
          </w:rPr>
          <w:t>141</w:t>
        </w:r>
      </w:hyperlink>
      <w:r w:rsidRPr="00B22E12">
        <w:rPr>
          <w:rFonts w:ascii="Arial" w:eastAsia="Times New Roman" w:hAnsi="Arial" w:cs="Arial"/>
          <w:lang w:eastAsia="es-CO"/>
        </w:rPr>
        <w:t> de 1994 y demás normas concordantes, se podrán establecer giros graduales y/o condiciones especiales de control y seguimiento a la ejecución de estos recursos. Para ello el DNP coordinará con la entidad beneficiaria, entre otros, el envío de información periódica, con sus respectivos soportes, que permita verificar la adopción y aplicación de medidas tendientes a superar los hechos que originaron la suspensión.</w:t>
      </w:r>
    </w:p>
    <w:p w14:paraId="74F4E2DE" w14:textId="77777777" w:rsidR="00EB1BA7" w:rsidRPr="00B22E12" w:rsidRDefault="00EB1BA7" w:rsidP="002B58EB">
      <w:pPr>
        <w:spacing w:after="0" w:line="240" w:lineRule="auto"/>
        <w:rPr>
          <w:rFonts w:ascii="Arial" w:eastAsia="Times New Roman" w:hAnsi="Arial" w:cs="Arial"/>
          <w:lang w:eastAsia="es-CO"/>
        </w:rPr>
      </w:pPr>
    </w:p>
    <w:p w14:paraId="2FCEA41A" w14:textId="52375C21" w:rsidR="00366D2B" w:rsidRPr="00B22E12" w:rsidRDefault="00366D2B" w:rsidP="002B58EB">
      <w:pPr>
        <w:spacing w:after="0" w:line="240" w:lineRule="auto"/>
        <w:jc w:val="both"/>
        <w:rPr>
          <w:rFonts w:ascii="Arial" w:eastAsia="Times New Roman" w:hAnsi="Arial" w:cs="Arial"/>
          <w:lang w:eastAsia="es-CO"/>
        </w:rPr>
      </w:pPr>
      <w:bookmarkStart w:id="45" w:name="41"/>
      <w:r w:rsidRPr="00B22E12">
        <w:rPr>
          <w:rFonts w:ascii="Arial" w:eastAsia="Times New Roman" w:hAnsi="Arial" w:cs="Arial"/>
          <w:lang w:eastAsia="es-CO"/>
        </w:rPr>
        <w:t>ARTÍCULO 41. VIGENCIA Y DEROGATORIAS.</w:t>
      </w:r>
      <w:bookmarkEnd w:id="45"/>
      <w:r w:rsidRPr="00B22E12">
        <w:rPr>
          <w:rFonts w:ascii="Arial" w:eastAsia="Times New Roman" w:hAnsi="Arial" w:cs="Arial"/>
          <w:lang w:eastAsia="es-CO"/>
        </w:rPr>
        <w:t> La presente ley rige a partir de la fecha de su publicación y deroga las disposiciones que le sean contrarias, en especial el artículo 2o del Decreto 1289 de 2010.</w:t>
      </w:r>
    </w:p>
    <w:p w14:paraId="30D6349B" w14:textId="0BE47A06" w:rsidR="004720E6" w:rsidRPr="00B22E12" w:rsidRDefault="004720E6" w:rsidP="002B58EB">
      <w:pPr>
        <w:spacing w:after="0" w:line="240" w:lineRule="auto"/>
        <w:jc w:val="both"/>
        <w:rPr>
          <w:rFonts w:ascii="Arial" w:eastAsia="Times New Roman" w:hAnsi="Arial" w:cs="Arial"/>
          <w:lang w:eastAsia="es-CO"/>
        </w:rPr>
      </w:pPr>
    </w:p>
    <w:p w14:paraId="572A01E8" w14:textId="0198174C" w:rsidR="004720E6" w:rsidRPr="00B22E12" w:rsidRDefault="004720E6" w:rsidP="002B58EB">
      <w:pPr>
        <w:spacing w:after="0" w:line="240" w:lineRule="auto"/>
        <w:jc w:val="both"/>
        <w:rPr>
          <w:rFonts w:ascii="Arial" w:eastAsia="Times New Roman" w:hAnsi="Arial" w:cs="Arial"/>
          <w:lang w:eastAsia="es-CO"/>
        </w:rPr>
      </w:pPr>
    </w:p>
    <w:p w14:paraId="42C2754F" w14:textId="77777777" w:rsidR="004720E6" w:rsidRPr="00B22E12" w:rsidRDefault="004720E6" w:rsidP="002B58EB">
      <w:pPr>
        <w:spacing w:after="0" w:line="240" w:lineRule="auto"/>
        <w:jc w:val="both"/>
        <w:rPr>
          <w:rFonts w:ascii="Arial" w:eastAsia="Times New Roman" w:hAnsi="Arial" w:cs="Arial"/>
          <w:lang w:eastAsia="es-CO"/>
        </w:rPr>
      </w:pPr>
    </w:p>
    <w:p w14:paraId="257A49D8"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El Presidente del honorable Senado de la República,</w:t>
      </w:r>
    </w:p>
    <w:p w14:paraId="5F6FB97C"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JAVIER ENRIQUE CÁCERES LEAL.</w:t>
      </w:r>
    </w:p>
    <w:p w14:paraId="5C2BB7F7"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El Secretario General del honorable Senado de la República,</w:t>
      </w:r>
    </w:p>
    <w:p w14:paraId="143D6A7B"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EMILIO RAMÓN OTERO DAJUD.</w:t>
      </w:r>
    </w:p>
    <w:p w14:paraId="132AABCE"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El Presidente de la honorable Cámara de Representantes,</w:t>
      </w:r>
    </w:p>
    <w:p w14:paraId="670DBD60"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EDGAR ALFONSO GÓMEZ ROMÁN.</w:t>
      </w:r>
    </w:p>
    <w:p w14:paraId="1526E6EA"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El Secretario General de la honorable Cámara de Representantes,</w:t>
      </w:r>
    </w:p>
    <w:p w14:paraId="10756D16"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JESÚS ALFONSO RODRÍGUEZ CAMARGO.</w:t>
      </w:r>
    </w:p>
    <w:p w14:paraId="03E6A2D0"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lastRenderedPageBreak/>
        <w:t>REPÚBLICA DE COLOMBIA - GOBIERNO NACIONAL</w:t>
      </w:r>
    </w:p>
    <w:p w14:paraId="4200B36B"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Publíquese y cúmplase.</w:t>
      </w:r>
    </w:p>
    <w:p w14:paraId="2FEFF001"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Dada en Bogotá, D. C., a 12 de julio de 2010.</w:t>
      </w:r>
    </w:p>
    <w:p w14:paraId="22D731EE"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ÁLVARO URIBE VÉLEZ</w:t>
      </w:r>
    </w:p>
    <w:p w14:paraId="34A32997"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El Ministro de Hacienda y Crédito Público,</w:t>
      </w:r>
    </w:p>
    <w:p w14:paraId="727F4D2F"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OSCAR IVÁN ZULUAGA ESCOBAR.</w:t>
      </w:r>
    </w:p>
    <w:p w14:paraId="18C10148"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El Ministro de la Protección Social,</w:t>
      </w:r>
    </w:p>
    <w:p w14:paraId="3F5AEEB7" w14:textId="77777777" w:rsidR="00366D2B" w:rsidRPr="00B22E12" w:rsidRDefault="00366D2B" w:rsidP="002B58EB">
      <w:pPr>
        <w:spacing w:after="0" w:line="240" w:lineRule="auto"/>
        <w:jc w:val="center"/>
        <w:rPr>
          <w:rFonts w:ascii="Arial" w:eastAsia="Times New Roman" w:hAnsi="Arial" w:cs="Arial"/>
          <w:lang w:eastAsia="es-CO"/>
        </w:rPr>
      </w:pPr>
      <w:r w:rsidRPr="00B22E12">
        <w:rPr>
          <w:rFonts w:ascii="Arial" w:eastAsia="Times New Roman" w:hAnsi="Arial" w:cs="Arial"/>
          <w:lang w:eastAsia="es-CO"/>
        </w:rPr>
        <w:t>DIEGO PALACIO BETANCOURT.</w:t>
      </w:r>
    </w:p>
    <w:p w14:paraId="1E84A7DE" w14:textId="77777777" w:rsidR="00A32C40" w:rsidRPr="00B22E12" w:rsidRDefault="00A32C40" w:rsidP="002B58EB">
      <w:pPr>
        <w:spacing w:after="0" w:line="240" w:lineRule="auto"/>
        <w:rPr>
          <w:rFonts w:ascii="Arial" w:hAnsi="Arial" w:cs="Arial"/>
        </w:rPr>
      </w:pPr>
    </w:p>
    <w:sectPr w:rsidR="00A32C40" w:rsidRPr="00B22E12" w:rsidSect="009B0BC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2B"/>
    <w:rsid w:val="00070D4B"/>
    <w:rsid w:val="00083277"/>
    <w:rsid w:val="000B34C3"/>
    <w:rsid w:val="000E7FFE"/>
    <w:rsid w:val="00107B55"/>
    <w:rsid w:val="00127009"/>
    <w:rsid w:val="002B58EB"/>
    <w:rsid w:val="002C1F23"/>
    <w:rsid w:val="00342EED"/>
    <w:rsid w:val="00366D2B"/>
    <w:rsid w:val="00376CFF"/>
    <w:rsid w:val="004462C7"/>
    <w:rsid w:val="004720E6"/>
    <w:rsid w:val="00475172"/>
    <w:rsid w:val="0049286F"/>
    <w:rsid w:val="004A470A"/>
    <w:rsid w:val="005320C8"/>
    <w:rsid w:val="00543335"/>
    <w:rsid w:val="00592F90"/>
    <w:rsid w:val="00677FD0"/>
    <w:rsid w:val="00702F81"/>
    <w:rsid w:val="00705266"/>
    <w:rsid w:val="007A13F2"/>
    <w:rsid w:val="008456F9"/>
    <w:rsid w:val="0087633A"/>
    <w:rsid w:val="008870EF"/>
    <w:rsid w:val="008D5823"/>
    <w:rsid w:val="009B0BCE"/>
    <w:rsid w:val="00A15300"/>
    <w:rsid w:val="00A177B6"/>
    <w:rsid w:val="00A32C40"/>
    <w:rsid w:val="00A543A8"/>
    <w:rsid w:val="00B07D28"/>
    <w:rsid w:val="00B22E12"/>
    <w:rsid w:val="00BD3352"/>
    <w:rsid w:val="00C05D50"/>
    <w:rsid w:val="00C53FD3"/>
    <w:rsid w:val="00D84605"/>
    <w:rsid w:val="00DA53D7"/>
    <w:rsid w:val="00DC23EE"/>
    <w:rsid w:val="00E3153F"/>
    <w:rsid w:val="00E559B6"/>
    <w:rsid w:val="00EB1BA7"/>
    <w:rsid w:val="00ED7E75"/>
    <w:rsid w:val="00F70698"/>
    <w:rsid w:val="340102CC"/>
    <w:rsid w:val="40110607"/>
    <w:rsid w:val="687F8668"/>
    <w:rsid w:val="745F934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2CAE"/>
  <w15:chartTrackingRefBased/>
  <w15:docId w15:val="{146350BA-7657-4CC3-83FE-B43A1B3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366D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366D2B"/>
  </w:style>
  <w:style w:type="character" w:styleId="Hipervnculo">
    <w:name w:val="Hyperlink"/>
    <w:basedOn w:val="Fuentedeprrafopredeter"/>
    <w:uiPriority w:val="99"/>
    <w:unhideWhenUsed/>
    <w:rsid w:val="00366D2B"/>
    <w:rPr>
      <w:color w:val="0000FF"/>
      <w:u w:val="single"/>
    </w:rPr>
  </w:style>
  <w:style w:type="paragraph" w:styleId="NormalWeb">
    <w:name w:val="Normal (Web)"/>
    <w:basedOn w:val="Normal"/>
    <w:uiPriority w:val="99"/>
    <w:semiHidden/>
    <w:unhideWhenUsed/>
    <w:rsid w:val="00366D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366D2B"/>
  </w:style>
  <w:style w:type="paragraph" w:styleId="Prrafodelista">
    <w:name w:val="List Paragraph"/>
    <w:basedOn w:val="Normal"/>
    <w:uiPriority w:val="34"/>
    <w:qFormat/>
    <w:rsid w:val="002B58EB"/>
    <w:pPr>
      <w:ind w:left="720"/>
      <w:contextualSpacing/>
    </w:pPr>
  </w:style>
  <w:style w:type="paragraph" w:customStyle="1" w:styleId="xmsonormal">
    <w:name w:val="x_msonormal"/>
    <w:basedOn w:val="Normal"/>
    <w:rsid w:val="0049286F"/>
    <w:pPr>
      <w:spacing w:after="0" w:line="240" w:lineRule="auto"/>
    </w:pPr>
    <w:rPr>
      <w:rFonts w:ascii="Calibri" w:hAnsi="Calibri" w:cs="Times New Roman"/>
      <w:lang w:eastAsia="es-CO"/>
    </w:rPr>
  </w:style>
  <w:style w:type="character" w:customStyle="1" w:styleId="normaltextrun">
    <w:name w:val="normaltextrun"/>
    <w:basedOn w:val="Fuentedeprrafopredeter"/>
    <w:rsid w:val="0049286F"/>
  </w:style>
  <w:style w:type="character" w:customStyle="1" w:styleId="eop">
    <w:name w:val="eop"/>
    <w:basedOn w:val="Fuentedeprrafopredeter"/>
    <w:rsid w:val="0049286F"/>
  </w:style>
  <w:style w:type="character" w:styleId="Mencinsinresolver">
    <w:name w:val="Unresolved Mention"/>
    <w:basedOn w:val="Fuentedeprrafopredeter"/>
    <w:uiPriority w:val="99"/>
    <w:semiHidden/>
    <w:unhideWhenUsed/>
    <w:rsid w:val="00107B55"/>
    <w:rPr>
      <w:color w:val="605E5C"/>
      <w:shd w:val="clear" w:color="auto" w:fill="E1DFDD"/>
    </w:rPr>
  </w:style>
  <w:style w:type="character" w:styleId="Hipervnculovisitado">
    <w:name w:val="FollowedHyperlink"/>
    <w:basedOn w:val="Fuentedeprrafopredeter"/>
    <w:uiPriority w:val="99"/>
    <w:semiHidden/>
    <w:unhideWhenUsed/>
    <w:rsid w:val="007052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estatuto_tributario_pr016.html" TargetMode="External"/><Relationship Id="rId18" Type="http://schemas.openxmlformats.org/officeDocument/2006/relationships/hyperlink" Target="http://www.secretariasenado.gov.co/senado/basedoc/ley_0223_1995.html" TargetMode="External"/><Relationship Id="rId26" Type="http://schemas.openxmlformats.org/officeDocument/2006/relationships/hyperlink" Target="http://www.secretariasenado.gov.co/senado/basedoc/ley_0788_2002_pr001.html" TargetMode="External"/><Relationship Id="rId39" Type="http://schemas.openxmlformats.org/officeDocument/2006/relationships/hyperlink" Target="http://www.secretariasenado.gov.co/senado/basedoc/ley_0643_2001.html" TargetMode="External"/><Relationship Id="rId21" Type="http://schemas.openxmlformats.org/officeDocument/2006/relationships/hyperlink" Target="http://www.secretariasenado.gov.co/senado/basedoc/ley_0223_1995.html" TargetMode="External"/><Relationship Id="rId34" Type="http://schemas.openxmlformats.org/officeDocument/2006/relationships/hyperlink" Target="http://www.secretariasenado.gov.co/senado/basedoc/ley_0599_2000_pr012.html" TargetMode="External"/><Relationship Id="rId42" Type="http://schemas.openxmlformats.org/officeDocument/2006/relationships/hyperlink" Target="http://www.secretariasenado.gov.co/senado/basedoc/ley_0643_2001_pr001.html" TargetMode="External"/><Relationship Id="rId47" Type="http://schemas.openxmlformats.org/officeDocument/2006/relationships/hyperlink" Target="http://www.secretariasenado.gov.co/senado/basedoc/estatuto_tributario.html" TargetMode="External"/><Relationship Id="rId50" Type="http://schemas.openxmlformats.org/officeDocument/2006/relationships/hyperlink" Target="http://www.secretariasenado.gov.co/senado/basedoc/ley_0100_1993_pr004.html"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ecretariasenado.gov.co/senado/basedoc/ley_1111_2006_pr001.html" TargetMode="External"/><Relationship Id="rId29" Type="http://schemas.openxmlformats.org/officeDocument/2006/relationships/hyperlink" Target="http://www.secretariasenado.gov.co/senado/basedoc/ley_0643_2001.html" TargetMode="External"/><Relationship Id="rId11" Type="http://schemas.openxmlformats.org/officeDocument/2006/relationships/hyperlink" Target="http://www.secretariasenado.gov.co/senado/basedoc/estatuto_tributario_pr019.html" TargetMode="External"/><Relationship Id="rId24" Type="http://schemas.openxmlformats.org/officeDocument/2006/relationships/hyperlink" Target="http://www.secretariasenado.gov.co/senado/basedoc/ley_0788_2002_pr001.html" TargetMode="External"/><Relationship Id="rId32" Type="http://schemas.openxmlformats.org/officeDocument/2006/relationships/hyperlink" Target="http://www.secretariasenado.gov.co/senado/basedoc/ley_0643_2001_pr001.html" TargetMode="External"/><Relationship Id="rId37" Type="http://schemas.openxmlformats.org/officeDocument/2006/relationships/hyperlink" Target="http://www.secretariasenado.gov.co/senado/basedoc/ley_0643_2001_pr001.html" TargetMode="External"/><Relationship Id="rId40" Type="http://schemas.openxmlformats.org/officeDocument/2006/relationships/hyperlink" Target="http://www.secretariasenado.gov.co/senado/basedoc/ley_0643_2001.html" TargetMode="External"/><Relationship Id="rId45" Type="http://schemas.openxmlformats.org/officeDocument/2006/relationships/hyperlink" Target="http://relatoria.colombiacompra.gov.co/ficha/C-205%20de%202020" TargetMode="External"/><Relationship Id="rId53" Type="http://schemas.openxmlformats.org/officeDocument/2006/relationships/hyperlink" Target="http://www.secretariasenado.gov.co/senado/basedoc/ley_1122_2007.html" TargetMode="External"/><Relationship Id="rId5" Type="http://schemas.openxmlformats.org/officeDocument/2006/relationships/styles" Target="styles.xml"/><Relationship Id="rId10" Type="http://schemas.openxmlformats.org/officeDocument/2006/relationships/hyperlink" Target="http://www.secretariasenado.gov.co/senado/basedoc/estatuto_tributario.html" TargetMode="External"/><Relationship Id="rId19" Type="http://schemas.openxmlformats.org/officeDocument/2006/relationships/hyperlink" Target="http://www.secretariasenado.gov.co/senado/basedoc/ley_0223_1995.html" TargetMode="External"/><Relationship Id="rId31" Type="http://schemas.openxmlformats.org/officeDocument/2006/relationships/hyperlink" Target="http://www.secretariasenado.gov.co/senado/basedoc/ley_0643_2001.html" TargetMode="External"/><Relationship Id="rId44" Type="http://schemas.openxmlformats.org/officeDocument/2006/relationships/hyperlink" Target="http://relatoria.colombiacompra.gov.co/ficha/4201912000005462" TargetMode="External"/><Relationship Id="rId52" Type="http://schemas.openxmlformats.org/officeDocument/2006/relationships/hyperlink" Target="http://www.secretariasenado.gov.co/senado/basedoc/ley_1122_2007.html" TargetMode="External"/><Relationship Id="rId4" Type="http://schemas.openxmlformats.org/officeDocument/2006/relationships/numbering" Target="numbering.xml"/><Relationship Id="rId9" Type="http://schemas.openxmlformats.org/officeDocument/2006/relationships/hyperlink" Target="http://www.secretariasenado.gov.co/senado/basedoc/estatuto_tributario.html" TargetMode="External"/><Relationship Id="rId14" Type="http://schemas.openxmlformats.org/officeDocument/2006/relationships/hyperlink" Target="http://www.secretariasenado.gov.co/senado/basedoc/ley_0225_1995.html" TargetMode="External"/><Relationship Id="rId22" Type="http://schemas.openxmlformats.org/officeDocument/2006/relationships/hyperlink" Target="http://www.secretariasenado.gov.co/senado/basedoc/ley_1393_2010.html" TargetMode="External"/><Relationship Id="rId27" Type="http://schemas.openxmlformats.org/officeDocument/2006/relationships/hyperlink" Target="http://www.secretariasenado.gov.co/senado/basedoc/ley_1393_2010.html" TargetMode="External"/><Relationship Id="rId30" Type="http://schemas.openxmlformats.org/officeDocument/2006/relationships/hyperlink" Target="http://www.secretariasenado.gov.co/senado/basedoc/ley_0643_2001.html" TargetMode="External"/><Relationship Id="rId35" Type="http://schemas.openxmlformats.org/officeDocument/2006/relationships/hyperlink" Target="http://www.secretariasenado.gov.co/senado/basedoc/ley_0599_2000_pr012.html" TargetMode="External"/><Relationship Id="rId43" Type="http://schemas.openxmlformats.org/officeDocument/2006/relationships/hyperlink" Target="http://www.secretariasenado.gov.co/senado/basedoc/ley_0643_2001_pr001.html" TargetMode="External"/><Relationship Id="rId48" Type="http://schemas.openxmlformats.org/officeDocument/2006/relationships/hyperlink" Target="http://www.secretariasenado.gov.co/senado/basedoc/ley_0789_2002_pr001.html" TargetMode="External"/><Relationship Id="rId56" Type="http://schemas.openxmlformats.org/officeDocument/2006/relationships/theme" Target="theme/theme1.xml"/><Relationship Id="rId8" Type="http://schemas.openxmlformats.org/officeDocument/2006/relationships/hyperlink" Target="http://www.secretariasenado.gov.co/senado/basedoc/ley_0223_1995_pr003.html" TargetMode="External"/><Relationship Id="rId51" Type="http://schemas.openxmlformats.org/officeDocument/2006/relationships/hyperlink" Target="http://www.secretariasenado.gov.co/senado/basedoc/ley_0100_1993_pr004.html" TargetMode="External"/><Relationship Id="rId3" Type="http://schemas.openxmlformats.org/officeDocument/2006/relationships/customXml" Target="../customXml/item3.xml"/><Relationship Id="rId12" Type="http://schemas.openxmlformats.org/officeDocument/2006/relationships/hyperlink" Target="http://www.secretariasenado.gov.co/senado/basedoc/ley_0223_1995_pr003.html" TargetMode="External"/><Relationship Id="rId17" Type="http://schemas.openxmlformats.org/officeDocument/2006/relationships/hyperlink" Target="http://www.secretariasenado.gov.co/senado/basedoc/ley_0223_1995.html" TargetMode="External"/><Relationship Id="rId25" Type="http://schemas.openxmlformats.org/officeDocument/2006/relationships/hyperlink" Target="http://www.secretariasenado.gov.co/senado/basedoc/ley_0788_2002_pr001.html" TargetMode="External"/><Relationship Id="rId33" Type="http://schemas.openxmlformats.org/officeDocument/2006/relationships/hyperlink" Target="http://www.secretariasenado.gov.co/senado/basedoc/ley_0643_2001_pr001.html" TargetMode="External"/><Relationship Id="rId38" Type="http://schemas.openxmlformats.org/officeDocument/2006/relationships/hyperlink" Target="http://www.secretariasenado.gov.co/senado/basedoc/ley_0643_2001.html" TargetMode="External"/><Relationship Id="rId46" Type="http://schemas.openxmlformats.org/officeDocument/2006/relationships/hyperlink" Target="http://www.secretariasenado.gov.co/senado/basedoc/estatuto_tributario_pr004.html" TargetMode="External"/><Relationship Id="rId20" Type="http://schemas.openxmlformats.org/officeDocument/2006/relationships/hyperlink" Target="http://www.secretariasenado.gov.co/senado/basedoc/ley_0223_1995_pr004.html" TargetMode="External"/><Relationship Id="rId41" Type="http://schemas.openxmlformats.org/officeDocument/2006/relationships/hyperlink" Target="http://www.secretariasenado.gov.co/senado/basedoc/ley_0643_2001.html" TargetMode="External"/><Relationship Id="rId54" Type="http://schemas.openxmlformats.org/officeDocument/2006/relationships/hyperlink" Target="http://www.secretariasenado.gov.co/senado/basedoc/ley_0141_1994.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ecretariasenado.gov.co/senado/basedoc/ley_0223_1995.html" TargetMode="External"/><Relationship Id="rId23" Type="http://schemas.openxmlformats.org/officeDocument/2006/relationships/hyperlink" Target="http://www.secretariasenado.gov.co/senado/basedoc/ley_1393_2010.html" TargetMode="External"/><Relationship Id="rId28" Type="http://schemas.openxmlformats.org/officeDocument/2006/relationships/hyperlink" Target="http://www.secretariasenado.gov.co/senado/basedoc/ley_0643_2001.html" TargetMode="External"/><Relationship Id="rId36" Type="http://schemas.openxmlformats.org/officeDocument/2006/relationships/hyperlink" Target="http://www.secretariasenado.gov.co/senado/basedoc/ley_0643_2001_pr001.html" TargetMode="External"/><Relationship Id="rId49" Type="http://schemas.openxmlformats.org/officeDocument/2006/relationships/hyperlink" Target="http://www.secretariasenado.gov.co/senado/basedoc/ley_010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1F60D-C012-42D7-B634-EC11331BB23B}">
  <ds:schemaRefs>
    <ds:schemaRef ds:uri="http://schemas.openxmlformats.org/package/2006/metadata/core-properties"/>
    <ds:schemaRef ds:uri="http://www.w3.org/XML/1998/namespace"/>
    <ds:schemaRef ds:uri="http://purl.org/dc/terms/"/>
    <ds:schemaRef ds:uri="9d85dbaf-23eb-4e57-a637-93dcacc8b1a1"/>
    <ds:schemaRef ds:uri="http://schemas.microsoft.com/office/2006/documentManagement/types"/>
    <ds:schemaRef ds:uri="http://purl.org/dc/dcmitype/"/>
    <ds:schemaRef ds:uri="http://schemas.microsoft.com/office/2006/metadata/properties"/>
    <ds:schemaRef ds:uri="a6cb9e4b-f1d1-4245-83ec-6cad768d538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6C6598B-08FD-4982-9761-520E0B5F4537}">
  <ds:schemaRefs>
    <ds:schemaRef ds:uri="http://schemas.microsoft.com/sharepoint/v3/contenttype/forms"/>
  </ds:schemaRefs>
</ds:datastoreItem>
</file>

<file path=customXml/itemProps3.xml><?xml version="1.0" encoding="utf-8"?>
<ds:datastoreItem xmlns:ds="http://schemas.openxmlformats.org/officeDocument/2006/customXml" ds:itemID="{B8F4ACAB-F419-4769-B929-9FA36543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8271</Words>
  <Characters>45491</Characters>
  <Application>Microsoft Office Word</Application>
  <DocSecurity>0</DocSecurity>
  <Lines>379</Lines>
  <Paragraphs>107</Paragraphs>
  <ScaleCrop>false</ScaleCrop>
  <Company/>
  <LinksUpToDate>false</LinksUpToDate>
  <CharactersWithSpaces>53655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Manuela Mantilla Pacheco</cp:lastModifiedBy>
  <cp:revision>42</cp:revision>
  <dcterms:created xsi:type="dcterms:W3CDTF">2020-04-04T12:13:00Z</dcterms:created>
  <dcterms:modified xsi:type="dcterms:W3CDTF">2022-06-24T21:16:00Z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